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128905</wp:posOffset>
            </wp:positionV>
            <wp:extent cx="29159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0"/>
          <w:szCs w:val="20"/>
          <w:color w:val="auto"/>
        </w:rPr>
      </w:pPr>
    </w:p>
    <w:p>
      <w:pPr>
        <w:spacing w:after="0" w:line="212" w:lineRule="exact"/>
        <w:rPr>
          <w:sz w:val="20"/>
          <w:szCs w:val="20"/>
          <w:color w:val="auto"/>
        </w:rPr>
      </w:pPr>
    </w:p>
    <w:p>
      <w:pPr>
        <w:ind w:left="1000"/>
        <w:spacing w:after="0"/>
        <w:rPr>
          <w:sz w:val="20"/>
          <w:szCs w:val="20"/>
          <w:color w:val="auto"/>
        </w:rPr>
      </w:pPr>
      <w:r>
        <w:rPr>
          <w:rFonts w:ascii="Arial" w:cs="Arial" w:eastAsia="Arial" w:hAnsi="Arial"/>
          <w:sz w:val="43"/>
          <w:szCs w:val="43"/>
          <w:b w:val="1"/>
          <w:bCs w:val="1"/>
          <w:color w:val="auto"/>
        </w:rPr>
        <w:t>SMITH &amp; WESSON HOLDING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305435</wp:posOffset>
            </wp:positionV>
            <wp:extent cx="65430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NEVADA</w:t>
            </w:r>
          </w:p>
        </w:tc>
        <w:tc>
          <w:tcPr>
            <w:tcW w:w="3000" w:type="dxa"/>
            <w:vAlign w:val="bottom"/>
            <w:gridSpan w:val="2"/>
          </w:tcPr>
          <w:p>
            <w:pPr>
              <w:jc w:val="center"/>
              <w:ind w:left="356"/>
              <w:spacing w:after="0"/>
              <w:rPr>
                <w:sz w:val="20"/>
                <w:szCs w:val="20"/>
                <w:color w:val="auto"/>
              </w:rPr>
            </w:pPr>
            <w:r>
              <w:rPr>
                <w:rFonts w:ascii="Arial" w:cs="Arial" w:eastAsia="Arial" w:hAnsi="Arial"/>
                <w:sz w:val="14"/>
                <w:szCs w:val="14"/>
                <w:b w:val="1"/>
                <w:bCs w:val="1"/>
                <w:color w:val="auto"/>
                <w:w w:val="95"/>
              </w:rPr>
              <w:t>001-31552</w:t>
            </w:r>
          </w:p>
        </w:tc>
        <w:tc>
          <w:tcPr>
            <w:tcW w:w="44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87-0543688</w:t>
            </w:r>
          </w:p>
        </w:tc>
      </w:tr>
      <w:tr>
        <w:trPr>
          <w:trHeight w:val="66"/>
        </w:trPr>
        <w:tc>
          <w:tcPr>
            <w:tcW w:w="256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256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2540" w:type="dxa"/>
            <w:vAlign w:val="bottom"/>
            <w:tcBorders>
              <w:bottom w:val="single" w:sz="8" w:color="808080"/>
            </w:tcBorders>
          </w:tcPr>
          <w:p>
            <w:pPr>
              <w:spacing w:after="0"/>
              <w:rPr>
                <w:sz w:val="5"/>
                <w:szCs w:val="5"/>
                <w:color w:val="auto"/>
              </w:rPr>
            </w:pPr>
          </w:p>
        </w:tc>
      </w:tr>
      <w:tr>
        <w:trPr>
          <w:trHeight w:val="263"/>
        </w:trPr>
        <w:tc>
          <w:tcPr>
            <w:tcW w:w="2560" w:type="dxa"/>
            <w:vAlign w:val="bottom"/>
          </w:tcPr>
          <w:p>
            <w:pPr>
              <w:jc w:val="center"/>
              <w:spacing w:after="0"/>
              <w:rPr>
                <w:sz w:val="20"/>
                <w:szCs w:val="20"/>
                <w:color w:val="auto"/>
              </w:rPr>
            </w:pPr>
            <w:r>
              <w:rPr>
                <w:rFonts w:ascii="Arial" w:cs="Arial" w:eastAsia="Arial" w:hAnsi="Arial"/>
                <w:sz w:val="18"/>
                <w:szCs w:val="18"/>
                <w:color w:val="auto"/>
                <w:w w:val="90"/>
              </w:rPr>
              <w:t>(State or Other</w:t>
            </w:r>
          </w:p>
        </w:tc>
        <w:tc>
          <w:tcPr>
            <w:tcW w:w="440" w:type="dxa"/>
            <w:vAlign w:val="bottom"/>
          </w:tcPr>
          <w:p>
            <w:pPr>
              <w:spacing w:after="0"/>
              <w:rPr>
                <w:sz w:val="22"/>
                <w:szCs w:val="22"/>
                <w:color w:val="auto"/>
              </w:rPr>
            </w:pPr>
          </w:p>
        </w:tc>
        <w:tc>
          <w:tcPr>
            <w:tcW w:w="300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(Commission File Number)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2560" w:type="dxa"/>
            <w:vAlign w:val="bottom"/>
          </w:tcPr>
          <w:p>
            <w:pPr>
              <w:jc w:val="center"/>
              <w:spacing w:after="0"/>
              <w:rPr>
                <w:sz w:val="20"/>
                <w:szCs w:val="20"/>
                <w:color w:val="auto"/>
              </w:rPr>
            </w:pPr>
            <w:r>
              <w:rPr>
                <w:rFonts w:ascii="Arial" w:cs="Arial" w:eastAsia="Arial" w:hAnsi="Arial"/>
                <w:sz w:val="18"/>
                <w:szCs w:val="18"/>
                <w:color w:val="auto"/>
                <w:w w:val="93"/>
              </w:rPr>
              <w:t>Jurisdiction of Incorporation)</w:t>
            </w:r>
          </w:p>
        </w:tc>
        <w:tc>
          <w:tcPr>
            <w:tcW w:w="4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7"/>
        </w:trPr>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7"/>
              </w:rPr>
              <w:t>2100 ROOSEVELT AVENUE</w:t>
            </w:r>
          </w:p>
        </w:tc>
        <w:tc>
          <w:tcPr>
            <w:tcW w:w="2540" w:type="dxa"/>
            <w:vAlign w:val="bottom"/>
          </w:tcPr>
          <w:p>
            <w:pPr>
              <w:spacing w:after="0"/>
              <w:rPr>
                <w:sz w:val="24"/>
                <w:szCs w:val="24"/>
                <w:color w:val="auto"/>
              </w:rPr>
            </w:pPr>
          </w:p>
        </w:tc>
      </w:tr>
      <w:tr>
        <w:trPr>
          <w:trHeight w:val="216"/>
        </w:trPr>
        <w:tc>
          <w:tcPr>
            <w:tcW w:w="2560" w:type="dxa"/>
            <w:vAlign w:val="bottom"/>
          </w:tcPr>
          <w:p>
            <w:pPr>
              <w:spacing w:after="0"/>
              <w:rPr>
                <w:sz w:val="18"/>
                <w:szCs w:val="18"/>
                <w:color w:val="auto"/>
              </w:rPr>
            </w:pPr>
          </w:p>
        </w:tc>
        <w:tc>
          <w:tcPr>
            <w:tcW w:w="34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8"/>
              </w:rPr>
              <w:t>SPRINGFIELD, MASSACHUSETTS</w:t>
            </w:r>
          </w:p>
        </w:tc>
        <w:tc>
          <w:tcPr>
            <w:tcW w:w="2540" w:type="dxa"/>
            <w:vAlign w:val="bottom"/>
          </w:tcPr>
          <w:p>
            <w:pPr>
              <w:spacing w:after="0"/>
              <w:rPr>
                <w:sz w:val="18"/>
                <w:szCs w:val="18"/>
                <w:color w:val="auto"/>
              </w:rPr>
            </w:pPr>
          </w:p>
        </w:tc>
      </w:tr>
      <w:tr>
        <w:trPr>
          <w:trHeight w:val="234"/>
        </w:trPr>
        <w:tc>
          <w:tcPr>
            <w:tcW w:w="2560" w:type="dxa"/>
            <w:vAlign w:val="bottom"/>
          </w:tcPr>
          <w:p>
            <w:pPr>
              <w:spacing w:after="0"/>
              <w:rPr>
                <w:sz w:val="20"/>
                <w:szCs w:val="20"/>
                <w:color w:val="auto"/>
              </w:rPr>
            </w:pPr>
          </w:p>
        </w:tc>
        <w:tc>
          <w:tcPr>
            <w:tcW w:w="3000" w:type="dxa"/>
            <w:vAlign w:val="bottom"/>
            <w:gridSpan w:val="2"/>
          </w:tcPr>
          <w:p>
            <w:pPr>
              <w:jc w:val="center"/>
              <w:ind w:left="356"/>
              <w:spacing w:after="0"/>
              <w:rPr>
                <w:sz w:val="20"/>
                <w:szCs w:val="20"/>
                <w:color w:val="auto"/>
              </w:rPr>
            </w:pPr>
            <w:r>
              <w:rPr>
                <w:rFonts w:ascii="Arial" w:cs="Arial" w:eastAsia="Arial" w:hAnsi="Arial"/>
                <w:sz w:val="18"/>
                <w:szCs w:val="18"/>
                <w:b w:val="1"/>
                <w:bCs w:val="1"/>
                <w:color w:val="auto"/>
                <w:w w:val="87"/>
              </w:rPr>
              <w:t>01104</w:t>
            </w:r>
          </w:p>
        </w:tc>
        <w:tc>
          <w:tcPr>
            <w:tcW w:w="440" w:type="dxa"/>
            <w:vAlign w:val="bottom"/>
          </w:tcPr>
          <w:p>
            <w:pPr>
              <w:spacing w:after="0"/>
              <w:rPr>
                <w:sz w:val="20"/>
                <w:szCs w:val="20"/>
                <w:color w:val="auto"/>
              </w:rPr>
            </w:pPr>
          </w:p>
        </w:tc>
        <w:tc>
          <w:tcPr>
            <w:tcW w:w="2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111760</wp:posOffset>
            </wp:positionV>
            <wp:extent cx="2915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(800) 331-0852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137795</wp:posOffset>
            </wp:positionV>
            <wp:extent cx="2915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0"/>
          <w:szCs w:val="20"/>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SIGNATURES</w:t>
        </w:r>
      </w:hyperlink>
    </w:p>
    <w:p>
      <w:pPr>
        <w:spacing w:after="0"/>
        <w:rPr>
          <w:sz w:val="20"/>
          <w:szCs w:val="20"/>
          <w:color w:val="auto"/>
        </w:rPr>
      </w:pPr>
      <w:r>
        <w:rPr>
          <w:rFonts w:ascii="Arial" w:cs="Arial" w:eastAsia="Arial" w:hAnsi="Arial"/>
          <w:sz w:val="22"/>
          <w:szCs w:val="22"/>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02"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registrant is furnishing this Report on Form 8-K in connection with the disclosure of information, in the form of the textual information from a press release released on September 9, 2004.</w:t>
      </w:r>
    </w:p>
    <w:p>
      <w:pPr>
        <w:spacing w:after="0" w:line="130"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information in this Report on Form 8-K (including the exhibit) is furnished pursuant to Item 12 and shall not be deemed to be “filed” for the purpose of Section 18 of the Securities Exchange Act of 1934 or otherwise subject to the liabilities of that section.</w:t>
      </w:r>
    </w:p>
    <w:p>
      <w:pPr>
        <w:spacing w:after="0" w:line="130"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registrant does not have, and expressly disclaims, any obligation to release publicly any updates or any changes in the registrant’s expectations or any change in events, conditions, or circumstances on which any forward-looking statement is based.</w:t>
      </w:r>
    </w:p>
    <w:p>
      <w:pPr>
        <w:spacing w:after="0" w:line="143"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text included with this Report is available on the registrant’s website located at www.smithandwesson.com, although the registrant reserves the right to discontinue that availability at any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dated September 9, 2004.</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SMITH &amp; WESSON HOLDING CORPORATION</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September 9, 2004</w:t>
            </w: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By: /s/ ROY C. CUNY</w:t>
            </w:r>
          </w:p>
        </w:tc>
      </w:tr>
      <w:tr>
        <w:trPr>
          <w:trHeight w:val="195"/>
        </w:trPr>
        <w:tc>
          <w:tcPr>
            <w:tcW w:w="36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Roy C. Cuny</w:t>
            </w:r>
          </w:p>
        </w:tc>
      </w:tr>
      <w:tr>
        <w:trPr>
          <w:trHeight w:val="230"/>
        </w:trPr>
        <w:tc>
          <w:tcPr>
            <w:tcW w:w="36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419"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spacing w:after="0"/>
        <w:tabs>
          <w:tab w:leader="none" w:pos="10140" w:val="left"/>
        </w:tabs>
        <w:rPr>
          <w:sz w:val="20"/>
          <w:szCs w:val="20"/>
          <w:color w:val="auto"/>
        </w:rPr>
      </w:pPr>
      <w:r>
        <w:rPr>
          <w:rFonts w:ascii="Arial" w:cs="Arial" w:eastAsia="Arial" w:hAnsi="Arial"/>
          <w:sz w:val="18"/>
          <w:szCs w:val="18"/>
          <w:b w:val="1"/>
          <w:bCs w:val="1"/>
          <w:color w:val="auto"/>
        </w:rPr>
        <w:t>FOR IMMEDIATE RELEASE</w:t>
      </w:r>
      <w:r>
        <w:rPr>
          <w:sz w:val="20"/>
          <w:szCs w:val="20"/>
          <w:color w:val="auto"/>
        </w:rPr>
        <w:tab/>
      </w:r>
      <w:r>
        <w:rPr>
          <w:rFonts w:ascii="Arial" w:cs="Arial" w:eastAsia="Arial" w:hAnsi="Arial"/>
          <w:sz w:val="15"/>
          <w:szCs w:val="15"/>
          <w:i w:val="1"/>
          <w:iCs w:val="1"/>
          <w:color w:val="auto"/>
        </w:rPr>
        <w:t>NEWS RELEASE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Investor and Media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Patty Bruner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Christensen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480-614-3009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Smith &amp; Wesson Reports First Quarter Earnings Increase on Slightly Lower Revenue and Full Year Projections.</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Smith &amp; Wesson Holding Corporation (AMEX:SWB), parent of the legendary 152-year old handgun maker Smith &amp; Wesson Corp., announced today that earnings for the first fiscal quarter ended July 31, 2004 were $1.5 million, or $.04 per diluted share, compared with $585,000, or $.02 per diluted share, for the fiscal quarter ended July 31, 2003. Net product sales for the quarter were $27.8 million, a $1.0 million, or 3.5%, decline versus the fiscal quarter ended July 31, 2003. The results were in line with the estimates that the Company had announced in August.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Firearms sales, the Company’s core business, were $25.3 million, an increase of $547,000, or 2.2%, for the quarter versus the comparable quarter last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Non-firearms sales declined by $1.6 million to $2.5 million due to the discontinued third-party machining business and lower handcuff sales.</w:t>
      </w:r>
    </w:p>
    <w:p>
      <w:pPr>
        <w:spacing w:after="0" w:line="17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increase in net income was attributable to improved efficiencies, lower spending and a $376,000 reduction to the product liability reserves. Gross profit as a percentage of sales and licensing revenue increased from 30.6% for the quarter ended July 31, 2003 to 33.2% for the quarter ended July 31, 2004.</w:t>
      </w:r>
    </w:p>
    <w:p>
      <w:pPr>
        <w:spacing w:after="0" w:line="9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Roy Cuny, President and CEO of Smith &amp; Wesson Holding Corporation, said, “We are very pleased with the expanding margins and improved operational capabilities we have gained due to our strong dedication to improving the manufacturing operation. The quarter clearly reflects that improvement goals set over the course of the last six months are being realized.”</w:t>
      </w:r>
    </w:p>
    <w:p>
      <w:pPr>
        <w:spacing w:after="0" w:line="14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Cuny continued, “Firearms sales were up slightly during the first quarter. Our ability to provide innovative products and aggressive marketing promotions have allowed us to increase market share and deepen our relationship with dealers and our end customers. As we go forward, our continued improvements in operational efficiency and our new marketing and sales teams will now provide for both increased revenues and profitability. We are progressing in a carefully planned manner and believe we will deliver value-driving results with a combined revenue and earnings-focused growth plan.”</w:t>
      </w:r>
    </w:p>
    <w:p>
      <w:pPr>
        <w:spacing w:after="0" w:line="11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Cuny added, “The demand for Model 500 revolvers continues to outpace our production capability. We are purchasing additional equipment and expect to double our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 w:name="page6"/>
    <w:bookmarkEnd w:id="5"/>
    <w:p>
      <w:pPr>
        <w:ind w:right="40"/>
        <w:spacing w:after="0" w:line="277" w:lineRule="auto"/>
        <w:rPr>
          <w:sz w:val="20"/>
          <w:szCs w:val="20"/>
          <w:color w:val="auto"/>
        </w:rPr>
      </w:pPr>
      <w:r>
        <w:rPr>
          <w:rFonts w:ascii="Arial" w:cs="Arial" w:eastAsia="Arial" w:hAnsi="Arial"/>
          <w:sz w:val="18"/>
          <w:szCs w:val="18"/>
          <w:color w:val="auto"/>
        </w:rPr>
        <w:t>of the Model 500 by the end of the second quarter. We have also decided to increase our planned capital spending for the year to $9.0 million, compared with the $5.0 million originally planned. The additional spending will address the higher demand and process improvements.”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John Kelly, Chief Financial Officer of Smith &amp; Wesson Holding Corporation, commented, “Operating margins continue to improve as a result of the increased productivity and cost savings. While we are still early in the process, the Lean and Six Sigma initiatives are yielding favorable results, and we expect to see further process improvements and cost reductions as we continue with these efforts. We are also seeing the benefits of the restructuring that took place in January of this year.”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Kelly added, “Refinancing efforts are currently underway, and we expect it to be completed by the end of November.”</w:t>
      </w:r>
    </w:p>
    <w:p>
      <w:pPr>
        <w:spacing w:after="0" w:line="18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also announced that it expects sales for the fiscal year ending April 30, 2005 to increase by approximately 5% to 10% over the $117.9 million reported for the fiscal year ended April 30, 2004. Net income is expected to be between $5.4 million and $6.4 million, or between $.16 and $.19 per fully diluted share compared with $1.4 million, or $.04 per fully diluted share, for the fiscal year ended April 30, 2004.</w:t>
      </w:r>
    </w:p>
    <w:p>
      <w:pPr>
        <w:spacing w:after="0" w:line="13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Commenting on the annual projections, Roy Cuny said, “We are in the process of developing our new marketing initiatives, including adding critical personnel in the sales and marketing areas. We expect an increase in revenues in the current fiscal year and expect sales to increase at a greater rate in fiscal 2006 as our marketing initiatives take hold.”</w:t>
      </w:r>
    </w:p>
    <w:p>
      <w:pPr>
        <w:spacing w:after="0" w:line="14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John Kelly added, “Benefits from the current Lean and Six Sigma programs are expected to intensify during the remainder of the fiscal year, with the full impact being felt in the next fiscal year. We also plan to make a significant investment in new equipment to increase productivity and expand our production capacity.”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About Smith &amp; Wesson</w:t>
      </w:r>
    </w:p>
    <w:p>
      <w:pPr>
        <w:spacing w:after="0" w:line="198"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Smith &amp; Wesson Holding Corporation is the parent company of Smith &amp; Wesson Corp., one of the world’s leading producers of quality handguns, law enforcement products and firearm safety and security products. Law enforcement personnel, military personnel, target shooters, hunters, collectors, and firearms enthusiasts throughout the world have used the Company’s products with confidence for more than 150 years. Smith &amp; Wesson Corp. also manufactures and markets Smith &amp; Wesson branded handcuffs. For more information, visit http://www.smith-wesson.com.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Safe Harbor Statement</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Certain statements contained in this press release may be deemed to be forward-looking statements under federal securities laws, and the Company intends that such forward-looking statements be subject to the safe-harbor created thereby. Such forward-looking statements include statements regarding the Company’s sales and earnings projections for the fiscal year ending April 30, 2005, the Company’s strategies, the level of capital expenditures, the demand for the Company’s products, the opportunity for growth of the Company, operating efficiencies, customer satisfaction and cost-reduction efforts. The Company cautions that these statements are qualified by important factors that could cause actual results to differ materially from those reflected by such forward-looking statements. Such factors include the demand for the Company’s products, the Company’s growth opportunities, the ability of the Company to obtain operational enhancements, the ability of the Company to increase its production capacity, the ability of the Company to engage additional key employees, and other risks detailed from time to time in the Company’s reports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SMITH &amp; WESSON HOLDING CORPORATION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UNAUDITED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OTHER COMPREHENSIVE INCOME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31,</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131"/>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131"/>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478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4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product sales</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w w:val="86"/>
              </w:rPr>
              <w:t>27,768,875</w:t>
            </w:r>
          </w:p>
        </w:tc>
        <w:tc>
          <w:tcPr>
            <w:tcW w:w="4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b w:val="1"/>
                <w:bCs w:val="1"/>
                <w:color w:val="auto"/>
                <w:w w:val="86"/>
              </w:rPr>
              <w:t>28,792,856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License revenue</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396,750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423,303</w:t>
            </w: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Cost of goods sold</w:t>
            </w:r>
          </w:p>
        </w:tc>
        <w:tc>
          <w:tcPr>
            <w:tcW w:w="4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w w:val="86"/>
              </w:rPr>
              <w:t>18,772,067</w:t>
            </w: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b w:val="1"/>
                <w:bCs w:val="1"/>
                <w:color w:val="auto"/>
                <w:w w:val="86"/>
              </w:rPr>
              <w:t>20,261,720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Cost of services</w:t>
            </w:r>
          </w:p>
        </w:tc>
        <w:tc>
          <w:tcPr>
            <w:tcW w:w="4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29,158</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Gross profit</w:t>
            </w:r>
          </w:p>
        </w:tc>
        <w:tc>
          <w:tcPr>
            <w:tcW w:w="420" w:type="dxa"/>
            <w:vAlign w:val="bottom"/>
            <w:shd w:val="clear" w:color="auto" w:fill="EEEEEE"/>
          </w:tcPr>
          <w:p>
            <w:pPr>
              <w:spacing w:after="0"/>
              <w:rPr>
                <w:sz w:val="18"/>
                <w:szCs w:val="18"/>
                <w:color w:val="auto"/>
              </w:rPr>
            </w:pPr>
          </w:p>
        </w:tc>
        <w:tc>
          <w:tcPr>
            <w:tcW w:w="80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9,364,400</w:t>
            </w: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0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8,954,439</w:t>
            </w:r>
          </w:p>
        </w:tc>
        <w:tc>
          <w:tcPr>
            <w:tcW w:w="48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42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440" w:type="dxa"/>
            <w:vAlign w:val="bottom"/>
          </w:tcPr>
          <w:p>
            <w:pPr>
              <w:spacing w:after="0"/>
              <w:rPr>
                <w:sz w:val="18"/>
                <w:szCs w:val="18"/>
                <w:color w:val="auto"/>
              </w:rPr>
            </w:pPr>
          </w:p>
        </w:tc>
        <w:tc>
          <w:tcPr>
            <w:tcW w:w="47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80" w:type="dxa"/>
            <w:vAlign w:val="bottom"/>
            <w:shd w:val="clear" w:color="auto" w:fill="EEEEEE"/>
          </w:tcPr>
          <w:p>
            <w:pPr>
              <w:ind w:left="140"/>
              <w:spacing w:after="0"/>
              <w:rPr>
                <w:sz w:val="20"/>
                <w:szCs w:val="20"/>
                <w:color w:val="auto"/>
              </w:rPr>
            </w:pPr>
            <w:r>
              <w:rPr>
                <w:rFonts w:ascii="Arial" w:cs="Arial" w:eastAsia="Arial" w:hAnsi="Arial"/>
                <w:sz w:val="18"/>
                <w:szCs w:val="18"/>
                <w:b w:val="1"/>
                <w:bCs w:val="1"/>
                <w:color w:val="auto"/>
              </w:rPr>
              <w:t>Research and development, net</w:t>
            </w:r>
          </w:p>
        </w:tc>
        <w:tc>
          <w:tcPr>
            <w:tcW w:w="4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37,139</w:t>
            </w: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328,618</w:t>
            </w:r>
          </w:p>
        </w:tc>
        <w:tc>
          <w:tcPr>
            <w:tcW w:w="48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80" w:type="dxa"/>
            <w:vAlign w:val="bottom"/>
          </w:tcPr>
          <w:p>
            <w:pPr>
              <w:ind w:left="140"/>
              <w:spacing w:after="0"/>
              <w:rPr>
                <w:sz w:val="20"/>
                <w:szCs w:val="20"/>
                <w:color w:val="auto"/>
              </w:rPr>
            </w:pPr>
            <w:r>
              <w:rPr>
                <w:rFonts w:ascii="Arial" w:cs="Arial" w:eastAsia="Arial" w:hAnsi="Arial"/>
                <w:sz w:val="18"/>
                <w:szCs w:val="18"/>
                <w:b w:val="1"/>
                <w:bCs w:val="1"/>
                <w:color w:val="auto"/>
              </w:rPr>
              <w:t>Selling and marketing</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2,861,250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2,956,901</w:t>
            </w: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80" w:type="dxa"/>
            <w:vAlign w:val="bottom"/>
            <w:shd w:val="clear" w:color="auto" w:fill="EEEEEE"/>
          </w:tcPr>
          <w:p>
            <w:pPr>
              <w:ind w:left="140"/>
              <w:spacing w:after="0"/>
              <w:rPr>
                <w:sz w:val="20"/>
                <w:szCs w:val="20"/>
                <w:color w:val="auto"/>
              </w:rPr>
            </w:pPr>
            <w:r>
              <w:rPr>
                <w:rFonts w:ascii="Arial" w:cs="Arial" w:eastAsia="Arial" w:hAnsi="Arial"/>
                <w:sz w:val="18"/>
                <w:szCs w:val="18"/>
                <w:b w:val="1"/>
                <w:bCs w:val="1"/>
                <w:color w:val="auto"/>
              </w:rPr>
              <w:t>General and administrative</w:t>
            </w: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3,600,541</w:t>
            </w: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3,319,708</w:t>
            </w:r>
          </w:p>
        </w:tc>
        <w:tc>
          <w:tcPr>
            <w:tcW w:w="48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78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Total operating expenses</w:t>
            </w:r>
          </w:p>
        </w:tc>
        <w:tc>
          <w:tcPr>
            <w:tcW w:w="42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40" w:type="dxa"/>
            <w:vAlign w:val="bottom"/>
          </w:tcPr>
          <w:p>
            <w:pPr>
              <w:spacing w:after="0"/>
              <w:rPr>
                <w:sz w:val="20"/>
                <w:szCs w:val="20"/>
                <w:color w:val="auto"/>
              </w:rPr>
            </w:pPr>
          </w:p>
        </w:tc>
        <w:tc>
          <w:tcPr>
            <w:tcW w:w="478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w w:val="97"/>
              </w:rPr>
              <w:t>6,498,930</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w w:val="97"/>
              </w:rPr>
              <w:t>6,605,227</w:t>
            </w: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Income from operations</w:t>
            </w: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2,865,470</w:t>
            </w: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2,349,212</w:t>
            </w:r>
          </w:p>
        </w:tc>
        <w:tc>
          <w:tcPr>
            <w:tcW w:w="48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Other income/(expense):</w:t>
            </w:r>
          </w:p>
        </w:tc>
        <w:tc>
          <w:tcPr>
            <w:tcW w:w="42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440" w:type="dxa"/>
            <w:vAlign w:val="bottom"/>
          </w:tcPr>
          <w:p>
            <w:pPr>
              <w:spacing w:after="0"/>
              <w:rPr>
                <w:sz w:val="18"/>
                <w:szCs w:val="18"/>
                <w:color w:val="auto"/>
              </w:rPr>
            </w:pPr>
          </w:p>
        </w:tc>
        <w:tc>
          <w:tcPr>
            <w:tcW w:w="47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80" w:type="dxa"/>
            <w:vAlign w:val="bottom"/>
            <w:shd w:val="clear" w:color="auto" w:fill="EEEEEE"/>
          </w:tcPr>
          <w:p>
            <w:pPr>
              <w:ind w:left="140"/>
              <w:spacing w:after="0"/>
              <w:rPr>
                <w:sz w:val="20"/>
                <w:szCs w:val="20"/>
                <w:color w:val="auto"/>
              </w:rPr>
            </w:pPr>
            <w:r>
              <w:rPr>
                <w:rFonts w:ascii="Arial" w:cs="Arial" w:eastAsia="Arial" w:hAnsi="Arial"/>
                <w:sz w:val="18"/>
                <w:szCs w:val="18"/>
                <w:b w:val="1"/>
                <w:bCs w:val="1"/>
                <w:color w:val="auto"/>
              </w:rPr>
              <w:t>Other income/(expense)</w:t>
            </w: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314,993</w:t>
            </w: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b w:val="1"/>
                <w:bCs w:val="1"/>
                <w:color w:val="auto"/>
              </w:rPr>
              <w:t>(679,620)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80" w:type="dxa"/>
            <w:vAlign w:val="bottom"/>
          </w:tcPr>
          <w:p>
            <w:pPr>
              <w:ind w:left="140"/>
              <w:spacing w:after="0"/>
              <w:rPr>
                <w:sz w:val="20"/>
                <w:szCs w:val="20"/>
                <w:color w:val="auto"/>
              </w:rPr>
            </w:pPr>
            <w:r>
              <w:rPr>
                <w:rFonts w:ascii="Arial" w:cs="Arial" w:eastAsia="Arial" w:hAnsi="Arial"/>
                <w:sz w:val="18"/>
                <w:szCs w:val="18"/>
                <w:b w:val="1"/>
                <w:bCs w:val="1"/>
                <w:color w:val="auto"/>
              </w:rPr>
              <w:t>Interest income</w:t>
            </w:r>
          </w:p>
        </w:tc>
        <w:tc>
          <w:tcPr>
            <w:tcW w:w="4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82,250</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96,671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80" w:type="dxa"/>
            <w:vAlign w:val="bottom"/>
            <w:shd w:val="clear" w:color="auto" w:fill="EEEEEE"/>
          </w:tcPr>
          <w:p>
            <w:pPr>
              <w:ind w:left="140"/>
              <w:spacing w:after="0"/>
              <w:rPr>
                <w:sz w:val="20"/>
                <w:szCs w:val="20"/>
                <w:color w:val="auto"/>
              </w:rPr>
            </w:pPr>
            <w:r>
              <w:rPr>
                <w:rFonts w:ascii="Arial" w:cs="Arial" w:eastAsia="Arial" w:hAnsi="Arial"/>
                <w:sz w:val="18"/>
                <w:szCs w:val="18"/>
                <w:b w:val="1"/>
                <w:bCs w:val="1"/>
                <w:color w:val="auto"/>
              </w:rPr>
              <w:t>Interest expense</w:t>
            </w:r>
          </w:p>
        </w:tc>
        <w:tc>
          <w:tcPr>
            <w:tcW w:w="4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(835,377)</w:t>
            </w: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b w:val="1"/>
                <w:bCs w:val="1"/>
                <w:color w:val="auto"/>
              </w:rPr>
              <w:t>(851,813)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(438,134)</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b w:val="1"/>
                <w:bCs w:val="1"/>
                <w:color w:val="auto"/>
                <w:w w:val="84"/>
              </w:rPr>
              <w:t>(1,434,762)</w:t>
            </w: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Income before income taxes</w:t>
            </w: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2,427,336</w:t>
            </w: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914,450</w:t>
            </w:r>
          </w:p>
        </w:tc>
        <w:tc>
          <w:tcPr>
            <w:tcW w:w="48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420" w:type="dxa"/>
            <w:vAlign w:val="bottom"/>
          </w:tcPr>
          <w:p>
            <w:pPr>
              <w:spacing w:after="0"/>
              <w:rPr>
                <w:sz w:val="20"/>
                <w:szCs w:val="20"/>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934,690</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329,202</w:t>
            </w: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1,492,646</w:t>
            </w: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585,248</w:t>
            </w:r>
          </w:p>
        </w:tc>
        <w:tc>
          <w:tcPr>
            <w:tcW w:w="48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80" w:type="dxa"/>
            <w:vAlign w:val="bottom"/>
            <w:shd w:val="clear" w:color="auto" w:fill="EEEEEE"/>
          </w:tcPr>
          <w:p>
            <w:pPr>
              <w:ind w:left="140"/>
              <w:spacing w:after="0"/>
              <w:rPr>
                <w:sz w:val="20"/>
                <w:szCs w:val="20"/>
                <w:color w:val="auto"/>
              </w:rPr>
            </w:pPr>
            <w:r>
              <w:rPr>
                <w:rFonts w:ascii="Arial" w:cs="Arial" w:eastAsia="Arial" w:hAnsi="Arial"/>
                <w:sz w:val="18"/>
                <w:szCs w:val="18"/>
                <w:b w:val="1"/>
                <w:bCs w:val="1"/>
                <w:color w:val="auto"/>
              </w:rPr>
              <w:t>Unrealized loss on marketable securities</w:t>
            </w:r>
          </w:p>
        </w:tc>
        <w:tc>
          <w:tcPr>
            <w:tcW w:w="4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b w:val="1"/>
                <w:bCs w:val="1"/>
                <w:color w:val="auto"/>
              </w:rPr>
              <w:t>(12,273)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w w:val="97"/>
              </w:rPr>
              <w:t>1,492,646</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572,975</w:t>
            </w: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4780" w:type="dxa"/>
            <w:vAlign w:val="bottom"/>
            <w:shd w:val="clear" w:color="auto" w:fill="EEEEEE"/>
          </w:tcPr>
          <w:p>
            <w:pPr>
              <w:spacing w:after="0" w:line="198" w:lineRule="exact"/>
              <w:rPr>
                <w:sz w:val="20"/>
                <w:szCs w:val="20"/>
                <w:color w:val="auto"/>
              </w:rPr>
            </w:pPr>
            <w:r>
              <w:rPr>
                <w:rFonts w:ascii="Arial" w:cs="Arial" w:eastAsia="Arial" w:hAnsi="Arial"/>
                <w:sz w:val="18"/>
                <w:szCs w:val="18"/>
                <w:b w:val="1"/>
                <w:bCs w:val="1"/>
                <w:color w:val="auto"/>
                <w:w w:val="98"/>
              </w:rPr>
              <w:t>Weighted average number of common equivalent shares</w:t>
            </w:r>
          </w:p>
        </w:tc>
        <w:tc>
          <w:tcPr>
            <w:tcW w:w="4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4780" w:type="dxa"/>
            <w:vAlign w:val="bottom"/>
            <w:shd w:val="clear" w:color="auto" w:fill="EEEEEE"/>
          </w:tcPr>
          <w:p>
            <w:pPr>
              <w:ind w:left="140"/>
              <w:spacing w:after="0"/>
              <w:rPr>
                <w:sz w:val="20"/>
                <w:szCs w:val="20"/>
                <w:color w:val="auto"/>
              </w:rPr>
            </w:pPr>
            <w:r>
              <w:rPr>
                <w:rFonts w:ascii="Arial" w:cs="Arial" w:eastAsia="Arial" w:hAnsi="Arial"/>
                <w:sz w:val="18"/>
                <w:szCs w:val="18"/>
                <w:b w:val="1"/>
                <w:bCs w:val="1"/>
                <w:color w:val="auto"/>
              </w:rPr>
              <w:t>outstanding, basic</w:t>
            </w:r>
          </w:p>
        </w:tc>
        <w:tc>
          <w:tcPr>
            <w:tcW w:w="420" w:type="dxa"/>
            <w:vAlign w:val="bottom"/>
            <w:shd w:val="clear" w:color="auto" w:fill="EEEEEE"/>
          </w:tcPr>
          <w:p>
            <w:pPr>
              <w:spacing w:after="0"/>
              <w:rPr>
                <w:sz w:val="20"/>
                <w:szCs w:val="20"/>
                <w:color w:val="auto"/>
              </w:rPr>
            </w:pPr>
          </w:p>
        </w:tc>
        <w:tc>
          <w:tcPr>
            <w:tcW w:w="8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w w:val="86"/>
              </w:rPr>
              <w:t>31,009,782</w:t>
            </w:r>
          </w:p>
        </w:tc>
        <w:tc>
          <w:tcPr>
            <w:tcW w:w="48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b w:val="1"/>
                <w:bCs w:val="1"/>
                <w:color w:val="auto"/>
                <w:w w:val="86"/>
              </w:rPr>
              <w:t>30,620,389</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Net income per share, basic</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0.05</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0.02</w:t>
            </w: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4780" w:type="dxa"/>
            <w:vAlign w:val="bottom"/>
            <w:shd w:val="clear" w:color="auto" w:fill="EEEEEE"/>
          </w:tcPr>
          <w:p>
            <w:pPr>
              <w:spacing w:after="0" w:line="198" w:lineRule="exact"/>
              <w:rPr>
                <w:sz w:val="20"/>
                <w:szCs w:val="20"/>
                <w:color w:val="auto"/>
              </w:rPr>
            </w:pPr>
            <w:r>
              <w:rPr>
                <w:rFonts w:ascii="Arial" w:cs="Arial" w:eastAsia="Arial" w:hAnsi="Arial"/>
                <w:sz w:val="18"/>
                <w:szCs w:val="18"/>
                <w:b w:val="1"/>
                <w:bCs w:val="1"/>
                <w:color w:val="auto"/>
                <w:w w:val="98"/>
              </w:rPr>
              <w:t>Weighted average number of common equivalent shares</w:t>
            </w:r>
          </w:p>
        </w:tc>
        <w:tc>
          <w:tcPr>
            <w:tcW w:w="4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4780" w:type="dxa"/>
            <w:vAlign w:val="bottom"/>
            <w:shd w:val="clear" w:color="auto" w:fill="EEEEEE"/>
          </w:tcPr>
          <w:p>
            <w:pPr>
              <w:ind w:left="140"/>
              <w:spacing w:after="0"/>
              <w:rPr>
                <w:sz w:val="20"/>
                <w:szCs w:val="20"/>
                <w:color w:val="auto"/>
              </w:rPr>
            </w:pPr>
            <w:r>
              <w:rPr>
                <w:rFonts w:ascii="Arial" w:cs="Arial" w:eastAsia="Arial" w:hAnsi="Arial"/>
                <w:sz w:val="18"/>
                <w:szCs w:val="18"/>
                <w:b w:val="1"/>
                <w:bCs w:val="1"/>
                <w:color w:val="auto"/>
              </w:rPr>
              <w:t>outstanding, diluted</w:t>
            </w:r>
          </w:p>
        </w:tc>
        <w:tc>
          <w:tcPr>
            <w:tcW w:w="420" w:type="dxa"/>
            <w:vAlign w:val="bottom"/>
            <w:shd w:val="clear" w:color="auto" w:fill="EEEEEE"/>
          </w:tcPr>
          <w:p>
            <w:pPr>
              <w:spacing w:after="0"/>
              <w:rPr>
                <w:sz w:val="20"/>
                <w:szCs w:val="20"/>
                <w:color w:val="auto"/>
              </w:rPr>
            </w:pPr>
          </w:p>
        </w:tc>
        <w:tc>
          <w:tcPr>
            <w:tcW w:w="8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w w:val="86"/>
              </w:rPr>
              <w:t>34,089,436</w:t>
            </w:r>
          </w:p>
        </w:tc>
        <w:tc>
          <w:tcPr>
            <w:tcW w:w="48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b w:val="1"/>
                <w:bCs w:val="1"/>
                <w:color w:val="auto"/>
                <w:w w:val="86"/>
              </w:rPr>
              <w:t>36,350,802</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4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Net income per share, diluted</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0.04</w:t>
            </w:r>
          </w:p>
        </w:tc>
        <w:tc>
          <w:tcPr>
            <w:tcW w:w="20" w:type="dxa"/>
            <w:vAlign w:val="bottom"/>
            <w:tcBorders>
              <w:bottom w:val="single" w:sz="8" w:color="808080"/>
            </w:tcBorders>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0.02</w:t>
            </w: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1440" w:type="dxa"/>
            <w:vAlign w:val="bottom"/>
            <w:tcBorders>
              <w:bottom w:val="single" w:sz="8" w:color="808080"/>
            </w:tcBorders>
          </w:tcPr>
          <w:p>
            <w:pPr>
              <w:spacing w:after="0"/>
              <w:rPr>
                <w:sz w:val="24"/>
                <w:szCs w:val="24"/>
                <w:color w:val="auto"/>
              </w:rPr>
            </w:pPr>
          </w:p>
        </w:tc>
        <w:tc>
          <w:tcPr>
            <w:tcW w:w="47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SMITH &amp; WESSON HOLDING CORPORATION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31,2004</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April 30,2004</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586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880" w:type="dxa"/>
            <w:vAlign w:val="bottom"/>
          </w:tcPr>
          <w:p>
            <w:pPr>
              <w:spacing w:after="0"/>
              <w:rPr>
                <w:sz w:val="6"/>
                <w:szCs w:val="6"/>
                <w:color w:val="auto"/>
              </w:rPr>
            </w:pPr>
          </w:p>
        </w:tc>
        <w:tc>
          <w:tcPr>
            <w:tcW w:w="5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EEEEEE"/>
          </w:tcPr>
          <w:p>
            <w:pPr>
              <w:ind w:left="4500"/>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EEEEEE"/>
          </w:tcPr>
          <w:p>
            <w:pPr>
              <w:spacing w:after="0"/>
              <w:rPr>
                <w:sz w:val="18"/>
                <w:szCs w:val="18"/>
                <w:color w:val="auto"/>
              </w:rPr>
            </w:pPr>
          </w:p>
        </w:tc>
        <w:tc>
          <w:tcPr>
            <w:tcW w:w="820" w:type="dxa"/>
            <w:vAlign w:val="bottom"/>
            <w:tcBorders>
              <w:left w:val="single" w:sz="8" w:color="EEEEEE"/>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Cash and cash equivalents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3,522,181</w:t>
            </w:r>
          </w:p>
        </w:tc>
        <w:tc>
          <w:tcPr>
            <w:tcW w:w="480" w:type="dxa"/>
            <w:vAlign w:val="bottom"/>
            <w:shd w:val="clear" w:color="auto" w:fill="EEEEEE"/>
          </w:tcPr>
          <w:p>
            <w:pPr>
              <w:spacing w:after="0"/>
              <w:rPr>
                <w:sz w:val="18"/>
                <w:szCs w:val="18"/>
                <w:color w:val="auto"/>
              </w:rPr>
            </w:pPr>
          </w:p>
        </w:tc>
        <w:tc>
          <w:tcPr>
            <w:tcW w:w="7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5,510,663</w:t>
            </w:r>
          </w:p>
        </w:tc>
        <w:tc>
          <w:tcPr>
            <w:tcW w:w="4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Arial" w:cs="Arial" w:eastAsia="Arial" w:hAnsi="Arial"/>
                <w:sz w:val="18"/>
                <w:szCs w:val="18"/>
                <w:b w:val="1"/>
                <w:bCs w:val="1"/>
                <w:color w:val="auto"/>
              </w:rPr>
              <w:t>Marketable securities</w:t>
            </w:r>
          </w:p>
        </w:tc>
        <w:tc>
          <w:tcPr>
            <w:tcW w:w="4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1,538,738</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5860" w:type="dxa"/>
            <w:vAlign w:val="bottom"/>
            <w:shd w:val="clear" w:color="auto" w:fill="EEEEEE"/>
          </w:tcPr>
          <w:p>
            <w:pPr>
              <w:ind w:left="120"/>
              <w:spacing w:after="0" w:line="198" w:lineRule="exact"/>
              <w:rPr>
                <w:sz w:val="20"/>
                <w:szCs w:val="20"/>
                <w:color w:val="auto"/>
              </w:rPr>
            </w:pPr>
            <w:r>
              <w:rPr>
                <w:rFonts w:ascii="Arial" w:cs="Arial" w:eastAsia="Arial" w:hAnsi="Arial"/>
                <w:sz w:val="18"/>
                <w:szCs w:val="18"/>
                <w:b w:val="1"/>
                <w:bCs w:val="1"/>
                <w:color w:val="auto"/>
                <w:w w:val="92"/>
              </w:rPr>
              <w:t>Accounts receivable, net of allowance for doubtful accounts of $103,510</w:t>
            </w:r>
          </w:p>
        </w:tc>
        <w:tc>
          <w:tcPr>
            <w:tcW w:w="400" w:type="dxa"/>
            <w:vAlign w:val="bottom"/>
            <w:shd w:val="clear" w:color="auto" w:fill="EEEEEE"/>
          </w:tcPr>
          <w:p>
            <w:pPr>
              <w:spacing w:after="0"/>
              <w:rPr>
                <w:sz w:val="17"/>
                <w:szCs w:val="17"/>
                <w:color w:val="auto"/>
              </w:rPr>
            </w:pPr>
          </w:p>
        </w:tc>
        <w:tc>
          <w:tcPr>
            <w:tcW w:w="820" w:type="dxa"/>
            <w:vAlign w:val="bottom"/>
            <w:tcBorders>
              <w:left w:val="single" w:sz="8" w:color="EEEEEE"/>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520" w:type="dxa"/>
            <w:vAlign w:val="bottom"/>
            <w:tcBorders>
              <w:right w:val="single" w:sz="8" w:color="EEEEEE"/>
            </w:tcBorders>
            <w:shd w:val="clear" w:color="auto" w:fill="EEEEEE"/>
          </w:tcPr>
          <w:p>
            <w:pPr>
              <w:spacing w:after="0"/>
              <w:rPr>
                <w:sz w:val="17"/>
                <w:szCs w:val="17"/>
                <w:color w:val="auto"/>
              </w:rPr>
            </w:pPr>
          </w:p>
        </w:tc>
        <w:tc>
          <w:tcPr>
            <w:tcW w:w="900" w:type="dxa"/>
            <w:vAlign w:val="bottom"/>
            <w:tcBorders>
              <w:right w:val="single" w:sz="8" w:color="EEEEEE"/>
            </w:tcBorders>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on July 31, 2004 and $100,000 on April 30, 2004</w:t>
            </w:r>
          </w:p>
        </w:tc>
        <w:tc>
          <w:tcPr>
            <w:tcW w:w="400" w:type="dxa"/>
            <w:vAlign w:val="bottom"/>
            <w:shd w:val="clear" w:color="auto" w:fill="EEEEEE"/>
          </w:tcPr>
          <w:p>
            <w:pPr>
              <w:spacing w:after="0"/>
              <w:rPr>
                <w:sz w:val="20"/>
                <w:szCs w:val="20"/>
                <w:color w:val="auto"/>
              </w:rPr>
            </w:pPr>
          </w:p>
        </w:tc>
        <w:tc>
          <w:tcPr>
            <w:tcW w:w="8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16,704,504</w:t>
            </w:r>
          </w:p>
        </w:tc>
        <w:tc>
          <w:tcPr>
            <w:tcW w:w="4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520" w:type="dxa"/>
            <w:vAlign w:val="bottom"/>
            <w:tcBorders>
              <w:right w:val="single" w:sz="8" w:color="EEEEEE"/>
            </w:tcBorders>
            <w:shd w:val="clear" w:color="auto" w:fill="EEEEEE"/>
          </w:tcPr>
          <w:p>
            <w:pPr>
              <w:spacing w:after="0"/>
              <w:rPr>
                <w:sz w:val="20"/>
                <w:szCs w:val="20"/>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5"/>
              </w:rPr>
              <w:t>20,249,858</w:t>
            </w:r>
          </w:p>
        </w:tc>
        <w:tc>
          <w:tcPr>
            <w:tcW w:w="460" w:type="dxa"/>
            <w:vAlign w:val="bottom"/>
            <w:shd w:val="clear" w:color="auto" w:fill="EEEEEE"/>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Arial" w:cs="Arial" w:eastAsia="Arial" w:hAnsi="Arial"/>
                <w:sz w:val="18"/>
                <w:szCs w:val="18"/>
                <w:b w:val="1"/>
                <w:bCs w:val="1"/>
                <w:color w:val="auto"/>
              </w:rPr>
              <w:t>Inventories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6"/>
              </w:rPr>
              <w:t>17,687,705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5"/>
              </w:rPr>
              <w:t>15,986,705</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Other current assets</w:t>
            </w:r>
          </w:p>
        </w:tc>
        <w:tc>
          <w:tcPr>
            <w:tcW w:w="400" w:type="dxa"/>
            <w:vAlign w:val="bottom"/>
            <w:shd w:val="clear" w:color="auto" w:fill="EEEEEE"/>
          </w:tcPr>
          <w:p>
            <w:pPr>
              <w:spacing w:after="0"/>
              <w:rPr>
                <w:sz w:val="18"/>
                <w:szCs w:val="18"/>
                <w:color w:val="auto"/>
              </w:rPr>
            </w:pPr>
          </w:p>
        </w:tc>
        <w:tc>
          <w:tcPr>
            <w:tcW w:w="8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2,419,768</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1,823,181</w:t>
            </w:r>
          </w:p>
        </w:tc>
        <w:tc>
          <w:tcPr>
            <w:tcW w:w="4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Arial" w:cs="Arial" w:eastAsia="Arial" w:hAnsi="Arial"/>
                <w:sz w:val="18"/>
                <w:szCs w:val="18"/>
                <w:b w:val="1"/>
                <w:bCs w:val="1"/>
                <w:color w:val="auto"/>
              </w:rPr>
              <w:t>Deferred income taxes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7"/>
              </w:rPr>
              <w:t>3,639,782</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3,900,480</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Income tax receivable</w:t>
            </w:r>
          </w:p>
        </w:tc>
        <w:tc>
          <w:tcPr>
            <w:tcW w:w="400" w:type="dxa"/>
            <w:vAlign w:val="bottom"/>
            <w:shd w:val="clear" w:color="auto" w:fill="EEEEEE"/>
          </w:tcPr>
          <w:p>
            <w:pPr>
              <w:spacing w:after="0"/>
              <w:rPr>
                <w:sz w:val="18"/>
                <w:szCs w:val="18"/>
                <w:color w:val="auto"/>
              </w:rPr>
            </w:pPr>
          </w:p>
        </w:tc>
        <w:tc>
          <w:tcPr>
            <w:tcW w:w="8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71,195</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160,596</w:t>
            </w:r>
          </w:p>
        </w:tc>
        <w:tc>
          <w:tcPr>
            <w:tcW w:w="4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86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Total current assets</w:t>
            </w:r>
          </w:p>
        </w:tc>
        <w:tc>
          <w:tcPr>
            <w:tcW w:w="400" w:type="dxa"/>
            <w:vAlign w:val="bottom"/>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p>
        </w:tc>
        <w:tc>
          <w:tcPr>
            <w:tcW w:w="58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w w:val="86"/>
              </w:rPr>
              <w:t>44,045,135</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w w:val="95"/>
              </w:rPr>
              <w:t>49,170,221</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400" w:type="dxa"/>
            <w:vAlign w:val="bottom"/>
            <w:shd w:val="clear" w:color="auto" w:fill="EEEEEE"/>
          </w:tcPr>
          <w:p>
            <w:pPr>
              <w:spacing w:after="0"/>
              <w:rPr>
                <w:sz w:val="18"/>
                <w:szCs w:val="18"/>
                <w:color w:val="auto"/>
              </w:rPr>
            </w:pPr>
          </w:p>
        </w:tc>
        <w:tc>
          <w:tcPr>
            <w:tcW w:w="8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11,177,028</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5"/>
              </w:rPr>
              <w:t>11,021,174</w:t>
            </w:r>
          </w:p>
        </w:tc>
        <w:tc>
          <w:tcPr>
            <w:tcW w:w="4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Intangibles, net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363,144</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351,908</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Collateralized cash deposits</w:t>
            </w:r>
          </w:p>
        </w:tc>
        <w:tc>
          <w:tcPr>
            <w:tcW w:w="400" w:type="dxa"/>
            <w:vAlign w:val="bottom"/>
            <w:shd w:val="clear" w:color="auto" w:fill="EEEEEE"/>
          </w:tcPr>
          <w:p>
            <w:pPr>
              <w:spacing w:after="0"/>
              <w:rPr>
                <w:sz w:val="18"/>
                <w:szCs w:val="18"/>
                <w:color w:val="auto"/>
              </w:rPr>
            </w:pPr>
          </w:p>
        </w:tc>
        <w:tc>
          <w:tcPr>
            <w:tcW w:w="8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22,630,366</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5"/>
              </w:rPr>
              <w:t>22,673,059</w:t>
            </w:r>
          </w:p>
        </w:tc>
        <w:tc>
          <w:tcPr>
            <w:tcW w:w="4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Notes receivable</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7"/>
              </w:rPr>
              <w:t>1,061,960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1,072,359</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income taxes</w:t>
            </w:r>
          </w:p>
        </w:tc>
        <w:tc>
          <w:tcPr>
            <w:tcW w:w="400" w:type="dxa"/>
            <w:vAlign w:val="bottom"/>
            <w:shd w:val="clear" w:color="auto" w:fill="EEEEEE"/>
          </w:tcPr>
          <w:p>
            <w:pPr>
              <w:spacing w:after="0"/>
              <w:rPr>
                <w:sz w:val="18"/>
                <w:szCs w:val="18"/>
                <w:color w:val="auto"/>
              </w:rPr>
            </w:pPr>
          </w:p>
        </w:tc>
        <w:tc>
          <w:tcPr>
            <w:tcW w:w="8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9,076,216</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9,607,287</w:t>
            </w:r>
          </w:p>
        </w:tc>
        <w:tc>
          <w:tcPr>
            <w:tcW w:w="4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400" w:type="dxa"/>
            <w:vAlign w:val="bottom"/>
          </w:tcPr>
          <w:p>
            <w:pPr>
              <w:spacing w:after="0"/>
              <w:rPr>
                <w:sz w:val="20"/>
                <w:szCs w:val="20"/>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w w:val="97"/>
              </w:rPr>
              <w:t>7,047,764</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7,379,099</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586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95,401,613</w:t>
            </w:r>
          </w:p>
        </w:tc>
        <w:tc>
          <w:tcPr>
            <w:tcW w:w="480" w:type="dxa"/>
            <w:vAlign w:val="bottom"/>
            <w:shd w:val="clear" w:color="auto" w:fill="EEEEEE"/>
          </w:tcPr>
          <w:p>
            <w:pPr>
              <w:spacing w:after="0"/>
              <w:rPr>
                <w:sz w:val="19"/>
                <w:szCs w:val="19"/>
                <w:color w:val="auto"/>
              </w:rPr>
            </w:pPr>
          </w:p>
        </w:tc>
        <w:tc>
          <w:tcPr>
            <w:tcW w:w="7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5"/>
              </w:rPr>
              <w:t>101,275,107</w:t>
            </w:r>
          </w:p>
        </w:tc>
        <w:tc>
          <w:tcPr>
            <w:tcW w:w="460" w:type="dxa"/>
            <w:vAlign w:val="bottom"/>
            <w:shd w:val="clear" w:color="auto" w:fill="EEEEEE"/>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880" w:type="dxa"/>
            <w:vAlign w:val="bottom"/>
          </w:tcPr>
          <w:p>
            <w:pPr>
              <w:spacing w:after="0"/>
              <w:rPr>
                <w:sz w:val="5"/>
                <w:szCs w:val="5"/>
                <w:color w:val="auto"/>
              </w:rPr>
            </w:pPr>
          </w:p>
        </w:tc>
        <w:tc>
          <w:tcPr>
            <w:tcW w:w="6260" w:type="dxa"/>
            <w:vAlign w:val="bottom"/>
            <w:gridSpan w:val="2"/>
            <w:vMerge w:val="restart"/>
          </w:tcPr>
          <w:p>
            <w:pPr>
              <w:ind w:left="2900"/>
              <w:spacing w:after="0"/>
              <w:rPr>
                <w:sz w:val="20"/>
                <w:szCs w:val="20"/>
                <w:color w:val="auto"/>
              </w:rPr>
            </w:pPr>
            <w:r>
              <w:rPr>
                <w:rFonts w:ascii="Arial" w:cs="Arial" w:eastAsia="Arial" w:hAnsi="Arial"/>
                <w:sz w:val="18"/>
                <w:szCs w:val="18"/>
                <w:b w:val="1"/>
                <w:bCs w:val="1"/>
                <w:color w:val="auto"/>
                <w:w w:val="88"/>
              </w:rPr>
              <w:t>LIABILITIES AND STOCKHOLDERS’EQUITY</w:t>
            </w:r>
          </w:p>
        </w:tc>
        <w:tc>
          <w:tcPr>
            <w:tcW w:w="820" w:type="dxa"/>
            <w:vAlign w:val="bottom"/>
            <w:tcBorders>
              <w:left w:val="single" w:sz="8" w:color="808080"/>
              <w:right w:val="single" w:sz="8" w:color="808080"/>
            </w:tcBorders>
            <w:shd w:val="clear" w:color="auto" w:fill="808080"/>
          </w:tcPr>
          <w:p>
            <w:pPr>
              <w:spacing w:after="0"/>
              <w:rPr>
                <w:sz w:val="5"/>
                <w:szCs w:val="5"/>
                <w:color w:val="auto"/>
              </w:rPr>
            </w:pPr>
          </w:p>
        </w:tc>
        <w:tc>
          <w:tcPr>
            <w:tcW w:w="480" w:type="dxa"/>
            <w:vAlign w:val="bottom"/>
            <w:vMerge w:val="restart"/>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626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Current liabilities:</w:t>
            </w:r>
          </w:p>
        </w:tc>
        <w:tc>
          <w:tcPr>
            <w:tcW w:w="400" w:type="dxa"/>
            <w:vAlign w:val="bottom"/>
            <w:shd w:val="clear" w:color="auto" w:fill="EEEEEE"/>
          </w:tcPr>
          <w:p>
            <w:pPr>
              <w:spacing w:after="0"/>
              <w:rPr>
                <w:sz w:val="18"/>
                <w:szCs w:val="18"/>
                <w:color w:val="auto"/>
              </w:rPr>
            </w:pPr>
          </w:p>
        </w:tc>
        <w:tc>
          <w:tcPr>
            <w:tcW w:w="820" w:type="dxa"/>
            <w:vAlign w:val="bottom"/>
            <w:tcBorders>
              <w:left w:val="single" w:sz="8" w:color="EEEEEE"/>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Arial" w:cs="Arial" w:eastAsia="Arial" w:hAnsi="Arial"/>
                <w:sz w:val="18"/>
                <w:szCs w:val="18"/>
                <w:b w:val="1"/>
                <w:bCs w:val="1"/>
                <w:color w:val="auto"/>
              </w:rPr>
              <w:t>Accounts payable</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7"/>
              </w:rPr>
              <w:t>7,375,713</w:t>
            </w:r>
          </w:p>
        </w:tc>
        <w:tc>
          <w:tcPr>
            <w:tcW w:w="4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9,608,975</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Accrued expenses</w:t>
            </w:r>
          </w:p>
        </w:tc>
        <w:tc>
          <w:tcPr>
            <w:tcW w:w="400" w:type="dxa"/>
            <w:vAlign w:val="bottom"/>
            <w:shd w:val="clear" w:color="auto" w:fill="EEEEEE"/>
          </w:tcPr>
          <w:p>
            <w:pPr>
              <w:spacing w:after="0"/>
              <w:rPr>
                <w:sz w:val="18"/>
                <w:szCs w:val="18"/>
                <w:color w:val="auto"/>
              </w:rPr>
            </w:pPr>
          </w:p>
        </w:tc>
        <w:tc>
          <w:tcPr>
            <w:tcW w:w="8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7,739,061</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8,335,196</w:t>
            </w:r>
          </w:p>
        </w:tc>
        <w:tc>
          <w:tcPr>
            <w:tcW w:w="4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Arial" w:cs="Arial" w:eastAsia="Arial" w:hAnsi="Arial"/>
                <w:sz w:val="18"/>
                <w:szCs w:val="18"/>
                <w:b w:val="1"/>
                <w:bCs w:val="1"/>
                <w:color w:val="auto"/>
              </w:rPr>
              <w:t>Accrued payroll</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7"/>
              </w:rPr>
              <w:t>2,638,354</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3,920,426</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Accrued taxes other than income</w:t>
            </w:r>
          </w:p>
        </w:tc>
        <w:tc>
          <w:tcPr>
            <w:tcW w:w="400" w:type="dxa"/>
            <w:vAlign w:val="bottom"/>
            <w:shd w:val="clear" w:color="auto" w:fill="EEEEEE"/>
          </w:tcPr>
          <w:p>
            <w:pPr>
              <w:spacing w:after="0"/>
              <w:rPr>
                <w:sz w:val="18"/>
                <w:szCs w:val="18"/>
                <w:color w:val="auto"/>
              </w:rPr>
            </w:pPr>
          </w:p>
        </w:tc>
        <w:tc>
          <w:tcPr>
            <w:tcW w:w="8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1,036,350</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1,055,506</w:t>
            </w:r>
          </w:p>
        </w:tc>
        <w:tc>
          <w:tcPr>
            <w:tcW w:w="4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Arial" w:cs="Arial" w:eastAsia="Arial" w:hAnsi="Arial"/>
                <w:sz w:val="18"/>
                <w:szCs w:val="18"/>
                <w:b w:val="1"/>
                <w:bCs w:val="1"/>
                <w:color w:val="auto"/>
              </w:rPr>
              <w:t>Accrued profit sharing</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680,395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2,272,030</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Deferred revenue</w:t>
            </w:r>
          </w:p>
        </w:tc>
        <w:tc>
          <w:tcPr>
            <w:tcW w:w="400" w:type="dxa"/>
            <w:vAlign w:val="bottom"/>
            <w:shd w:val="clear" w:color="auto" w:fill="EEEEEE"/>
          </w:tcPr>
          <w:p>
            <w:pPr>
              <w:spacing w:after="0"/>
              <w:rPr>
                <w:sz w:val="18"/>
                <w:szCs w:val="18"/>
                <w:color w:val="auto"/>
              </w:rPr>
            </w:pPr>
          </w:p>
        </w:tc>
        <w:tc>
          <w:tcPr>
            <w:tcW w:w="8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74,325</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442,291</w:t>
            </w:r>
          </w:p>
        </w:tc>
        <w:tc>
          <w:tcPr>
            <w:tcW w:w="4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5860" w:type="dxa"/>
            <w:vAlign w:val="bottom"/>
          </w:tcPr>
          <w:p>
            <w:pPr>
              <w:ind w:left="120"/>
              <w:spacing w:after="0"/>
              <w:rPr>
                <w:sz w:val="20"/>
                <w:szCs w:val="20"/>
                <w:color w:val="auto"/>
              </w:rPr>
            </w:pPr>
            <w:r>
              <w:rPr>
                <w:rFonts w:ascii="Arial" w:cs="Arial" w:eastAsia="Arial" w:hAnsi="Arial"/>
                <w:sz w:val="18"/>
                <w:szCs w:val="18"/>
                <w:b w:val="1"/>
                <w:bCs w:val="1"/>
                <w:color w:val="auto"/>
              </w:rPr>
              <w:t>Current portion of notes payable</w:t>
            </w:r>
          </w:p>
        </w:tc>
        <w:tc>
          <w:tcPr>
            <w:tcW w:w="400" w:type="dxa"/>
            <w:vAlign w:val="bottom"/>
          </w:tcPr>
          <w:p>
            <w:pPr>
              <w:spacing w:after="0"/>
              <w:rPr>
                <w:sz w:val="20"/>
                <w:szCs w:val="20"/>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w w:val="97"/>
              </w:rPr>
              <w:t>4,122,136</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4,039,456</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Total current liabilities</w:t>
            </w:r>
          </w:p>
        </w:tc>
        <w:tc>
          <w:tcPr>
            <w:tcW w:w="400" w:type="dxa"/>
            <w:vAlign w:val="bottom"/>
            <w:shd w:val="clear" w:color="auto" w:fill="EEEEEE"/>
          </w:tcPr>
          <w:p>
            <w:pPr>
              <w:spacing w:after="0"/>
              <w:rPr>
                <w:sz w:val="18"/>
                <w:szCs w:val="18"/>
                <w:color w:val="auto"/>
              </w:rPr>
            </w:pPr>
          </w:p>
        </w:tc>
        <w:tc>
          <w:tcPr>
            <w:tcW w:w="8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23,666,334</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5"/>
              </w:rPr>
              <w:t>29,673,880</w:t>
            </w:r>
          </w:p>
        </w:tc>
        <w:tc>
          <w:tcPr>
            <w:tcW w:w="4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Notes payable</w:t>
            </w: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b w:val="1"/>
                <w:bCs w:val="1"/>
                <w:color w:val="auto"/>
                <w:w w:val="86"/>
              </w:rPr>
              <w:t>36,807,344</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b w:val="1"/>
                <w:bCs w:val="1"/>
                <w:color w:val="auto"/>
                <w:w w:val="95"/>
              </w:rPr>
              <w:t>37,870,046</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non-current liabilities</w:t>
            </w:r>
          </w:p>
        </w:tc>
        <w:tc>
          <w:tcPr>
            <w:tcW w:w="400" w:type="dxa"/>
            <w:vAlign w:val="bottom"/>
            <w:shd w:val="clear" w:color="auto" w:fill="EEEEEE"/>
          </w:tcPr>
          <w:p>
            <w:pPr>
              <w:spacing w:after="0"/>
              <w:rPr>
                <w:sz w:val="18"/>
                <w:szCs w:val="18"/>
                <w:color w:val="auto"/>
              </w:rPr>
            </w:pPr>
          </w:p>
        </w:tc>
        <w:tc>
          <w:tcPr>
            <w:tcW w:w="8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16,499,049</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5"/>
              </w:rPr>
              <w:t>16,913,947</w:t>
            </w:r>
          </w:p>
        </w:tc>
        <w:tc>
          <w:tcPr>
            <w:tcW w:w="4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Commitments and contingencies (Note 10)</w:t>
            </w:r>
          </w:p>
        </w:tc>
        <w:tc>
          <w:tcPr>
            <w:tcW w:w="400" w:type="dxa"/>
            <w:vAlign w:val="bottom"/>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Stockholders’ equity :</w:t>
            </w:r>
          </w:p>
        </w:tc>
        <w:tc>
          <w:tcPr>
            <w:tcW w:w="400" w:type="dxa"/>
            <w:vAlign w:val="bottom"/>
            <w:shd w:val="clear" w:color="auto" w:fill="EEEEEE"/>
          </w:tcPr>
          <w:p>
            <w:pPr>
              <w:spacing w:after="0"/>
              <w:rPr>
                <w:sz w:val="18"/>
                <w:szCs w:val="18"/>
                <w:color w:val="auto"/>
              </w:rPr>
            </w:pPr>
          </w:p>
        </w:tc>
        <w:tc>
          <w:tcPr>
            <w:tcW w:w="820" w:type="dxa"/>
            <w:vAlign w:val="bottom"/>
            <w:tcBorders>
              <w:left w:val="single" w:sz="8" w:color="EEEEEE"/>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5860" w:type="dxa"/>
            <w:vAlign w:val="bottom"/>
          </w:tcPr>
          <w:p>
            <w:pPr>
              <w:ind w:left="120"/>
              <w:spacing w:after="0" w:line="198" w:lineRule="exact"/>
              <w:rPr>
                <w:sz w:val="20"/>
                <w:szCs w:val="20"/>
                <w:color w:val="auto"/>
              </w:rPr>
            </w:pPr>
            <w:r>
              <w:rPr>
                <w:rFonts w:ascii="Arial" w:cs="Arial" w:eastAsia="Arial" w:hAnsi="Arial"/>
                <w:sz w:val="18"/>
                <w:szCs w:val="18"/>
                <w:b w:val="1"/>
                <w:bCs w:val="1"/>
                <w:color w:val="auto"/>
              </w:rPr>
              <w:t>Common stock, $.001 par value, 100,000,000 shares authorized,</w:t>
            </w: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Arial" w:cs="Arial" w:eastAsia="Arial" w:hAnsi="Arial"/>
                <w:sz w:val="18"/>
                <w:szCs w:val="18"/>
                <w:b w:val="1"/>
                <w:bCs w:val="1"/>
                <w:color w:val="auto"/>
                <w:w w:val="96"/>
              </w:rPr>
              <w:t>31,064,048 shares on July 31, 2004 and 30,935,799 shares on April 30,</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860" w:type="dxa"/>
            <w:vAlign w:val="bottom"/>
          </w:tcPr>
          <w:p>
            <w:pPr>
              <w:ind w:left="120"/>
              <w:spacing w:after="0"/>
              <w:rPr>
                <w:sz w:val="20"/>
                <w:szCs w:val="20"/>
                <w:color w:val="auto"/>
              </w:rPr>
            </w:pPr>
            <w:r>
              <w:rPr>
                <w:rFonts w:ascii="Arial" w:cs="Arial" w:eastAsia="Arial" w:hAnsi="Arial"/>
                <w:sz w:val="18"/>
                <w:szCs w:val="18"/>
                <w:b w:val="1"/>
                <w:bCs w:val="1"/>
                <w:color w:val="auto"/>
              </w:rPr>
              <w:t>2004 issued and outstanding</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31,064</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30,936</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Additional paid-in capital</w:t>
            </w:r>
          </w:p>
        </w:tc>
        <w:tc>
          <w:tcPr>
            <w:tcW w:w="400" w:type="dxa"/>
            <w:vAlign w:val="bottom"/>
            <w:shd w:val="clear" w:color="auto" w:fill="EEEEEE"/>
          </w:tcPr>
          <w:p>
            <w:pPr>
              <w:spacing w:after="0"/>
              <w:rPr>
                <w:sz w:val="18"/>
                <w:szCs w:val="18"/>
                <w:color w:val="auto"/>
              </w:rPr>
            </w:pPr>
          </w:p>
        </w:tc>
        <w:tc>
          <w:tcPr>
            <w:tcW w:w="8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16,791,057</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5"/>
              </w:rPr>
              <w:t>16,651,934</w:t>
            </w:r>
          </w:p>
        </w:tc>
        <w:tc>
          <w:tcPr>
            <w:tcW w:w="4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Arial" w:cs="Arial" w:eastAsia="Arial" w:hAnsi="Arial"/>
                <w:sz w:val="18"/>
                <w:szCs w:val="18"/>
                <w:b w:val="1"/>
                <w:bCs w:val="1"/>
                <w:color w:val="auto"/>
              </w:rPr>
              <w:t>Retained earnings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7"/>
              </w:rPr>
              <w:t>1,606,765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114,119</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Accumulated other comprehensive income</w:t>
            </w:r>
          </w:p>
        </w:tc>
        <w:tc>
          <w:tcPr>
            <w:tcW w:w="400" w:type="dxa"/>
            <w:vAlign w:val="bottom"/>
            <w:shd w:val="clear" w:color="auto" w:fill="EEEEEE"/>
          </w:tcPr>
          <w:p>
            <w:pPr>
              <w:spacing w:after="0"/>
              <w:rPr>
                <w:sz w:val="18"/>
                <w:szCs w:val="18"/>
                <w:color w:val="auto"/>
              </w:rPr>
            </w:pPr>
          </w:p>
        </w:tc>
        <w:tc>
          <w:tcPr>
            <w:tcW w:w="1300" w:type="dxa"/>
            <w:vAlign w:val="bottom"/>
            <w:tcBorders>
              <w:left w:val="single" w:sz="8" w:color="EEEEEE"/>
            </w:tcBorders>
            <w:gridSpan w:val="2"/>
            <w:shd w:val="clear" w:color="auto" w:fill="EEEEEE"/>
          </w:tcPr>
          <w:p>
            <w:pPr>
              <w:jc w:val="right"/>
              <w:ind w:right="5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20,245</w:t>
            </w:r>
          </w:p>
        </w:tc>
        <w:tc>
          <w:tcPr>
            <w:tcW w:w="4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86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Total stockholders’ equity</w:t>
            </w: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p>
        </w:tc>
        <w:tc>
          <w:tcPr>
            <w:tcW w:w="58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b w:val="1"/>
                <w:bCs w:val="1"/>
                <w:color w:val="auto"/>
                <w:w w:val="86"/>
              </w:rPr>
              <w:t>18,428,886</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b w:val="1"/>
                <w:bCs w:val="1"/>
                <w:color w:val="auto"/>
                <w:w w:val="95"/>
              </w:rPr>
              <w:t>16,817,234</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586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95,401,613</w:t>
            </w:r>
          </w:p>
        </w:tc>
        <w:tc>
          <w:tcPr>
            <w:tcW w:w="480" w:type="dxa"/>
            <w:vAlign w:val="bottom"/>
            <w:shd w:val="clear" w:color="auto" w:fill="EEEEEE"/>
          </w:tcPr>
          <w:p>
            <w:pPr>
              <w:spacing w:after="0"/>
              <w:rPr>
                <w:sz w:val="19"/>
                <w:szCs w:val="19"/>
                <w:color w:val="auto"/>
              </w:rPr>
            </w:pPr>
          </w:p>
        </w:tc>
        <w:tc>
          <w:tcPr>
            <w:tcW w:w="7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5"/>
              </w:rPr>
              <w:t>101,275,107</w:t>
            </w:r>
          </w:p>
        </w:tc>
        <w:tc>
          <w:tcPr>
            <w:tcW w:w="460" w:type="dxa"/>
            <w:vAlign w:val="bottom"/>
            <w:shd w:val="clear" w:color="auto" w:fill="EEEEEE"/>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880" w:type="dxa"/>
            <w:vAlign w:val="bottom"/>
          </w:tcPr>
          <w:p>
            <w:pPr>
              <w:spacing w:after="0"/>
              <w:rPr>
                <w:sz w:val="5"/>
                <w:szCs w:val="5"/>
                <w:color w:val="auto"/>
              </w:rPr>
            </w:pPr>
          </w:p>
        </w:tc>
        <w:tc>
          <w:tcPr>
            <w:tcW w:w="5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Borders>
              <w:left w:val="single" w:sz="8" w:color="808080"/>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8"/>
        </w:trPr>
        <w:tc>
          <w:tcPr>
            <w:tcW w:w="880" w:type="dxa"/>
            <w:vAlign w:val="bottom"/>
            <w:tcBorders>
              <w:bottom w:val="single" w:sz="8" w:color="808080"/>
            </w:tcBorders>
          </w:tcPr>
          <w:p>
            <w:pPr>
              <w:spacing w:after="0"/>
              <w:rPr>
                <w:sz w:val="24"/>
                <w:szCs w:val="24"/>
                <w:color w:val="auto"/>
              </w:rPr>
            </w:pPr>
          </w:p>
        </w:tc>
        <w:tc>
          <w:tcPr>
            <w:tcW w:w="58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CONSOLIDATED UNAUDITED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31,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3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170"/>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860" w:type="dxa"/>
            <w:vAlign w:val="bottom"/>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5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Arial" w:cs="Arial" w:eastAsia="Arial" w:hAnsi="Arial"/>
                <w:sz w:val="18"/>
                <w:szCs w:val="18"/>
                <w:b w:val="1"/>
                <w:bCs w:val="1"/>
                <w:color w:val="auto"/>
              </w:rPr>
              <w:t>Net income</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$ 1,492,646</w:t>
            </w:r>
          </w:p>
        </w:tc>
        <w:tc>
          <w:tcPr>
            <w:tcW w:w="4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585,248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shd w:val="clear" w:color="auto" w:fill="EEEEEE"/>
          </w:tcPr>
          <w:p>
            <w:pPr>
              <w:ind w:left="120"/>
              <w:spacing w:after="0" w:line="198" w:lineRule="exact"/>
              <w:rPr>
                <w:sz w:val="20"/>
                <w:szCs w:val="20"/>
                <w:color w:val="auto"/>
              </w:rPr>
            </w:pPr>
            <w:r>
              <w:rPr>
                <w:rFonts w:ascii="Arial" w:cs="Arial" w:eastAsia="Arial" w:hAnsi="Arial"/>
                <w:sz w:val="18"/>
                <w:szCs w:val="18"/>
                <w:b w:val="1"/>
                <w:bCs w:val="1"/>
                <w:color w:val="auto"/>
                <w:w w:val="98"/>
              </w:rPr>
              <w:t>Adjustments to reconcile net income to cash provided by (used for)</w:t>
            </w:r>
          </w:p>
        </w:tc>
        <w:tc>
          <w:tcPr>
            <w:tcW w:w="5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50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operating activities:</w:t>
            </w:r>
          </w:p>
        </w:tc>
        <w:tc>
          <w:tcPr>
            <w:tcW w:w="50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50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b w:val="1"/>
                <w:bCs w:val="1"/>
                <w:color w:val="auto"/>
              </w:rPr>
              <w:t>Amortization and depreciation</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542,588</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344,634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Gain on disposal of product line</w:t>
            </w:r>
          </w:p>
        </w:tc>
        <w:tc>
          <w:tcPr>
            <w:tcW w:w="178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(450,515)</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b w:val="1"/>
                <w:bCs w:val="1"/>
                <w:color w:val="auto"/>
              </w:rPr>
              <w:t>Gain on sale of marketable securities</w:t>
            </w:r>
          </w:p>
        </w:tc>
        <w:tc>
          <w:tcPr>
            <w:tcW w:w="17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(18,780)</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Deferred taxes</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791,769</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288,965</w:t>
            </w:r>
          </w:p>
        </w:tc>
        <w:tc>
          <w:tcPr>
            <w:tcW w:w="5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b w:val="1"/>
                <w:bCs w:val="1"/>
                <w:color w:val="auto"/>
              </w:rPr>
              <w:t>Provision for losses on accounts receivable</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3,300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7,900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Provision for excess and obsolete inventory</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176,727</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533,928</w:t>
            </w:r>
          </w:p>
        </w:tc>
        <w:tc>
          <w:tcPr>
            <w:tcW w:w="5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b w:val="1"/>
                <w:bCs w:val="1"/>
                <w:color w:val="auto"/>
              </w:rPr>
              <w:t>Stock compensation for services</w:t>
            </w:r>
          </w:p>
        </w:tc>
        <w:tc>
          <w:tcPr>
            <w:tcW w:w="5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9,700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Changes in operating assets and liabilities</w:t>
            </w:r>
          </w:p>
        </w:tc>
        <w:tc>
          <w:tcPr>
            <w:tcW w:w="5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5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Arial" w:cs="Arial" w:eastAsia="Arial" w:hAnsi="Arial"/>
                <w:sz w:val="18"/>
                <w:szCs w:val="18"/>
                <w:b w:val="1"/>
                <w:bCs w:val="1"/>
                <w:color w:val="auto"/>
              </w:rPr>
              <w:t>(Increase) decrease in assets:</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Accounts receivable</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3,542,054</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1,996,589</w:t>
            </w:r>
          </w:p>
        </w:tc>
        <w:tc>
          <w:tcPr>
            <w:tcW w:w="5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b w:val="1"/>
                <w:bCs w:val="1"/>
                <w:color w:val="auto"/>
              </w:rPr>
              <w:t>Inventories</w:t>
            </w:r>
          </w:p>
        </w:tc>
        <w:tc>
          <w:tcPr>
            <w:tcW w:w="17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(1,877,727)</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1"/>
              </w:rPr>
              <w:t>(1,296,969)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Other current assets</w:t>
            </w:r>
          </w:p>
        </w:tc>
        <w:tc>
          <w:tcPr>
            <w:tcW w:w="178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(596,587)</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153,875</w:t>
            </w:r>
          </w:p>
        </w:tc>
        <w:tc>
          <w:tcPr>
            <w:tcW w:w="5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b w:val="1"/>
                <w:bCs w:val="1"/>
                <w:color w:val="auto"/>
              </w:rPr>
              <w:t>Income tax receivable</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89,401</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11,768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Note receivable</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10,399</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(102,639)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b w:val="1"/>
                <w:bCs w:val="1"/>
                <w:color w:val="auto"/>
              </w:rPr>
              <w:t>Other assets</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331,335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2,119,360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Increase (decrease) in liabilities:</w:t>
            </w:r>
          </w:p>
        </w:tc>
        <w:tc>
          <w:tcPr>
            <w:tcW w:w="5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5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b w:val="1"/>
                <w:bCs w:val="1"/>
                <w:color w:val="auto"/>
              </w:rPr>
              <w:t>Accounts payable</w:t>
            </w:r>
          </w:p>
        </w:tc>
        <w:tc>
          <w:tcPr>
            <w:tcW w:w="17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(2,233,262)</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1"/>
              </w:rPr>
              <w:t>(3,172,279)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Accrued payroll</w:t>
            </w:r>
          </w:p>
        </w:tc>
        <w:tc>
          <w:tcPr>
            <w:tcW w:w="178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(1,282,072)</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(417,129)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b w:val="1"/>
                <w:bCs w:val="1"/>
                <w:color w:val="auto"/>
              </w:rPr>
              <w:t>Accrued profit sharing</w:t>
            </w:r>
          </w:p>
        </w:tc>
        <w:tc>
          <w:tcPr>
            <w:tcW w:w="17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(1,591,635)</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479,724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Accrued taxes other than income</w:t>
            </w:r>
          </w:p>
        </w:tc>
        <w:tc>
          <w:tcPr>
            <w:tcW w:w="178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(19,156)</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28,925</w:t>
            </w:r>
          </w:p>
        </w:tc>
        <w:tc>
          <w:tcPr>
            <w:tcW w:w="5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b w:val="1"/>
                <w:bCs w:val="1"/>
                <w:color w:val="auto"/>
              </w:rPr>
              <w:t>Accrued expenses</w:t>
            </w:r>
          </w:p>
        </w:tc>
        <w:tc>
          <w:tcPr>
            <w:tcW w:w="17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(596,135)</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(391,730)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Other non-current liabilities</w:t>
            </w:r>
          </w:p>
        </w:tc>
        <w:tc>
          <w:tcPr>
            <w:tcW w:w="178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(414,898)</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b w:val="1"/>
                <w:bCs w:val="1"/>
                <w:color w:val="auto"/>
                <w:w w:val="91"/>
              </w:rPr>
              <w:t>(2,667,209)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60"/>
              <w:spacing w:after="0"/>
              <w:rPr>
                <w:sz w:val="20"/>
                <w:szCs w:val="20"/>
                <w:color w:val="auto"/>
              </w:rPr>
            </w:pPr>
            <w:r>
              <w:rPr>
                <w:rFonts w:ascii="Arial" w:cs="Arial" w:eastAsia="Arial" w:hAnsi="Arial"/>
                <w:sz w:val="18"/>
                <w:szCs w:val="18"/>
                <w:b w:val="1"/>
                <w:bCs w:val="1"/>
                <w:color w:val="auto"/>
              </w:rPr>
              <w:t>Deferred revenue</w:t>
            </w:r>
          </w:p>
        </w:tc>
        <w:tc>
          <w:tcPr>
            <w:tcW w:w="17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(217,451)</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(15,567)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ind w:left="400"/>
              <w:spacing w:after="0"/>
              <w:rPr>
                <w:sz w:val="20"/>
                <w:szCs w:val="20"/>
                <w:color w:val="auto"/>
              </w:rPr>
            </w:pPr>
            <w:r>
              <w:rPr>
                <w:rFonts w:ascii="Arial" w:cs="Arial" w:eastAsia="Arial" w:hAnsi="Arial"/>
                <w:sz w:val="18"/>
                <w:szCs w:val="18"/>
                <w:b w:val="1"/>
                <w:bCs w:val="1"/>
                <w:color w:val="auto"/>
              </w:rPr>
              <w:t>Net cash used for operating activities</w:t>
            </w:r>
          </w:p>
        </w:tc>
        <w:tc>
          <w:tcPr>
            <w:tcW w:w="178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(2,317,999)</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b w:val="1"/>
                <w:bCs w:val="1"/>
                <w:color w:val="auto"/>
                <w:w w:val="91"/>
              </w:rPr>
              <w:t>(1,509,183)</w:t>
            </w:r>
          </w:p>
        </w:tc>
        <w:tc>
          <w:tcPr>
            <w:tcW w:w="0" w:type="dxa"/>
            <w:vAlign w:val="bottom"/>
          </w:tcPr>
          <w:p>
            <w:pPr>
              <w:spacing w:after="0"/>
              <w:rPr>
                <w:sz w:val="1"/>
                <w:szCs w:val="1"/>
                <w:color w:val="auto"/>
              </w:rPr>
            </w:pPr>
          </w:p>
        </w:tc>
      </w:tr>
      <w:tr>
        <w:trPr>
          <w:trHeight w:val="237"/>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20"/>
                <w:szCs w:val="20"/>
                <w:color w:val="auto"/>
              </w:rPr>
            </w:pPr>
          </w:p>
        </w:tc>
        <w:tc>
          <w:tcPr>
            <w:tcW w:w="800" w:type="dxa"/>
            <w:vAlign w:val="bottom"/>
            <w:tcBorders>
              <w:top w:val="single" w:sz="8" w:color="808080"/>
            </w:tcBorders>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Borders>
              <w:top w:val="single" w:sz="8" w:color="808080"/>
            </w:tcBorders>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Proceeds from sale of marketable securities</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1,537,273</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5,268</w:t>
            </w:r>
          </w:p>
        </w:tc>
        <w:tc>
          <w:tcPr>
            <w:tcW w:w="5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Arial" w:cs="Arial" w:eastAsia="Arial" w:hAnsi="Arial"/>
                <w:sz w:val="18"/>
                <w:szCs w:val="18"/>
                <w:b w:val="1"/>
                <w:bCs w:val="1"/>
                <w:color w:val="auto"/>
              </w:rPr>
              <w:t>Reductions in collateralized cash deposits</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42,693</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140,033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Payments to acquire patents</w:t>
            </w:r>
          </w:p>
        </w:tc>
        <w:tc>
          <w:tcPr>
            <w:tcW w:w="178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(17,306)</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(11,196)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Arial" w:cs="Arial" w:eastAsia="Arial" w:hAnsi="Arial"/>
                <w:sz w:val="18"/>
                <w:szCs w:val="18"/>
                <w:b w:val="1"/>
                <w:bCs w:val="1"/>
                <w:color w:val="auto"/>
              </w:rPr>
              <w:t>Proceeds from sale of product line</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300,000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7,560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Payments to acquire property and equipment</w:t>
            </w:r>
          </w:p>
        </w:tc>
        <w:tc>
          <w:tcPr>
            <w:tcW w:w="5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(692,372)</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(680,723)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60" w:type="dxa"/>
            <w:vAlign w:val="bottom"/>
          </w:tcPr>
          <w:p>
            <w:pPr>
              <w:ind w:left="400"/>
              <w:spacing w:after="0"/>
              <w:rPr>
                <w:sz w:val="20"/>
                <w:szCs w:val="20"/>
                <w:color w:val="auto"/>
              </w:rPr>
            </w:pPr>
            <w:r>
              <w:rPr>
                <w:rFonts w:ascii="Arial" w:cs="Arial" w:eastAsia="Arial" w:hAnsi="Arial"/>
                <w:sz w:val="18"/>
                <w:szCs w:val="18"/>
                <w:b w:val="1"/>
                <w:bCs w:val="1"/>
                <w:color w:val="auto"/>
              </w:rPr>
              <w:t>Net cash provided by (used for) investing activities</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4"/>
              </w:rPr>
              <w:t>1,170,288</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(539,058)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5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Arial" w:cs="Arial" w:eastAsia="Arial" w:hAnsi="Arial"/>
                <w:sz w:val="18"/>
                <w:szCs w:val="18"/>
                <w:b w:val="1"/>
                <w:bCs w:val="1"/>
                <w:color w:val="auto"/>
              </w:rPr>
              <w:t>Payment on notes payable, Tomkins</w:t>
            </w:r>
          </w:p>
        </w:tc>
        <w:tc>
          <w:tcPr>
            <w:tcW w:w="17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(700,946)</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1"/>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Proceeds from exercise of options to acquire common stock</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103,882</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11,500</w:t>
            </w:r>
          </w:p>
        </w:tc>
        <w:tc>
          <w:tcPr>
            <w:tcW w:w="5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Arial" w:cs="Arial" w:eastAsia="Arial" w:hAnsi="Arial"/>
                <w:sz w:val="18"/>
                <w:szCs w:val="18"/>
                <w:b w:val="1"/>
                <w:bCs w:val="1"/>
                <w:color w:val="auto"/>
              </w:rPr>
              <w:t>Tax benefit of options exercised</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35,369</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Payments on loans and notes payable, unrelated parties</w:t>
            </w:r>
          </w:p>
        </w:tc>
        <w:tc>
          <w:tcPr>
            <w:tcW w:w="5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(279,076)</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60" w:type="dxa"/>
            <w:vAlign w:val="bottom"/>
          </w:tcPr>
          <w:p>
            <w:pPr>
              <w:ind w:left="400"/>
              <w:spacing w:after="0"/>
              <w:rPr>
                <w:sz w:val="20"/>
                <w:szCs w:val="20"/>
                <w:color w:val="auto"/>
              </w:rPr>
            </w:pPr>
            <w:r>
              <w:rPr>
                <w:rFonts w:ascii="Arial" w:cs="Arial" w:eastAsia="Arial" w:hAnsi="Arial"/>
                <w:sz w:val="18"/>
                <w:szCs w:val="18"/>
                <w:b w:val="1"/>
                <w:bCs w:val="1"/>
                <w:color w:val="auto"/>
              </w:rPr>
              <w:t>Net cash used for financing activities</w:t>
            </w:r>
          </w:p>
        </w:tc>
        <w:tc>
          <w:tcPr>
            <w:tcW w:w="50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(840,771)</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(988,500)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78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(1,988,482)</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b w:val="1"/>
                <w:bCs w:val="1"/>
                <w:color w:val="auto"/>
                <w:w w:val="91"/>
              </w:rPr>
              <w:t>(3,036,741)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5,510,663</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12,182,010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$ 3,522,181</w:t>
            </w:r>
          </w:p>
        </w:tc>
        <w:tc>
          <w:tcPr>
            <w:tcW w:w="48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9,145,269</w:t>
            </w:r>
          </w:p>
        </w:tc>
        <w:tc>
          <w:tcPr>
            <w:tcW w:w="5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86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800" w:type="dxa"/>
            <w:vAlign w:val="bottom"/>
            <w:tcBorders>
              <w:top w:val="single" w:sz="8" w:color="808080"/>
            </w:tcBorders>
            <w:shd w:val="clear" w:color="auto" w:fill="808080"/>
          </w:tcPr>
          <w:p>
            <w:pPr>
              <w:spacing w:after="0"/>
              <w:rPr>
                <w:sz w:val="3"/>
                <w:szCs w:val="3"/>
                <w:color w:val="auto"/>
              </w:rPr>
            </w:pPr>
          </w:p>
        </w:tc>
        <w:tc>
          <w:tcPr>
            <w:tcW w:w="48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800" w:type="dxa"/>
            <w:vAlign w:val="bottom"/>
            <w:tcBorders>
              <w:top w:val="single" w:sz="8" w:color="808080"/>
            </w:tcBorders>
            <w:shd w:val="clear" w:color="auto" w:fill="808080"/>
          </w:tcPr>
          <w:p>
            <w:pPr>
              <w:spacing w:after="0"/>
              <w:rPr>
                <w:sz w:val="3"/>
                <w:szCs w:val="3"/>
                <w:color w:val="auto"/>
              </w:rPr>
            </w:pPr>
          </w:p>
        </w:tc>
        <w:tc>
          <w:tcPr>
            <w:tcW w:w="500" w:type="dxa"/>
            <w:vAlign w:val="bottom"/>
            <w:tcBorders>
              <w:top w:val="single" w:sz="8" w:color="EEEEEE"/>
              <w:left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700"/>
      </w:cols>
      <w:pgMar w:left="1100" w:top="931"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2019-12-15T00:20:49Z</dcterms:created>
  <dcterms:modified xsi:type="dcterms:W3CDTF">2019-12-15T00:20:49Z</dcterms:modified>
</cp:coreProperties>
</file>