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2020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197485</wp:posOffset>
            </wp:positionV>
            <wp:extent cx="2537460" cy="574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Smith &amp; Wesson Brands,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3460" w:type="dxa"/>
            <w:vAlign w:val="bottom"/>
          </w:tcPr>
          <w:p>
            <w:pPr>
              <w:jc w:val="center"/>
              <w:ind w:left="958"/>
              <w:spacing w:after="0"/>
              <w:rPr>
                <w:sz w:val="20"/>
                <w:szCs w:val="20"/>
                <w:color w:val="auto"/>
              </w:rPr>
            </w:pPr>
            <w:r>
              <w:rPr>
                <w:rFonts w:ascii="Arial" w:cs="Arial" w:eastAsia="Arial" w:hAnsi="Arial"/>
                <w:sz w:val="18"/>
                <w:szCs w:val="18"/>
                <w:b w:val="1"/>
                <w:bCs w:val="1"/>
                <w:color w:val="auto"/>
                <w:w w:val="90"/>
              </w:rPr>
              <w:t>Nevada</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Arial" w:cs="Arial" w:eastAsia="Arial" w:hAnsi="Arial"/>
                <w:sz w:val="18"/>
                <w:szCs w:val="18"/>
                <w:b w:val="1"/>
                <w:bCs w:val="1"/>
                <w:color w:val="auto"/>
              </w:rPr>
              <w:t>87-0543688</w:t>
            </w:r>
          </w:p>
        </w:tc>
      </w:tr>
      <w:tr>
        <w:trPr>
          <w:trHeight w:val="148"/>
        </w:trPr>
        <w:tc>
          <w:tcPr>
            <w:tcW w:w="3460" w:type="dxa"/>
            <w:vAlign w:val="bottom"/>
          </w:tcPr>
          <w:p>
            <w:pPr>
              <w:jc w:val="center"/>
              <w:ind w:left="9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60" w:type="dxa"/>
            <w:vAlign w:val="bottom"/>
          </w:tcPr>
          <w:p>
            <w:pPr>
              <w:jc w:val="center"/>
              <w:ind w:left="938"/>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460" w:type="dxa"/>
            <w:vAlign w:val="bottom"/>
          </w:tcPr>
          <w:p>
            <w:pPr>
              <w:jc w:val="center"/>
              <w:ind w:left="938"/>
              <w:spacing w:after="0"/>
              <w:rPr>
                <w:sz w:val="20"/>
                <w:szCs w:val="20"/>
                <w:color w:val="auto"/>
              </w:rPr>
            </w:pPr>
            <w:r>
              <w:rPr>
                <w:rFonts w:ascii="Arial" w:cs="Arial" w:eastAsia="Arial" w:hAnsi="Arial"/>
                <w:sz w:val="18"/>
                <w:szCs w:val="18"/>
                <w:b w:val="1"/>
                <w:bCs w:val="1"/>
                <w:color w:val="auto"/>
                <w:w w:val="87"/>
              </w:rPr>
              <w:t>2100 Roosevelt Avenue</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2"/>
        </w:trPr>
        <w:tc>
          <w:tcPr>
            <w:tcW w:w="3460" w:type="dxa"/>
            <w:vAlign w:val="bottom"/>
          </w:tcPr>
          <w:p>
            <w:pPr>
              <w:jc w:val="center"/>
              <w:ind w:left="958"/>
              <w:spacing w:after="0"/>
              <w:rPr>
                <w:sz w:val="20"/>
                <w:szCs w:val="20"/>
                <w:color w:val="auto"/>
              </w:rPr>
            </w:pPr>
            <w:r>
              <w:rPr>
                <w:rFonts w:ascii="Arial" w:cs="Arial" w:eastAsia="Arial" w:hAnsi="Arial"/>
                <w:sz w:val="18"/>
                <w:szCs w:val="18"/>
                <w:b w:val="1"/>
                <w:bCs w:val="1"/>
                <w:color w:val="auto"/>
                <w:w w:val="88"/>
              </w:rPr>
              <w:t>Springfield, Massachusetts</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980"/>
              <w:spacing w:after="0"/>
              <w:rPr>
                <w:sz w:val="20"/>
                <w:szCs w:val="20"/>
                <w:color w:val="auto"/>
              </w:rPr>
            </w:pPr>
            <w:r>
              <w:rPr>
                <w:rFonts w:ascii="Arial" w:cs="Arial" w:eastAsia="Arial" w:hAnsi="Arial"/>
                <w:sz w:val="18"/>
                <w:szCs w:val="18"/>
                <w:b w:val="1"/>
                <w:bCs w:val="1"/>
                <w:color w:val="auto"/>
              </w:rPr>
              <w:t>01104</w:t>
            </w:r>
          </w:p>
        </w:tc>
      </w:tr>
      <w:tr>
        <w:trPr>
          <w:trHeight w:val="186"/>
        </w:trPr>
        <w:tc>
          <w:tcPr>
            <w:tcW w:w="3460" w:type="dxa"/>
            <w:vAlign w:val="bottom"/>
          </w:tcPr>
          <w:p>
            <w:pPr>
              <w:jc w:val="center"/>
              <w:ind w:left="9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3460" w:type="dxa"/>
            <w:vAlign w:val="bottom"/>
          </w:tcPr>
          <w:p>
            <w:pPr>
              <w:spacing w:after="0"/>
              <w:rPr>
                <w:sz w:val="24"/>
                <w:szCs w:val="24"/>
                <w:color w:val="auto"/>
              </w:rPr>
            </w:pPr>
          </w:p>
        </w:tc>
        <w:tc>
          <w:tcPr>
            <w:tcW w:w="2760" w:type="dxa"/>
            <w:vAlign w:val="bottom"/>
            <w:gridSpan w:val="2"/>
          </w:tcPr>
          <w:p>
            <w:pPr>
              <w:jc w:val="center"/>
              <w:ind w:left="439"/>
              <w:spacing w:after="0"/>
              <w:rPr>
                <w:sz w:val="20"/>
                <w:szCs w:val="20"/>
                <w:color w:val="auto"/>
              </w:rPr>
            </w:pPr>
            <w:r>
              <w:rPr>
                <w:rFonts w:ascii="Arial" w:cs="Arial" w:eastAsia="Arial" w:hAnsi="Arial"/>
                <w:sz w:val="18"/>
                <w:szCs w:val="18"/>
                <w:b w:val="1"/>
                <w:bCs w:val="1"/>
                <w:color w:val="auto"/>
                <w:w w:val="90"/>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3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00" w:type="dxa"/>
            <w:vAlign w:val="bottom"/>
          </w:tcPr>
          <w:p>
            <w:pPr>
              <w:spacing w:after="0"/>
              <w:rPr>
                <w:sz w:val="16"/>
                <w:szCs w:val="16"/>
                <w:color w:val="auto"/>
              </w:rPr>
            </w:pPr>
          </w:p>
        </w:tc>
      </w:tr>
      <w:tr>
        <w:trPr>
          <w:trHeight w:val="133"/>
        </w:trPr>
        <w:tc>
          <w:tcPr>
            <w:tcW w:w="3980" w:type="dxa"/>
            <w:vAlign w:val="bottom"/>
            <w:gridSpan w:val="2"/>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318"/>
        </w:trPr>
        <w:tc>
          <w:tcPr>
            <w:tcW w:w="70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9"/>
        </w:trPr>
        <w:tc>
          <w:tcPr>
            <w:tcW w:w="3460" w:type="dxa"/>
            <w:vAlign w:val="bottom"/>
          </w:tcPr>
          <w:p>
            <w:pPr>
              <w:jc w:val="center"/>
              <w:ind w:right="638"/>
              <w:spacing w:after="0"/>
              <w:rPr>
                <w:sz w:val="20"/>
                <w:szCs w:val="20"/>
                <w:color w:val="auto"/>
              </w:rPr>
            </w:pPr>
            <w:r>
              <w:rPr>
                <w:rFonts w:ascii="Arial" w:cs="Arial" w:eastAsia="Arial" w:hAnsi="Arial"/>
                <w:sz w:val="18"/>
                <w:szCs w:val="18"/>
                <w:color w:val="auto"/>
                <w:w w:val="90"/>
              </w:rPr>
              <w:t>Title of each Class</w:t>
            </w:r>
          </w:p>
        </w:tc>
        <w:tc>
          <w:tcPr>
            <w:tcW w:w="520" w:type="dxa"/>
            <w:vAlign w:val="bottom"/>
          </w:tcPr>
          <w:p>
            <w:pPr>
              <w:spacing w:after="0"/>
              <w:rPr>
                <w:sz w:val="24"/>
                <w:szCs w:val="24"/>
                <w:color w:val="auto"/>
              </w:rPr>
            </w:pPr>
          </w:p>
        </w:tc>
        <w:tc>
          <w:tcPr>
            <w:tcW w:w="3080" w:type="dxa"/>
            <w:vAlign w:val="bottom"/>
            <w:gridSpan w:val="2"/>
          </w:tcPr>
          <w:p>
            <w:pPr>
              <w:jc w:val="center"/>
              <w:ind w:right="820"/>
              <w:spacing w:after="0"/>
              <w:rPr>
                <w:sz w:val="20"/>
                <w:szCs w:val="20"/>
                <w:color w:val="auto"/>
              </w:rPr>
            </w:pPr>
            <w:r>
              <w:rPr>
                <w:rFonts w:ascii="Arial" w:cs="Arial" w:eastAsia="Arial" w:hAnsi="Arial"/>
                <w:sz w:val="18"/>
                <w:szCs w:val="18"/>
                <w:color w:val="auto"/>
                <w:w w:val="93"/>
              </w:rPr>
              <w:t>Trading Symbol</w:t>
            </w:r>
          </w:p>
        </w:tc>
        <w:tc>
          <w:tcPr>
            <w:tcW w:w="3200" w:type="dxa"/>
            <w:vAlign w:val="bottom"/>
          </w:tcPr>
          <w:p>
            <w:pPr>
              <w:jc w:val="center"/>
              <w:ind w:left="300"/>
              <w:spacing w:after="0"/>
              <w:rPr>
                <w:sz w:val="20"/>
                <w:szCs w:val="20"/>
                <w:color w:val="auto"/>
              </w:rPr>
            </w:pPr>
            <w:r>
              <w:rPr>
                <w:rFonts w:ascii="Arial" w:cs="Arial" w:eastAsia="Arial" w:hAnsi="Arial"/>
                <w:sz w:val="18"/>
                <w:szCs w:val="18"/>
                <w:color w:val="auto"/>
                <w:w w:val="90"/>
              </w:rPr>
              <w:t>Name of exchange on which registered</w:t>
            </w:r>
          </w:p>
        </w:tc>
      </w:tr>
      <w:tr>
        <w:trPr>
          <w:trHeight w:val="182"/>
        </w:trPr>
        <w:tc>
          <w:tcPr>
            <w:tcW w:w="3460" w:type="dxa"/>
            <w:vAlign w:val="bottom"/>
          </w:tcPr>
          <w:p>
            <w:pPr>
              <w:jc w:val="center"/>
              <w:ind w:right="638"/>
              <w:spacing w:after="0"/>
              <w:rPr>
                <w:sz w:val="20"/>
                <w:szCs w:val="20"/>
                <w:color w:val="auto"/>
              </w:rPr>
            </w:pPr>
            <w:r>
              <w:rPr>
                <w:rFonts w:ascii="Arial" w:cs="Arial" w:eastAsia="Arial" w:hAnsi="Arial"/>
                <w:sz w:val="14"/>
                <w:szCs w:val="14"/>
                <w:color w:val="auto"/>
                <w:w w:val="92"/>
              </w:rPr>
              <w:t>Common Stock, par value $0.001 per share</w:t>
            </w:r>
          </w:p>
        </w:tc>
        <w:tc>
          <w:tcPr>
            <w:tcW w:w="520" w:type="dxa"/>
            <w:vAlign w:val="bottom"/>
          </w:tcPr>
          <w:p>
            <w:pPr>
              <w:spacing w:after="0"/>
              <w:rPr>
                <w:sz w:val="15"/>
                <w:szCs w:val="15"/>
                <w:color w:val="auto"/>
              </w:rPr>
            </w:pPr>
          </w:p>
        </w:tc>
        <w:tc>
          <w:tcPr>
            <w:tcW w:w="3080" w:type="dxa"/>
            <w:vAlign w:val="bottom"/>
            <w:gridSpan w:val="2"/>
          </w:tcPr>
          <w:p>
            <w:pPr>
              <w:jc w:val="center"/>
              <w:ind w:right="800"/>
              <w:spacing w:after="0"/>
              <w:rPr>
                <w:sz w:val="20"/>
                <w:szCs w:val="20"/>
                <w:color w:val="auto"/>
              </w:rPr>
            </w:pPr>
            <w:r>
              <w:rPr>
                <w:rFonts w:ascii="Arial" w:cs="Arial" w:eastAsia="Arial" w:hAnsi="Arial"/>
                <w:sz w:val="14"/>
                <w:szCs w:val="14"/>
                <w:color w:val="auto"/>
              </w:rPr>
              <w:t>SWBI</w:t>
            </w:r>
          </w:p>
        </w:tc>
        <w:tc>
          <w:tcPr>
            <w:tcW w:w="3200" w:type="dxa"/>
            <w:vAlign w:val="bottom"/>
          </w:tcPr>
          <w:p>
            <w:pPr>
              <w:jc w:val="center"/>
              <w:ind w:left="300"/>
              <w:spacing w:after="0"/>
              <w:rPr>
                <w:sz w:val="20"/>
                <w:szCs w:val="20"/>
                <w:color w:val="auto"/>
              </w:rPr>
            </w:pPr>
            <w:r>
              <w:rPr>
                <w:rFonts w:ascii="Arial" w:cs="Arial" w:eastAsia="Arial" w:hAnsi="Arial"/>
                <w:sz w:val="14"/>
                <w:szCs w:val="14"/>
                <w:color w:val="auto"/>
                <w:w w:val="93"/>
              </w:rPr>
              <w:t>Nasdaq Global Select Market</w:t>
            </w:r>
          </w:p>
        </w:tc>
      </w:tr>
    </w:tbl>
    <w:p>
      <w:pPr>
        <w:spacing w:after="0" w:line="92" w:lineRule="exact"/>
        <w:rPr>
          <w:sz w:val="24"/>
          <w:szCs w:val="24"/>
          <w:color w:val="auto"/>
        </w:rPr>
      </w:pPr>
    </w:p>
    <w:p>
      <w:pPr>
        <w:jc w:val="both"/>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8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registrant had 55,981,347 shares of common stock, par value $0.001, outstanding as of December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58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SMITH &amp; WESSON BRANDS, INC.</w:t>
            </w:r>
          </w:p>
        </w:tc>
        <w:tc>
          <w:tcPr>
            <w:tcW w:w="1660" w:type="dxa"/>
            <w:vAlign w:val="bottom"/>
          </w:tcPr>
          <w:p>
            <w:pPr>
              <w:spacing w:after="0"/>
              <w:rPr>
                <w:sz w:val="20"/>
                <w:szCs w:val="20"/>
                <w:color w:val="auto"/>
              </w:rPr>
            </w:pPr>
          </w:p>
        </w:tc>
      </w:tr>
      <w:tr>
        <w:trPr>
          <w:trHeight w:val="414"/>
        </w:trPr>
        <w:tc>
          <w:tcPr>
            <w:tcW w:w="95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Quarterly Report on Form 10-Q</w:t>
            </w:r>
          </w:p>
        </w:tc>
        <w:tc>
          <w:tcPr>
            <w:tcW w:w="1660" w:type="dxa"/>
            <w:vAlign w:val="bottom"/>
          </w:tcPr>
          <w:p>
            <w:pPr>
              <w:spacing w:after="0"/>
              <w:rPr>
                <w:sz w:val="24"/>
                <w:szCs w:val="24"/>
                <w:color w:val="auto"/>
              </w:rPr>
            </w:pPr>
          </w:p>
        </w:tc>
      </w:tr>
      <w:tr>
        <w:trPr>
          <w:trHeight w:val="234"/>
        </w:trPr>
        <w:tc>
          <w:tcPr>
            <w:tcW w:w="95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For the Three and Six Months Ended October 31, 2020 and 2019</w:t>
            </w:r>
          </w:p>
        </w:tc>
        <w:tc>
          <w:tcPr>
            <w:tcW w:w="1660" w:type="dxa"/>
            <w:vAlign w:val="bottom"/>
          </w:tcPr>
          <w:p>
            <w:pPr>
              <w:spacing w:after="0"/>
              <w:rPr>
                <w:sz w:val="20"/>
                <w:szCs w:val="20"/>
                <w:color w:val="auto"/>
              </w:rPr>
            </w:pPr>
          </w:p>
        </w:tc>
      </w:tr>
      <w:tr>
        <w:trPr>
          <w:trHeight w:val="459"/>
        </w:trPr>
        <w:tc>
          <w:tcPr>
            <w:tcW w:w="9580" w:type="dxa"/>
            <w:vAlign w:val="bottom"/>
          </w:tcPr>
          <w:p>
            <w:pPr>
              <w:jc w:val="center"/>
              <w:ind w:left="1570"/>
              <w:spacing w:after="0"/>
              <w:rPr>
                <w:sz w:val="20"/>
                <w:szCs w:val="20"/>
                <w:color w:val="auto"/>
              </w:rPr>
            </w:pPr>
            <w:r>
              <w:rPr>
                <w:rFonts w:ascii="Arial" w:cs="Arial" w:eastAsia="Arial" w:hAnsi="Arial"/>
                <w:sz w:val="18"/>
                <w:szCs w:val="18"/>
                <w:b w:val="1"/>
                <w:bCs w:val="1"/>
                <w:color w:val="auto"/>
                <w:w w:val="98"/>
              </w:rPr>
              <w:t>TABLE OF CONTENTS</w:t>
            </w:r>
          </w:p>
        </w:tc>
        <w:tc>
          <w:tcPr>
            <w:tcW w:w="1660" w:type="dxa"/>
            <w:vAlign w:val="bottom"/>
          </w:tcPr>
          <w:p>
            <w:pPr>
              <w:spacing w:after="0"/>
              <w:rPr>
                <w:sz w:val="24"/>
                <w:szCs w:val="24"/>
                <w:color w:val="auto"/>
              </w:rPr>
            </w:pPr>
          </w:p>
        </w:tc>
      </w:tr>
      <w:tr>
        <w:trPr>
          <w:trHeight w:val="445"/>
        </w:trPr>
        <w:tc>
          <w:tcPr>
            <w:tcW w:w="958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660" w:type="dxa"/>
            <w:vAlign w:val="bottom"/>
          </w:tcPr>
          <w:p>
            <w:pPr>
              <w:spacing w:after="0"/>
              <w:rPr>
                <w:sz w:val="24"/>
                <w:szCs w:val="24"/>
                <w:color w:val="auto"/>
              </w:rPr>
            </w:pPr>
          </w:p>
        </w:tc>
      </w:tr>
      <w:tr>
        <w:trPr>
          <w:trHeight w:val="216"/>
        </w:trPr>
        <w:tc>
          <w:tcPr>
            <w:tcW w:w="9580" w:type="dxa"/>
            <w:vAlign w:val="bottom"/>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 (Unaudited)</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580" w:type="dxa"/>
            <w:vAlign w:val="bottom"/>
          </w:tcPr>
          <w:p>
            <w:pPr>
              <w:ind w:left="3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Management’s Discussion and Analysis of Financial Condition and Results of Operations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580" w:type="dxa"/>
            <w:vAlign w:val="bottom"/>
          </w:tcPr>
          <w:p>
            <w:pPr>
              <w:ind w:left="3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3. Quantitative and Qualitative Disclosures About Market Risk</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580" w:type="dxa"/>
            <w:vAlign w:val="bottom"/>
          </w:tcPr>
          <w:p>
            <w:pPr>
              <w:ind w:left="3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4. Controls and Procedures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3"/>
        </w:trPr>
        <w:tc>
          <w:tcPr>
            <w:tcW w:w="958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PART II - OTHER INFORMATION</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580" w:type="dxa"/>
            <w:vAlign w:val="bottom"/>
          </w:tcPr>
          <w:p>
            <w:pPr>
              <w:ind w:left="3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 Legal Proceedings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580" w:type="dxa"/>
            <w:vAlign w:val="bottom"/>
          </w:tcPr>
          <w:p>
            <w:pPr>
              <w:ind w:left="3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 Unregistered Sales of Equity Securities and Use of Proceeds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580" w:type="dxa"/>
            <w:vAlign w:val="bottom"/>
          </w:tcPr>
          <w:p>
            <w:pPr>
              <w:ind w:left="3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 Exhibits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5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EX-31.1</w:t>
            </w:r>
          </w:p>
        </w:tc>
        <w:tc>
          <w:tcPr>
            <w:tcW w:w="166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11"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Smith &amp; Wesson®, S&amp;W®, M&amp;P®, M&amp;P Shield®, Performance Center®, Airlite®, Airweight®, Armornite®, Bodyguard®, Chiefs Special®, EZ®, Governor®, Lever Lock®, Magnum®, SW22 Victory®, T/C ®, America’s Master Gunmaker ®, Compass®, Contender®, Dimension®, Encore®, Flextech®, Mag Express®, Maxi-Hunter®, Maxima®, Number 13®, Power Rod®, QLA®, Quick Load Accurizer®, Speed Breech®, Speed Breach XT®, Swing Hammer®, T17®, T/CR22®, Triumph®, U-View®, Weather Shield®, Gemtech®, Arrow®, Aurora®, Aurora-II®, Blast Jacket®, Dagger®, G-Core®, GM®, Halo®, Integra®, Lunar®, Mist-22®, Quickmount®, Shield®, Silencer Subsonic®, The Professional’s Choice for Decades®, Trek®, Viper®, World Class Silencers®, Smith &amp; Wesson Precision Components®, and Put A Legend On Your Line®, are some of the registered U.S. trademarks of our company or one of our subsidiaries. 460XVR™, C.O.R.E.™, E-Series™, M2.0™, S&amp;W500™, SD™, SDVE™, Sport™, SW1911™, Thompson/Center Arms™, Cheap Shot™, Impact!™, Impact!SB™, Katahdin™, Maxi-Ball™, Natural Lube 1000 Plus™, Pro Hunter™, Pro Hunter FX™, Pro Hunter XT™, Quickshot™, Speed Shot™, Strike™, Super Glide™, Venture™, Alpine™, GMT-Halo™, One™, Patrolman™, and Tracker™,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256"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the features of our outstanding debt; lease payments for future periods; estimated amortization expense of intangible assets for future periods; the outcome of the lawsuits to which we are subject and their effect on us; our belief that the claims asserted in Gemini’s complaint have no merit and our intention to aggressively defend this action; our belief that the various allegations described in the Litigation section are unfounded, and, in addition, that any incident and any results from them or any injuries were due to negligence or misuse of the firearm by the claimant or a third party; our belief that we have strong defenses to the actions filed against us by John Pidcock, as trustee of the APSC Creditor Trust, and our intention to continue to vigorously defend them; our belief that our accruals for product liability cases and claims are a reasonable quantitative measure of the cost to us of product liability cases and claims; our belief that we have provided adequate accruals for defense costs; our expectation that firearms inventory balances will remain relatively flat throughout our next fiscal quarter; our expectation on spending for capital expenditures in fiscal 2021; factors affecting our future capital requirements; availability of equity or debt financing on acceptable terms, if at all; our belief that our existing capital resources and credit facilities will be adequate to fund our operations, including our outstanding debt and other commitments, for the next 12 months; and our belief that our improved processes and procedures will assist in the remediation of our material weakness, though management is still evaluating the design of these new controls and procedures.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our ability to integrate acquired businesses in a successful manner; the potential for cancellation of orders from our backlog; and other factors detailed from time to time in our reports filed with the Securities and Exchange Commission, or the SEC, including our Annual Report on Form 10-K for the fiscal year ended April 30, 2020, filed with the SEC on 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3"/>
                <w:szCs w:val="13"/>
                <w:b w:val="1"/>
                <w:bCs w:val="1"/>
                <w:color w:val="auto"/>
              </w:rPr>
              <w:t>As of:</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3"/>
                <w:szCs w:val="13"/>
                <w:b w:val="1"/>
                <w:bCs w:val="1"/>
                <w:color w:val="auto"/>
                <w:w w:val="99"/>
              </w:rPr>
              <w:t>October 31, 2020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April 30,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restart"/>
          </w:tcPr>
          <w:p>
            <w:pPr>
              <w:ind w:left="524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9"/>
                <w:szCs w:val="19"/>
                <w:color w:val="auto"/>
              </w:rPr>
            </w:pPr>
          </w:p>
        </w:tc>
        <w:tc>
          <w:tcPr>
            <w:tcW w:w="3320" w:type="dxa"/>
            <w:vAlign w:val="bottom"/>
            <w:gridSpan w:val="5"/>
          </w:tcPr>
          <w:p>
            <w:pPr>
              <w:jc w:val="right"/>
              <w:ind w:right="560"/>
              <w:spacing w:after="0"/>
              <w:rPr>
                <w:sz w:val="20"/>
                <w:szCs w:val="20"/>
                <w:color w:val="auto"/>
              </w:rPr>
            </w:pPr>
            <w:r>
              <w:rPr>
                <w:rFonts w:ascii="Arial" w:cs="Arial" w:eastAsia="Arial" w:hAnsi="Arial"/>
                <w:sz w:val="13"/>
                <w:szCs w:val="13"/>
                <w:color w:val="auto"/>
                <w:w w:val="99"/>
              </w:rPr>
              <w:t>(In thousands, except par value and share data)</w:t>
            </w:r>
          </w:p>
        </w:tc>
        <w:tc>
          <w:tcPr>
            <w:tcW w:w="0" w:type="dxa"/>
            <w:vAlign w:val="bottom"/>
          </w:tcPr>
          <w:p>
            <w:pPr>
              <w:spacing w:after="0"/>
              <w:rPr>
                <w:sz w:val="1"/>
                <w:szCs w:val="1"/>
                <w:color w:val="auto"/>
              </w:rPr>
            </w:pPr>
          </w:p>
        </w:tc>
      </w:tr>
      <w:tr>
        <w:trPr>
          <w:trHeight w:val="201"/>
        </w:trPr>
        <w:tc>
          <w:tcPr>
            <w:tcW w:w="7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55,549</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125,011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allowances for credit losses of $1,067 on</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October 31, 2020 and $1,038 on April 30, 2020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68,637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78,889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Current assets of discontinued operations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Income tax receivable</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215,387</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393,455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147,907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147,739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Intangibles,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4,458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Other assets of discontinued operations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148,485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14,309</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401,085</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729,515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20" w:type="dxa"/>
            <w:vAlign w:val="bottom"/>
            <w:shd w:val="clear" w:color="auto" w:fill="CFF0FC"/>
          </w:tcPr>
          <w:p>
            <w:pPr>
              <w:ind w:left="3700"/>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60,985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Accrued expenses and 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41,254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payroll and incentives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Accrued income taxes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profit sharing</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Accrued warranty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Current liabilities of discontinued operations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50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125,143</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Notes and loans payable, net of current portion</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159,171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Finance lease payable, net of current portion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39,343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Other non-current liabilities of discontinued operations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9,264</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174,207</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342,397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11)</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Preferred stock, $.001 par value, 20,000,000 shares authorized, no shares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issued or outstanding</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Common stock, $.001 par value, 100,000,000 shares authorized, 74,122,674 issued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7"/>
                <w:szCs w:val="17"/>
                <w:color w:val="auto"/>
              </w:rPr>
              <w:t>and 55,955,812 shares outstanding on October 31, 2020 and 73,526,790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7"/>
                <w:szCs w:val="17"/>
                <w:color w:val="auto"/>
              </w:rPr>
              <w:t>issued and 55,359,928 shares outstanding on April 30, 2020</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269,911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267,630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179,195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341,716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Treasury stock, at cost (18,166,862 shares on October 31, 2020 and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7"/>
                <w:szCs w:val="17"/>
                <w:color w:val="auto"/>
              </w:rPr>
              <w:t>April 30, 2020)</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(222,375)</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(222,375)</w:t>
            </w:r>
          </w:p>
        </w:tc>
        <w:tc>
          <w:tcPr>
            <w:tcW w:w="0" w:type="dxa"/>
            <w:vAlign w:val="bottom"/>
          </w:tcPr>
          <w:p>
            <w:pPr>
              <w:spacing w:after="0"/>
              <w:rPr>
                <w:sz w:val="1"/>
                <w:szCs w:val="1"/>
                <w:color w:val="auto"/>
              </w:rPr>
            </w:pPr>
          </w:p>
        </w:tc>
      </w:tr>
      <w:tr>
        <w:trPr>
          <w:trHeight w:val="211"/>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226,878</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387,118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401,085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INCOME/(LOSS) AND COMPREHENSIVE INCOME/(LOSS) (Unaudited)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For the Three Months Ended October 31,</w:t>
            </w:r>
          </w:p>
        </w:tc>
        <w:tc>
          <w:tcPr>
            <w:tcW w:w="140" w:type="dxa"/>
            <w:vAlign w:val="bottom"/>
          </w:tcPr>
          <w:p>
            <w:pPr>
              <w:spacing w:after="0"/>
              <w:rPr>
                <w:sz w:val="14"/>
                <w:szCs w:val="14"/>
                <w:color w:val="auto"/>
              </w:rPr>
            </w:pPr>
          </w:p>
        </w:tc>
        <w:tc>
          <w:tcPr>
            <w:tcW w:w="28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For the Six Months Ended October 31,</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color w:val="auto"/>
                <w:w w:val="93"/>
              </w:rPr>
              <w:t>(In thousands, except per share data)</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248,729</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478,614</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81,405</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Arial" w:cs="Arial" w:eastAsia="Arial" w:hAnsi="Arial"/>
                <w:sz w:val="18"/>
                <w:szCs w:val="18"/>
                <w:color w:val="auto"/>
              </w:rPr>
              <w:t>Selling, marketing, and distribution</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income/(expense), net</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(3,046)</w:t>
            </w: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(expense)/income, net</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63,583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from continuing operations</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Arial" w:cs="Arial" w:eastAsia="Arial" w:hAnsi="Arial"/>
                <w:sz w:val="18"/>
                <w:szCs w:val="18"/>
                <w:color w:val="auto"/>
              </w:rPr>
              <w:t>Income/(loss) from discontinued operations, net of tax</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52,241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Comprehensive income/(loss):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Other comprehensive loss, net of tax</w:t>
            </w:r>
          </w:p>
        </w:tc>
        <w:tc>
          <w:tcPr>
            <w:tcW w:w="4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4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Comprehensive income/(loss):</w:t>
            </w:r>
          </w:p>
        </w:tc>
        <w:tc>
          <w:tcPr>
            <w:tcW w:w="440" w:type="dxa"/>
            <w:vAlign w:val="bottom"/>
            <w:tcBorders>
              <w:bottom w:val="single" w:sz="8" w:color="CCEC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52,241</w:t>
            </w:r>
          </w:p>
        </w:tc>
        <w:tc>
          <w:tcPr>
            <w:tcW w:w="160" w:type="dxa"/>
            <w:vAlign w:val="bottom"/>
            <w:tcBorders>
              <w:bottom w:val="single" w:sz="8" w:color="CCECFF"/>
            </w:tcBorders>
          </w:tcPr>
          <w:p>
            <w:pPr>
              <w:spacing w:after="0"/>
              <w:rPr>
                <w:sz w:val="22"/>
                <w:szCs w:val="22"/>
                <w:color w:val="auto"/>
              </w:rPr>
            </w:pPr>
          </w:p>
        </w:tc>
        <w:tc>
          <w:tcPr>
            <w:tcW w:w="120" w:type="dxa"/>
            <w:vAlign w:val="bottom"/>
            <w:tcBorders>
              <w:bottom w:val="single" w:sz="8" w:color="CCEC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Borders>
              <w:bottom w:val="single" w:sz="8" w:color="CCEC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100,626</w:t>
            </w:r>
          </w:p>
        </w:tc>
        <w:tc>
          <w:tcPr>
            <w:tcW w:w="140" w:type="dxa"/>
            <w:vAlign w:val="bottom"/>
            <w:tcBorders>
              <w:bottom w:val="single" w:sz="8" w:color="CCECFF"/>
            </w:tcBorders>
          </w:tcPr>
          <w:p>
            <w:pPr>
              <w:spacing w:after="0"/>
              <w:rPr>
                <w:sz w:val="22"/>
                <w:szCs w:val="22"/>
                <w:color w:val="auto"/>
              </w:rPr>
            </w:pPr>
          </w:p>
        </w:tc>
        <w:tc>
          <w:tcPr>
            <w:tcW w:w="80" w:type="dxa"/>
            <w:vAlign w:val="bottom"/>
            <w:tcBorders>
              <w:bottom w:val="single" w:sz="8" w:color="CCEC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C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Net income/(loss) per share:</w:t>
            </w:r>
          </w:p>
        </w:tc>
        <w:tc>
          <w:tcPr>
            <w:tcW w:w="4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640" w:type="dxa"/>
            <w:vAlign w:val="bottom"/>
          </w:tcPr>
          <w:p>
            <w:pPr>
              <w:ind w:left="260"/>
              <w:spacing w:after="0"/>
              <w:rPr>
                <w:sz w:val="20"/>
                <w:szCs w:val="20"/>
                <w:color w:val="auto"/>
              </w:rPr>
            </w:pPr>
            <w:r>
              <w:rPr>
                <w:rFonts w:ascii="Arial" w:cs="Arial" w:eastAsia="Arial" w:hAnsi="Arial"/>
                <w:sz w:val="18"/>
                <w:szCs w:val="18"/>
                <w:color w:val="auto"/>
              </w:rPr>
              <w:t>Basic - continuing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23"/>
                <w:szCs w:val="23"/>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23"/>
                <w:szCs w:val="23"/>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CFF"/>
              <w:bottom w:val="single" w:sz="8" w:color="CCECFF"/>
            </w:tcBorders>
            <w:shd w:val="clear" w:color="auto" w:fill="CCECFF"/>
          </w:tcPr>
          <w:p>
            <w:pPr>
              <w:ind w:left="260"/>
              <w:spacing w:after="0"/>
              <w:rPr>
                <w:sz w:val="20"/>
                <w:szCs w:val="20"/>
                <w:color w:val="auto"/>
              </w:rPr>
            </w:pPr>
            <w:r>
              <w:rPr>
                <w:rFonts w:ascii="Arial" w:cs="Arial" w:eastAsia="Arial" w:hAnsi="Arial"/>
                <w:sz w:val="18"/>
                <w:szCs w:val="18"/>
                <w:color w:val="auto"/>
              </w:rPr>
              <w:t>Basic - net income/(loss)</w:t>
            </w:r>
          </w:p>
        </w:tc>
        <w:tc>
          <w:tcPr>
            <w:tcW w:w="440" w:type="dxa"/>
            <w:vAlign w:val="bottom"/>
            <w:tcBorders>
              <w:top w:val="single" w:sz="8" w:color="CCECFF"/>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top w:val="single" w:sz="8" w:color="CCECFF"/>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top w:val="single" w:sz="8" w:color="CCECFF"/>
              <w:bottom w:val="single" w:sz="8" w:color="CCECFF"/>
            </w:tcBorders>
            <w:shd w:val="clear" w:color="auto" w:fill="CCECFF"/>
          </w:tcPr>
          <w:p>
            <w:pPr>
              <w:spacing w:after="0"/>
              <w:rPr>
                <w:sz w:val="18"/>
                <w:szCs w:val="18"/>
                <w:color w:val="auto"/>
              </w:rPr>
            </w:pPr>
          </w:p>
        </w:tc>
        <w:tc>
          <w:tcPr>
            <w:tcW w:w="80" w:type="dxa"/>
            <w:vAlign w:val="bottom"/>
            <w:tcBorders>
              <w:top w:val="single" w:sz="8" w:color="CCECFF"/>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260"/>
              <w:spacing w:after="0"/>
              <w:rPr>
                <w:sz w:val="20"/>
                <w:szCs w:val="20"/>
                <w:color w:val="auto"/>
              </w:rPr>
            </w:pPr>
            <w:r>
              <w:rPr>
                <w:rFonts w:ascii="Arial" w:cs="Arial" w:eastAsia="Arial" w:hAnsi="Arial"/>
                <w:sz w:val="18"/>
                <w:szCs w:val="18"/>
                <w:color w:val="auto"/>
              </w:rPr>
              <w:t>Diluted - continuing operations</w:t>
            </w:r>
          </w:p>
        </w:tc>
        <w:tc>
          <w:tcPr>
            <w:tcW w:w="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CFF"/>
            </w:tcBorders>
            <w:vMerge w:val="continue"/>
          </w:tcPr>
          <w:p>
            <w:pPr>
              <w:spacing w:after="0"/>
              <w:rPr>
                <w:sz w:val="21"/>
                <w:szCs w:val="21"/>
                <w:color w:val="auto"/>
              </w:rPr>
            </w:pPr>
          </w:p>
        </w:tc>
        <w:tc>
          <w:tcPr>
            <w:tcW w:w="440" w:type="dxa"/>
            <w:vAlign w:val="bottom"/>
            <w:tcBorders>
              <w:bottom w:val="single" w:sz="8" w:color="CCEC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Borders>
              <w:bottom w:val="single" w:sz="8" w:color="CCECFF"/>
            </w:tcBorders>
          </w:tcPr>
          <w:p>
            <w:pPr>
              <w:spacing w:after="0"/>
              <w:rPr>
                <w:sz w:val="21"/>
                <w:szCs w:val="21"/>
                <w:color w:val="auto"/>
              </w:rPr>
            </w:pPr>
          </w:p>
        </w:tc>
        <w:tc>
          <w:tcPr>
            <w:tcW w:w="120" w:type="dxa"/>
            <w:vAlign w:val="bottom"/>
            <w:tcBorders>
              <w:bottom w:val="single" w:sz="8" w:color="CCEC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CEC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CECFF"/>
            </w:tcBorders>
          </w:tcPr>
          <w:p>
            <w:pPr>
              <w:spacing w:after="0"/>
              <w:rPr>
                <w:sz w:val="21"/>
                <w:szCs w:val="21"/>
                <w:color w:val="auto"/>
              </w:rPr>
            </w:pPr>
          </w:p>
        </w:tc>
        <w:tc>
          <w:tcPr>
            <w:tcW w:w="80" w:type="dxa"/>
            <w:vAlign w:val="bottom"/>
            <w:tcBorders>
              <w:bottom w:val="single" w:sz="8" w:color="CCEC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8"/>
                <w:szCs w:val="18"/>
                <w:color w:val="auto"/>
              </w:rPr>
              <w:t>Diluted - net income/(loss)</w:t>
            </w:r>
          </w:p>
        </w:tc>
        <w:tc>
          <w:tcPr>
            <w:tcW w:w="44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w w:val="98"/>
              </w:rPr>
              <w:t>Weighted average number of common shares outstanding:</w:t>
            </w: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55,914</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54,912</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55,691</w:t>
            </w:r>
          </w:p>
        </w:tc>
        <w:tc>
          <w:tcPr>
            <w:tcW w:w="1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54,847</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56,531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CHANGES IN STOCKHOLDERS’ EQUITY (Unaudited)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3660" w:type="dxa"/>
            <w:vAlign w:val="bottom"/>
          </w:tcPr>
          <w:p>
            <w:pPr>
              <w:spacing w:after="0"/>
              <w:rPr>
                <w:sz w:val="12"/>
                <w:szCs w:val="12"/>
                <w:color w:val="auto"/>
              </w:rPr>
            </w:pPr>
          </w:p>
        </w:tc>
        <w:tc>
          <w:tcPr>
            <w:tcW w:w="1640" w:type="dxa"/>
            <w:vAlign w:val="bottom"/>
            <w:gridSpan w:val="4"/>
          </w:tcPr>
          <w:p>
            <w:pPr>
              <w:jc w:val="right"/>
              <w:ind w:right="508"/>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2"/>
                <w:szCs w:val="12"/>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53"/>
        </w:trPr>
        <w:tc>
          <w:tcPr>
            <w:tcW w:w="3660" w:type="dxa"/>
            <w:vAlign w:val="bottom"/>
          </w:tcPr>
          <w:p>
            <w:pPr>
              <w:spacing w:after="0"/>
              <w:rPr>
                <w:sz w:val="13"/>
                <w:szCs w:val="13"/>
                <w:color w:val="auto"/>
              </w:rPr>
            </w:pPr>
          </w:p>
        </w:tc>
        <w:tc>
          <w:tcPr>
            <w:tcW w:w="10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Stock</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Retained</w:t>
            </w:r>
          </w:p>
        </w:tc>
        <w:tc>
          <w:tcPr>
            <w:tcW w:w="11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4"/>
              </w:rPr>
              <w:t>Comprehensive</w:t>
            </w:r>
          </w:p>
        </w:tc>
        <w:tc>
          <w:tcPr>
            <w:tcW w:w="1800" w:type="dxa"/>
            <w:vAlign w:val="bottom"/>
            <w:gridSpan w:val="5"/>
          </w:tcPr>
          <w:p>
            <w:pPr>
              <w:jc w:val="right"/>
              <w:ind w:right="539"/>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Stockholders’</w:t>
            </w: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(In thousands)</w:t>
            </w:r>
          </w:p>
        </w:tc>
        <w:tc>
          <w:tcPr>
            <w:tcW w:w="9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2"/>
                <w:szCs w:val="12"/>
                <w:color w:val="auto"/>
              </w:rPr>
            </w:pPr>
          </w:p>
        </w:tc>
        <w:tc>
          <w:tcPr>
            <w:tcW w:w="1080" w:type="dxa"/>
            <w:vAlign w:val="bottom"/>
            <w:gridSpan w:val="3"/>
          </w:tcPr>
          <w:p>
            <w:pPr>
              <w:jc w:val="center"/>
              <w:ind w:right="260"/>
              <w:spacing w:after="0" w:line="142" w:lineRule="exact"/>
              <w:rPr>
                <w:sz w:val="20"/>
                <w:szCs w:val="20"/>
                <w:color w:val="auto"/>
              </w:rPr>
            </w:pPr>
            <w:r>
              <w:rPr>
                <w:rFonts w:ascii="Arial" w:cs="Arial" w:eastAsia="Arial" w:hAnsi="Arial"/>
                <w:sz w:val="13"/>
                <w:szCs w:val="13"/>
                <w:b w:val="1"/>
                <w:bCs w:val="1"/>
                <w:color w:val="auto"/>
                <w:w w:val="88"/>
              </w:rPr>
              <w:t>Income/(Loss)</w:t>
            </w:r>
          </w:p>
        </w:tc>
        <w:tc>
          <w:tcPr>
            <w:tcW w:w="700" w:type="dxa"/>
            <w:vAlign w:val="bottom"/>
            <w:tcBorders>
              <w:top w:val="single" w:sz="8" w:color="auto"/>
            </w:tcBorders>
          </w:tcPr>
          <w:p>
            <w:pPr>
              <w:jc w:val="right"/>
              <w:ind w:right="109"/>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Equity</w:t>
            </w:r>
          </w:p>
        </w:tc>
      </w:tr>
      <w:tr>
        <w:trPr>
          <w:trHeight w:val="156"/>
        </w:trPr>
        <w:tc>
          <w:tcPr>
            <w:tcW w:w="3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July 31, 2019</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72,988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264,230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400,838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292</w:t>
            </w:r>
          </w:p>
        </w:tc>
        <w:tc>
          <w:tcPr>
            <w:tcW w:w="2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443,058</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1,428</w:t>
            </w:r>
          </w:p>
        </w:tc>
        <w:tc>
          <w:tcPr>
            <w:tcW w:w="100" w:type="dxa"/>
            <w:vAlign w:val="bottom"/>
            <w:shd w:val="clear" w:color="auto" w:fill="CFF0FC"/>
          </w:tcPr>
          <w:p>
            <w:pPr>
              <w:spacing w:after="0"/>
              <w:rPr>
                <w:sz w:val="14"/>
                <w:szCs w:val="14"/>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4"/>
                <w:szCs w:val="14"/>
                <w:color w:val="auto"/>
              </w:rPr>
            </w:pPr>
          </w:p>
        </w:tc>
      </w:tr>
      <w:tr>
        <w:trPr>
          <w:trHeight w:val="143"/>
        </w:trPr>
        <w:tc>
          <w:tcPr>
            <w:tcW w:w="3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 interest rate swap,</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of tax effect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(153)</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w:t>
            </w: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660" w:type="dxa"/>
            <w:vAlign w:val="bottom"/>
          </w:tcPr>
          <w:p>
            <w:pPr>
              <w:ind w:left="12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FF0FC"/>
          </w:tcPr>
          <w:p>
            <w:pPr>
              <w:spacing w:after="0"/>
              <w:rPr>
                <w:sz w:val="14"/>
                <w:szCs w:val="14"/>
                <w:color w:val="auto"/>
              </w:rPr>
            </w:pPr>
          </w:p>
        </w:tc>
      </w:tr>
      <w:tr>
        <w:trPr>
          <w:trHeight w:val="195"/>
        </w:trPr>
        <w:tc>
          <w:tcPr>
            <w:tcW w:w="36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October 31, 2019</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73,226</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266,582</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402,131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w:t>
            </w:r>
          </w:p>
        </w:tc>
        <w:tc>
          <w:tcPr>
            <w:tcW w:w="240" w:type="dxa"/>
            <w:vAlign w:val="bottom"/>
            <w:tcBorders>
              <w:bottom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18,167</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446,550</w:t>
            </w:r>
          </w:p>
        </w:tc>
        <w:tc>
          <w:tcPr>
            <w:tcW w:w="100" w:type="dxa"/>
            <w:vAlign w:val="bottom"/>
            <w:tcBorders>
              <w:bottom w:val="single" w:sz="8" w:color="CFF0FC"/>
            </w:tcBorders>
          </w:tcPr>
          <w:p>
            <w:pPr>
              <w:spacing w:after="0"/>
              <w:rPr>
                <w:sz w:val="17"/>
                <w:szCs w:val="17"/>
                <w:color w:val="auto"/>
              </w:rPr>
            </w:pPr>
          </w:p>
        </w:tc>
      </w:tr>
      <w:tr>
        <w:trPr>
          <w:trHeight w:val="143"/>
        </w:trPr>
        <w:tc>
          <w:tcPr>
            <w:tcW w:w="36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Balance at April 30, 2019</w:t>
            </w:r>
          </w:p>
        </w:tc>
        <w:tc>
          <w:tcPr>
            <w:tcW w:w="700" w:type="dxa"/>
            <w:vAlign w:val="bottom"/>
          </w:tcPr>
          <w:p>
            <w:pPr>
              <w:jc w:val="right"/>
              <w:spacing w:after="0"/>
              <w:rPr>
                <w:sz w:val="20"/>
                <w:szCs w:val="20"/>
                <w:color w:val="auto"/>
              </w:rPr>
            </w:pPr>
            <w:r>
              <w:rPr>
                <w:rFonts w:ascii="Arial" w:cs="Arial" w:eastAsia="Arial" w:hAnsi="Arial"/>
                <w:sz w:val="14"/>
                <w:szCs w:val="14"/>
                <w:color w:val="auto"/>
              </w:rPr>
              <w:t>72,864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263,180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402,946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(222,375)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444,444</w:t>
            </w:r>
          </w:p>
        </w:tc>
        <w:tc>
          <w:tcPr>
            <w:tcW w:w="100" w:type="dxa"/>
            <w:vAlign w:val="bottom"/>
          </w:tcPr>
          <w:p>
            <w:pPr>
              <w:spacing w:after="0"/>
              <w:rPr>
                <w:sz w:val="14"/>
                <w:szCs w:val="14"/>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FF0FC"/>
          </w:tcPr>
          <w:p>
            <w:pPr>
              <w:spacing w:after="0"/>
              <w:rPr>
                <w:sz w:val="14"/>
                <w:szCs w:val="14"/>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3,016</w:t>
            </w:r>
          </w:p>
        </w:tc>
        <w:tc>
          <w:tcPr>
            <w:tcW w:w="100" w:type="dxa"/>
            <w:vAlign w:val="bottom"/>
          </w:tcPr>
          <w:p>
            <w:pPr>
              <w:spacing w:after="0"/>
              <w:rPr>
                <w:sz w:val="14"/>
                <w:szCs w:val="14"/>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FF0FC"/>
          </w:tcPr>
          <w:p>
            <w:pPr>
              <w:spacing w:after="0"/>
              <w:rPr>
                <w:sz w:val="14"/>
                <w:szCs w:val="14"/>
                <w:color w:val="auto"/>
              </w:rPr>
            </w:pP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Change in unrealized loss on interest rate swap,</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660" w:type="dxa"/>
            <w:vAlign w:val="bottom"/>
          </w:tcPr>
          <w:p>
            <w:pPr>
              <w:ind w:left="120"/>
              <w:spacing w:after="0"/>
              <w:rPr>
                <w:sz w:val="20"/>
                <w:szCs w:val="20"/>
                <w:color w:val="auto"/>
              </w:rPr>
            </w:pPr>
            <w:r>
              <w:rPr>
                <w:rFonts w:ascii="Arial" w:cs="Arial" w:eastAsia="Arial" w:hAnsi="Arial"/>
                <w:sz w:val="14"/>
                <w:szCs w:val="14"/>
                <w:color w:val="auto"/>
              </w:rPr>
              <w:t>net of tax effect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(481)</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(481)</w:t>
            </w:r>
          </w:p>
        </w:tc>
      </w:tr>
      <w:tr>
        <w:trPr>
          <w:trHeight w:val="143"/>
        </w:trPr>
        <w:tc>
          <w:tcPr>
            <w:tcW w:w="3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(550)</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(550)</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(815)</w:t>
            </w:r>
          </w:p>
        </w:tc>
      </w:tr>
      <w:tr>
        <w:trPr>
          <w:trHeight w:val="156"/>
        </w:trPr>
        <w:tc>
          <w:tcPr>
            <w:tcW w:w="36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October 31, 2019</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73,226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266,582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402,131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446,550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Balance at July 31, 2020</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73,865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269,192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390,101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(222,375)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437,065</w:t>
            </w:r>
          </w:p>
        </w:tc>
        <w:tc>
          <w:tcPr>
            <w:tcW w:w="100" w:type="dxa"/>
            <w:vAlign w:val="bottom"/>
            <w:shd w:val="clear" w:color="auto" w:fill="CFF0FC"/>
          </w:tcPr>
          <w:p>
            <w:pPr>
              <w:spacing w:after="0"/>
              <w:rPr>
                <w:sz w:val="14"/>
                <w:szCs w:val="14"/>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4"/>
                <w:szCs w:val="14"/>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FF0FC"/>
          </w:tcPr>
          <w:p>
            <w:pPr>
              <w:spacing w:after="0"/>
              <w:rPr>
                <w:sz w:val="14"/>
                <w:szCs w:val="14"/>
                <w:color w:val="auto"/>
              </w:rPr>
            </w:pP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660" w:type="dxa"/>
            <w:vAlign w:val="bottom"/>
          </w:tcPr>
          <w:p>
            <w:pPr>
              <w:ind w:left="12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tcPr>
          <w:p>
            <w:pPr>
              <w:jc w:val="right"/>
              <w:spacing w:after="0"/>
              <w:rPr>
                <w:sz w:val="20"/>
                <w:szCs w:val="20"/>
                <w:color w:val="auto"/>
              </w:rPr>
            </w:pPr>
            <w:r>
              <w:rPr>
                <w:rFonts w:ascii="Arial" w:cs="Arial" w:eastAsia="Arial" w:hAnsi="Arial"/>
                <w:sz w:val="14"/>
                <w:szCs w:val="14"/>
                <w:color w:val="auto"/>
              </w:rPr>
              <w:t>258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(1,176)</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(1,176)</w:t>
            </w: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Dividends issued</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(2,795)</w:t>
            </w: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Spin off of outdoor products and accessories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660" w:type="dxa"/>
            <w:vAlign w:val="bottom"/>
          </w:tcPr>
          <w:p>
            <w:pPr>
              <w:ind w:left="120"/>
              <w:spacing w:after="0"/>
              <w:rPr>
                <w:sz w:val="20"/>
                <w:szCs w:val="20"/>
                <w:color w:val="auto"/>
              </w:rPr>
            </w:pPr>
            <w:r>
              <w:rPr>
                <w:rFonts w:ascii="Arial" w:cs="Arial" w:eastAsia="Arial" w:hAnsi="Arial"/>
                <w:sz w:val="14"/>
                <w:szCs w:val="14"/>
                <w:color w:val="auto"/>
              </w:rPr>
              <w:t>business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(260,352)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(260,352)</w:t>
            </w: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52,241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52,241</w:t>
            </w:r>
          </w:p>
        </w:tc>
        <w:tc>
          <w:tcPr>
            <w:tcW w:w="100" w:type="dxa"/>
            <w:vAlign w:val="bottom"/>
            <w:shd w:val="clear" w:color="auto" w:fill="CFF0FC"/>
          </w:tcPr>
          <w:p>
            <w:pPr>
              <w:spacing w:after="0"/>
              <w:rPr>
                <w:sz w:val="14"/>
                <w:szCs w:val="14"/>
                <w:color w:val="auto"/>
              </w:rPr>
            </w:pPr>
          </w:p>
        </w:tc>
      </w:tr>
      <w:tr>
        <w:trPr>
          <w:trHeight w:val="195"/>
        </w:trPr>
        <w:tc>
          <w:tcPr>
            <w:tcW w:w="36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October 31, 2020</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74,123</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269,911</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179,195</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40" w:type="dxa"/>
            <w:vAlign w:val="bottom"/>
            <w:tcBorders>
              <w:bottom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18,167</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226,878</w:t>
            </w:r>
          </w:p>
        </w:tc>
        <w:tc>
          <w:tcPr>
            <w:tcW w:w="100" w:type="dxa"/>
            <w:vAlign w:val="bottom"/>
            <w:tcBorders>
              <w:bottom w:val="single" w:sz="8" w:color="CFF0FC"/>
            </w:tcBorders>
          </w:tcPr>
          <w:p>
            <w:pPr>
              <w:spacing w:after="0"/>
              <w:rPr>
                <w:sz w:val="17"/>
                <w:szCs w:val="17"/>
                <w:color w:val="auto"/>
              </w:rPr>
            </w:pPr>
          </w:p>
        </w:tc>
      </w:tr>
      <w:tr>
        <w:trPr>
          <w:trHeight w:val="143"/>
        </w:trPr>
        <w:tc>
          <w:tcPr>
            <w:tcW w:w="36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Balance at April 30, 2020</w:t>
            </w:r>
          </w:p>
        </w:tc>
        <w:tc>
          <w:tcPr>
            <w:tcW w:w="700" w:type="dxa"/>
            <w:vAlign w:val="bottom"/>
          </w:tcPr>
          <w:p>
            <w:pPr>
              <w:jc w:val="right"/>
              <w:spacing w:after="0"/>
              <w:rPr>
                <w:sz w:val="20"/>
                <w:szCs w:val="20"/>
                <w:color w:val="auto"/>
              </w:rPr>
            </w:pPr>
            <w:r>
              <w:rPr>
                <w:rFonts w:ascii="Arial" w:cs="Arial" w:eastAsia="Arial" w:hAnsi="Arial"/>
                <w:sz w:val="14"/>
                <w:szCs w:val="14"/>
                <w:color w:val="auto"/>
              </w:rPr>
              <w:t>73,527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267,630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341,716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(222,375)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387,118</w:t>
            </w:r>
          </w:p>
        </w:tc>
        <w:tc>
          <w:tcPr>
            <w:tcW w:w="100" w:type="dxa"/>
            <w:vAlign w:val="bottom"/>
          </w:tcPr>
          <w:p>
            <w:pPr>
              <w:spacing w:after="0"/>
              <w:rPr>
                <w:sz w:val="14"/>
                <w:szCs w:val="14"/>
                <w:color w:val="auto"/>
              </w:rPr>
            </w:pPr>
          </w:p>
        </w:tc>
      </w:tr>
      <w:tr>
        <w:trPr>
          <w:trHeight w:val="162"/>
        </w:trPr>
        <w:tc>
          <w:tcPr>
            <w:tcW w:w="36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employee stock options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FF0FC"/>
          </w:tcPr>
          <w:p>
            <w:pPr>
              <w:spacing w:after="0"/>
              <w:rPr>
                <w:sz w:val="14"/>
                <w:szCs w:val="14"/>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Stock-based compensation - continuing operations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4"/>
                <w:szCs w:val="14"/>
                <w:color w:val="auto"/>
              </w:rPr>
            </w:pPr>
          </w:p>
        </w:tc>
      </w:tr>
      <w:tr>
        <w:trPr>
          <w:trHeight w:val="143"/>
        </w:trPr>
        <w:tc>
          <w:tcPr>
            <w:tcW w:w="3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Stock-based compensation - discontinued</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operations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FF0FC"/>
          </w:tcPr>
          <w:p>
            <w:pPr>
              <w:spacing w:after="0"/>
              <w:rPr>
                <w:sz w:val="14"/>
                <w:szCs w:val="14"/>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700" w:type="dxa"/>
            <w:vAlign w:val="bottom"/>
          </w:tcPr>
          <w:p>
            <w:pPr>
              <w:jc w:val="right"/>
              <w:spacing w:after="0"/>
              <w:rPr>
                <w:sz w:val="20"/>
                <w:szCs w:val="20"/>
                <w:color w:val="auto"/>
              </w:rPr>
            </w:pPr>
            <w:r>
              <w:rPr>
                <w:rFonts w:ascii="Arial" w:cs="Arial" w:eastAsia="Arial" w:hAnsi="Arial"/>
                <w:sz w:val="14"/>
                <w:szCs w:val="14"/>
                <w:color w:val="auto"/>
              </w:rPr>
              <w:t>136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4"/>
                <w:szCs w:val="14"/>
                <w:color w:val="auto"/>
              </w:rPr>
            </w:pPr>
          </w:p>
        </w:tc>
      </w:tr>
      <w:tr>
        <w:trPr>
          <w:trHeight w:val="143"/>
        </w:trPr>
        <w:tc>
          <w:tcPr>
            <w:tcW w:w="3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restricted stock</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 awards, net of shares surrendered</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(2,173)</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(2,173)</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Dividends issued</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(2,795)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(2,795)</w:t>
            </w:r>
          </w:p>
        </w:tc>
      </w:tr>
      <w:tr>
        <w:trPr>
          <w:trHeight w:val="143"/>
        </w:trPr>
        <w:tc>
          <w:tcPr>
            <w:tcW w:w="36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Spin off of outdoor products and accessories</w:t>
            </w: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business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(260,352)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(260,352)</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100,626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100,626</w:t>
            </w:r>
          </w:p>
        </w:tc>
        <w:tc>
          <w:tcPr>
            <w:tcW w:w="100" w:type="dxa"/>
            <w:vAlign w:val="bottom"/>
          </w:tcPr>
          <w:p>
            <w:pPr>
              <w:spacing w:after="0"/>
              <w:rPr>
                <w:sz w:val="14"/>
                <w:szCs w:val="14"/>
                <w:color w:val="auto"/>
              </w:rPr>
            </w:pPr>
          </w:p>
        </w:tc>
      </w:tr>
      <w:tr>
        <w:trPr>
          <w:trHeight w:val="155"/>
        </w:trPr>
        <w:tc>
          <w:tcPr>
            <w:tcW w:w="36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October 31, 2020</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74,123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269,911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179,195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(222,375</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226,878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Six Months Ended October 31,</w:t>
            </w:r>
          </w:p>
        </w:tc>
      </w:tr>
      <w:tr>
        <w:trPr>
          <w:trHeight w:val="156"/>
        </w:trPr>
        <w:tc>
          <w:tcPr>
            <w:tcW w:w="77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3"/>
          </w:tcPr>
          <w:p>
            <w:pPr>
              <w:jc w:val="right"/>
              <w:ind w:right="90"/>
              <w:spacing w:after="0" w:line="155" w:lineRule="exact"/>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92,417</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17,129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16,483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sale/disposition of 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losses on notes and accounts receivable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(7,787)</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(5,585)</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(29,260)</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(2,979)</w:t>
            </w: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(8,267)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(2,932)</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28,331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payroll and incentives</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(1,043)</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(9,510)</w:t>
            </w: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Accrued profit sharing</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4,613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(1,462)</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deferred revenue</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(16,212)</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(1,134)</w:t>
            </w: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Accrued warranty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(1,625)</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(1,358)</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Cash provided by/(used in) operating activities - continuing operations</w:t>
            </w:r>
          </w:p>
        </w:tc>
        <w:tc>
          <w:tcPr>
            <w:tcW w:w="3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138,088</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Cash used in operating activities - discontinued operations</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(2,225)</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(6,187)</w:t>
            </w:r>
          </w:p>
        </w:tc>
      </w:tr>
      <w:tr>
        <w:trPr>
          <w:trHeight w:val="22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by/(used in)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135,863</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acquire patents and software</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to acquire property and equipment</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(14,964)</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(8,249)</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used by investing activities - continuing operations</w:t>
            </w:r>
          </w:p>
        </w:tc>
        <w:tc>
          <w:tcPr>
            <w:tcW w:w="3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Cash used by investing activities - discontinued operations</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r>
      <w:tr>
        <w:trPr>
          <w:trHeight w:val="22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(16,457)</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loans and notes payable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debt issuance costs</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 obligation</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(479)</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notes and loans payable</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(28,150)</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 to discontinued operations</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(25,000)</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Dividend distribution</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(2,795)</w:t>
            </w: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options to acquire common stock, including employee stock</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 plan</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of employee withholding tax related to restricted stock units</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(2,173)</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used in/(provided by) financing activities - continuing operations</w:t>
            </w:r>
          </w:p>
        </w:tc>
        <w:tc>
          <w:tcPr>
            <w:tcW w:w="3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(188,702)</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used in financing activities - discontinued operations</w:t>
            </w: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in/(provided by) financing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(188,868)</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(69,462)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125,011</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40,853</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55,549</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40,888</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SMITH &amp; WESSON BRANDS, INC. AND SUBSIDIARIES CONDENSED CONSOLIDATED STATEMENTS OF CASH FLOWS - (Continued) (Unaudited)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0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3"/>
              </w:rPr>
              <w:t>For the Six Months Ended October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104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60" w:type="dxa"/>
            <w:vAlign w:val="bottom"/>
            <w:gridSpan w:val="2"/>
          </w:tcPr>
          <w:p>
            <w:pPr>
              <w:jc w:val="center"/>
              <w:ind w:right="459"/>
              <w:spacing w:after="0" w:line="155" w:lineRule="exact"/>
              <w:rPr>
                <w:sz w:val="20"/>
                <w:szCs w:val="20"/>
                <w:color w:val="auto"/>
              </w:rPr>
            </w:pPr>
            <w:r>
              <w:rPr>
                <w:rFonts w:ascii="Arial" w:cs="Arial" w:eastAsia="Arial" w:hAnsi="Arial"/>
                <w:sz w:val="14"/>
                <w:szCs w:val="14"/>
                <w:color w:val="auto"/>
                <w:w w:val="93"/>
              </w:rPr>
              <w:t>(In thousands)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40" w:type="dxa"/>
            <w:vAlign w:val="bottom"/>
            <w:shd w:val="clear" w:color="auto" w:fill="CFF0FC"/>
          </w:tcPr>
          <w:p>
            <w:pPr>
              <w:jc w:val="right"/>
              <w:ind w:right="8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1,604</w:t>
            </w:r>
          </w:p>
        </w:tc>
        <w:tc>
          <w:tcPr>
            <w:tcW w:w="120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Adoption of ASU 2016-02:</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CECFF"/>
          </w:tcPr>
          <w:p>
            <w:pPr>
              <w:ind w:left="260"/>
              <w:spacing w:after="0"/>
              <w:rPr>
                <w:sz w:val="20"/>
                <w:szCs w:val="20"/>
                <w:color w:val="auto"/>
              </w:rPr>
            </w:pPr>
            <w:r>
              <w:rPr>
                <w:rFonts w:ascii="Arial" w:cs="Arial" w:eastAsia="Arial" w:hAnsi="Arial"/>
                <w:sz w:val="18"/>
                <w:szCs w:val="18"/>
                <w:color w:val="auto"/>
              </w:rPr>
              <w:t>Changes in other assets for operating lease obligations</w:t>
            </w:r>
          </w:p>
        </w:tc>
        <w:tc>
          <w:tcPr>
            <w:tcW w:w="1040" w:type="dxa"/>
            <w:vAlign w:val="bottom"/>
            <w:shd w:val="clear" w:color="auto" w:fill="CCECFF"/>
          </w:tcPr>
          <w:p>
            <w:pPr>
              <w:spacing w:after="0"/>
              <w:rPr>
                <w:sz w:val="19"/>
                <w:szCs w:val="19"/>
                <w:color w:val="auto"/>
              </w:rPr>
            </w:pPr>
          </w:p>
        </w:tc>
        <w:tc>
          <w:tcPr>
            <w:tcW w:w="660" w:type="dxa"/>
            <w:vAlign w:val="bottom"/>
            <w:shd w:val="clear" w:color="auto" w:fill="CCECFF"/>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CFF"/>
          </w:tcPr>
          <w:p>
            <w:pPr>
              <w:spacing w:after="0"/>
              <w:rPr>
                <w:sz w:val="19"/>
                <w:szCs w:val="19"/>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CFF"/>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 in property and equipment</w:t>
            </w:r>
          </w:p>
        </w:tc>
        <w:tc>
          <w:tcPr>
            <w:tcW w:w="10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19"/>
                <w:szCs w:val="19"/>
                <w:color w:val="auto"/>
              </w:rPr>
            </w:pPr>
          </w:p>
        </w:tc>
      </w:tr>
      <w:tr>
        <w:trPr>
          <w:trHeight w:val="229"/>
        </w:trPr>
        <w:tc>
          <w:tcPr>
            <w:tcW w:w="7720" w:type="dxa"/>
            <w:vAlign w:val="bottom"/>
            <w:shd w:val="clear" w:color="auto" w:fill="CCECFF"/>
          </w:tcPr>
          <w:p>
            <w:pPr>
              <w:ind w:left="260"/>
              <w:spacing w:after="0"/>
              <w:rPr>
                <w:sz w:val="20"/>
                <w:szCs w:val="20"/>
                <w:color w:val="auto"/>
              </w:rPr>
            </w:pPr>
            <w:r>
              <w:rPr>
                <w:rFonts w:ascii="Arial" w:cs="Arial" w:eastAsia="Arial" w:hAnsi="Arial"/>
                <w:sz w:val="18"/>
                <w:szCs w:val="18"/>
                <w:color w:val="auto"/>
              </w:rPr>
              <w:t>Changes in finance lease liabilities</w:t>
            </w:r>
          </w:p>
        </w:tc>
        <w:tc>
          <w:tcPr>
            <w:tcW w:w="1040" w:type="dxa"/>
            <w:vAlign w:val="bottom"/>
            <w:shd w:val="clear" w:color="auto" w:fill="CCECFF"/>
          </w:tcPr>
          <w:p>
            <w:pPr>
              <w:spacing w:after="0"/>
              <w:rPr>
                <w:sz w:val="19"/>
                <w:szCs w:val="19"/>
                <w:color w:val="auto"/>
              </w:rPr>
            </w:pPr>
          </w:p>
        </w:tc>
        <w:tc>
          <w:tcPr>
            <w:tcW w:w="660" w:type="dxa"/>
            <w:vAlign w:val="bottom"/>
            <w:shd w:val="clear" w:color="auto" w:fill="CCECFF"/>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CFF"/>
          </w:tcPr>
          <w:p>
            <w:pPr>
              <w:spacing w:after="0"/>
              <w:rPr>
                <w:sz w:val="19"/>
                <w:szCs w:val="19"/>
                <w:color w:val="auto"/>
              </w:rPr>
            </w:pPr>
          </w:p>
        </w:tc>
        <w:tc>
          <w:tcPr>
            <w:tcW w:w="6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w w:val="94"/>
              </w:rPr>
              <w:t>(4,245)</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lease liabilities for operating lease obligations</w:t>
            </w:r>
          </w:p>
        </w:tc>
        <w:tc>
          <w:tcPr>
            <w:tcW w:w="104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7,497</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left="380" w:right="200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We are a leading manufacturer, designer, and provider of firearms and firearm-related products for the shooting, hunting, and rugged outdoor enthusiast. We are one of the largest manufacturers of handguns, modern sporting rifles, and handcuffs in the United States and an active participant in the hunting rifle and suppressor markets.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M&amp;P, Performance Center, Thompson/Center Arms, and Gemtech brands. We manufacture our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2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 xml:space="preserve">On November 13, 2019, we announced that we were proceeding with a plan to spin-off our outdoor products and accessories business and create an independent publicly traded company to conduct that business, or the Separation. On August 24, 2020, or the Distribution Date, we completed the previously announced Separation. See also Note 3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more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i w:val="1"/>
          <w:iCs w:val="1"/>
          <w:color w:val="auto"/>
        </w:rPr>
        <w:t xml:space="preserve">Interim Financial Information – </w:t>
      </w:r>
      <w:r>
        <w:rPr>
          <w:rFonts w:ascii="Arial" w:cs="Arial" w:eastAsia="Arial" w:hAnsi="Arial"/>
          <w:sz w:val="16"/>
          <w:szCs w:val="16"/>
          <w:color w:val="auto"/>
        </w:rPr>
        <w:t>The condensed consolidated balance sheet as of October 31, 2020, the condensed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income/(loss) and comprehensive income/(loss) for the three and six months ended October 31, 2020 and 2019, the condensed consolidated statements of changes in stockholders’ equity for the three and six months ended October 31, 2020 and 2019, and the condensed consolidated statements of cash flows for the six months ended October 31, 2020 and 2019 have been prepared by us without audit. In our opinion, all adjustments, which include only normal recurring adjustments necessary to fairly present the financial position, results of operations, changes in stockholders’ equity, and cash flows at October 31, 2020 and for the periods presented, have been included. All intercompany transactions have been eliminated in consolidation. The consolidated balance sheet as of April 30, 2020 has been derived from our audited consolidated financial statements.</w:t>
      </w:r>
    </w:p>
    <w:p>
      <w:pPr>
        <w:spacing w:after="0" w:line="16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2020. The results of operations for the three and six months ended October 31, 2020 may not be indicative of the results that may be expected for the fiscal year ending April 30, 2021, or any other period.</w:t>
      </w:r>
    </w:p>
    <w:p>
      <w:pPr>
        <w:spacing w:after="0" w:line="188"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i w:val="1"/>
          <w:iCs w:val="1"/>
          <w:color w:val="auto"/>
        </w:rPr>
        <w:t xml:space="preserve">Recently Issued Accounting Standards – </w:t>
      </w:r>
      <w:r>
        <w:rPr>
          <w:rFonts w:ascii="Arial" w:cs="Arial" w:eastAsia="Arial" w:hAnsi="Arial"/>
          <w:sz w:val="16"/>
          <w:szCs w:val="16"/>
          <w:color w:val="auto"/>
        </w:rPr>
        <w:t>In June 2016, the FASB issued ASU 2016-13, Financial Instruments — Credit Losses (Topic 326):</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Credit Losses on Financial Instruments. The new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We adopted the new standard on May 1, 2020, and the adoption of this ASU did not have a material impact on our condensed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35"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On November 13, 2019, we announced the Separation. On the Distribution Date, at 12:01 a.m. Eastern Time, the Separation of our wholly owned subsidiary, American Outdoor Brands, Inc., a Delaware corporation, or AOUT, from our company was completed. The Separation was achieved through the transfer of all the assets and legal entities, subject to any related liabilities, associated with our outdoor products and accessories business to AOUT, or the Transfer, and the distribution of 100% of the AOUT outstanding capital stock to holders of our common stock, or the Distribution, as of the close of business on August 10, 2020, or the Record Date. In connection with the Distribution, our stockholders received one share of AOUT common stock for every four shares of our common stock held as of the close of business on the Record Date. Following the Distribution, AOUT became an independent, publicly traded company, and we retain no ownership interest in AOUT. For the six months ended October 31, 2020, we recorded $8.4 million in general and administrative expenses related to the Separation and there was no gain/(loss) recognized for the Separation. In connection with the Separation, we distributed $25.0 million in cash to AOUT.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200" w:lineRule="exact"/>
        <w:rPr>
          <w:sz w:val="20"/>
          <w:szCs w:val="20"/>
          <w:color w:val="auto"/>
        </w:rPr>
      </w:pPr>
    </w:p>
    <w:p>
      <w:pPr>
        <w:spacing w:after="0" w:line="23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common stock continues to trade on the Nasdaq Global Select Market under the new ticker symbol “SWBI,” and AOUT is now trading shares of common stock listed on the Nasdaq Global Select Market under the ticker symbol “AOUT.” The outdoor products and accessories business historical financial data is recorded as discontinued operations. Please refer to our Current Report on Form 8-K filed on August 26, 2020 for more information regarding the Separation. As a result of the Separation, we divested net assets of $260.4 million, which includes the $25.0 million cash distribution to AOUT.</w:t>
      </w:r>
    </w:p>
    <w:p>
      <w:pPr>
        <w:spacing w:after="0" w:line="21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results of AOUT were previously reported in our Outdoor Products &amp; Accessories segment. The historical financial data of the outdoor products and accessories business through August 23, 2020 is recorded as discontinued operations in income/(loss) from discontinued operations in the condensed consolidated financial statements. For the three months ended October 31, 2020 and 2019, income from discontinued operations, net of tax was $3.1 million and $950,000, respectively. For the six months ended October 31, 2020 and 2019, income/(loss) from discontinued operations, net of tax was $8.2 million and ($3.3) million, respectively.</w:t>
      </w:r>
    </w:p>
    <w:p>
      <w:pPr>
        <w:spacing w:after="0" w:line="228"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connection with the Separation, we entered into several agreements with AOUT that govern the relationship of the parties following the Separation, including the Separation and Distribution Agreement, the Tax Matters Agreement, the Transition Services Agreement, and the Employee Matters Agreement. Under the terms of the Transition Services Agreement, both companies agreed to provide each other certain transitional services, including information technology, information management, human resources, employee benefits administration, supply chain, facilities, and other limited finance and accounting related services, for periods up to 24 months. Payments and operating expense reimbursements for transition services are recorded accordingly in our condensed consolidated financial statements based on the service provided.</w:t>
      </w:r>
    </w:p>
    <w:p>
      <w:pPr>
        <w:spacing w:after="0" w:line="218"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The following table summarizes the major line items for the outdoor products and accessories business that are included in income/(loss) from discontinued operations, net of tax, in the condensed consolidation statements of income/(loss) and comprehensive income/(loss):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6"/>
              </w:rPr>
              <w:t>For the Three Months Ended October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For the Six Months Ended October 31,</w:t>
            </w:r>
          </w:p>
        </w:tc>
      </w:tr>
      <w:tr>
        <w:trPr>
          <w:trHeight w:val="223"/>
        </w:trPr>
        <w:tc>
          <w:tcPr>
            <w:tcW w:w="4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r>
      <w:tr>
        <w:trPr>
          <w:trHeight w:val="223"/>
        </w:trPr>
        <w:tc>
          <w:tcPr>
            <w:tcW w:w="4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ind w:left="68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20" w:type="dxa"/>
            <w:vAlign w:val="bottom"/>
            <w:shd w:val="clear" w:color="auto" w:fill="CCECFF"/>
          </w:tcPr>
          <w:p>
            <w:pPr>
              <w:spacing w:after="0"/>
              <w:rPr>
                <w:sz w:val="20"/>
                <w:szCs w:val="20"/>
                <w:color w:val="auto"/>
              </w:rPr>
            </w:pPr>
            <w:r>
              <w:rPr>
                <w:rFonts w:ascii="Arial" w:cs="Arial" w:eastAsia="Arial" w:hAnsi="Arial"/>
                <w:sz w:val="18"/>
                <w:szCs w:val="18"/>
                <w:color w:val="auto"/>
              </w:rPr>
              <w:t>Net revenues</w:t>
            </w:r>
          </w:p>
        </w:tc>
        <w:tc>
          <w:tcPr>
            <w:tcW w:w="1120" w:type="dxa"/>
            <w:vAlign w:val="bottom"/>
            <w:gridSpan w:val="2"/>
            <w:shd w:val="clear" w:color="auto" w:fill="CCECFF"/>
          </w:tcPr>
          <w:p>
            <w:pPr>
              <w:jc w:val="right"/>
              <w:ind w:right="1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13,168</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40,670</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61,249</w:t>
            </w:r>
          </w:p>
        </w:tc>
        <w:tc>
          <w:tcPr>
            <w:tcW w:w="100" w:type="dxa"/>
            <w:vAlign w:val="bottom"/>
            <w:shd w:val="clear" w:color="auto" w:fill="CCECFF"/>
          </w:tcPr>
          <w:p>
            <w:pPr>
              <w:spacing w:after="0"/>
              <w:rPr>
                <w:sz w:val="19"/>
                <w:szCs w:val="19"/>
                <w:color w:val="auto"/>
              </w:rPr>
            </w:pPr>
          </w:p>
        </w:tc>
        <w:tc>
          <w:tcPr>
            <w:tcW w:w="42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68,899</w:t>
            </w:r>
          </w:p>
        </w:tc>
        <w:tc>
          <w:tcPr>
            <w:tcW w:w="120" w:type="dxa"/>
            <w:vAlign w:val="bottom"/>
            <w:shd w:val="clear" w:color="auto" w:fill="CCECFF"/>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Cost of sales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38,639</w:t>
            </w:r>
          </w:p>
        </w:tc>
        <w:tc>
          <w:tcPr>
            <w:tcW w:w="120" w:type="dxa"/>
            <w:vAlign w:val="bottom"/>
          </w:tcPr>
          <w:p>
            <w:pPr>
              <w:spacing w:after="0"/>
              <w:rPr>
                <w:sz w:val="19"/>
                <w:szCs w:val="19"/>
                <w:color w:val="auto"/>
              </w:rPr>
            </w:pPr>
          </w:p>
        </w:tc>
      </w:tr>
      <w:tr>
        <w:trPr>
          <w:trHeight w:val="230"/>
        </w:trPr>
        <w:tc>
          <w:tcPr>
            <w:tcW w:w="4720" w:type="dxa"/>
            <w:vAlign w:val="bottom"/>
            <w:shd w:val="clear" w:color="auto" w:fill="CCEC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5,825</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16,681</w:t>
            </w:r>
          </w:p>
        </w:tc>
        <w:tc>
          <w:tcPr>
            <w:tcW w:w="100" w:type="dxa"/>
            <w:vAlign w:val="bottom"/>
            <w:shd w:val="clear" w:color="auto" w:fill="CCEC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shd w:val="clear" w:color="auto" w:fill="CFF0FC"/>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34,753</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Interest income, net</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30"/>
        </w:trPr>
        <w:tc>
          <w:tcPr>
            <w:tcW w:w="4720" w:type="dxa"/>
            <w:vAlign w:val="bottom"/>
            <w:shd w:val="clear" w:color="auto" w:fill="CCECFF"/>
          </w:tcPr>
          <w:p>
            <w:pPr>
              <w:spacing w:after="0"/>
              <w:rPr>
                <w:sz w:val="20"/>
                <w:szCs w:val="20"/>
                <w:color w:val="auto"/>
              </w:rPr>
            </w:pPr>
            <w:r>
              <w:rPr>
                <w:rFonts w:ascii="Arial" w:cs="Arial" w:eastAsia="Arial" w:hAnsi="Arial"/>
                <w:sz w:val="18"/>
                <w:szCs w:val="18"/>
                <w:color w:val="auto"/>
              </w:rPr>
              <w:t>Other income/(expense), net</w:t>
            </w:r>
          </w:p>
        </w:tc>
        <w:tc>
          <w:tcPr>
            <w:tcW w:w="78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Income/(loss) from discontinued operations before</w:t>
            </w:r>
          </w:p>
        </w:tc>
        <w:tc>
          <w:tcPr>
            <w:tcW w:w="7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3,968</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Pr>
          <w:p>
            <w:pPr>
              <w:spacing w:after="0"/>
              <w:rPr>
                <w:sz w:val="20"/>
                <w:szCs w:val="20"/>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(4,472)</w:t>
            </w:r>
          </w:p>
        </w:tc>
      </w:tr>
      <w:tr>
        <w:trPr>
          <w:trHeight w:val="229"/>
        </w:trPr>
        <w:tc>
          <w:tcPr>
            <w:tcW w:w="4720" w:type="dxa"/>
            <w:vAlign w:val="bottom"/>
            <w:shd w:val="clear" w:color="auto" w:fill="CCECFF"/>
          </w:tcPr>
          <w:p>
            <w:pPr>
              <w:spacing w:after="0"/>
              <w:rPr>
                <w:sz w:val="20"/>
                <w:szCs w:val="20"/>
                <w:color w:val="auto"/>
              </w:rPr>
            </w:pPr>
            <w:r>
              <w:rPr>
                <w:rFonts w:ascii="Arial" w:cs="Arial" w:eastAsia="Arial" w:hAnsi="Arial"/>
                <w:sz w:val="18"/>
                <w:szCs w:val="18"/>
                <w:color w:val="auto"/>
              </w:rPr>
              <w:t>Income tax (benefit)/expense</w:t>
            </w:r>
          </w:p>
        </w:tc>
        <w:tc>
          <w:tcPr>
            <w:tcW w:w="78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(1,129)</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Income/(loss) from discontinued operations, net of tax</w:t>
            </w:r>
          </w:p>
        </w:tc>
        <w:tc>
          <w:tcPr>
            <w:tcW w:w="7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720" w:type="dxa"/>
            <w:vAlign w:val="bottom"/>
          </w:tcPr>
          <w:p>
            <w:pPr>
              <w:spacing w:after="0"/>
              <w:rPr>
                <w:sz w:val="24"/>
                <w:szCs w:val="24"/>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22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following table summarizes the carrying amounts of major classes of assets and liabilities of discontinued operations for each of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gridSpan w:val="3"/>
          </w:tcPr>
          <w:p>
            <w:pPr>
              <w:ind w:left="280"/>
              <w:spacing w:after="0"/>
              <w:rPr>
                <w:sz w:val="20"/>
                <w:szCs w:val="20"/>
                <w:color w:val="auto"/>
              </w:rPr>
            </w:pPr>
            <w:r>
              <w:rPr>
                <w:rFonts w:ascii="Arial" w:cs="Arial" w:eastAsia="Arial" w:hAnsi="Arial"/>
                <w:sz w:val="14"/>
                <w:szCs w:val="14"/>
                <w:b w:val="1"/>
                <w:bCs w:val="1"/>
                <w:color w:val="auto"/>
              </w:rPr>
              <w:t>As of:</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7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October 31, 2020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2020</w:t>
            </w:r>
          </w:p>
        </w:tc>
      </w:tr>
      <w:tr>
        <w:trPr>
          <w:trHeight w:val="209"/>
        </w:trPr>
        <w:tc>
          <w:tcPr>
            <w:tcW w:w="73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80" w:type="dxa"/>
            <w:vAlign w:val="bottom"/>
            <w:shd w:val="clear" w:color="auto" w:fill="CCEC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CFF"/>
          </w:tcPr>
          <w:p>
            <w:pPr>
              <w:jc w:val="right"/>
              <w:ind w:right="12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C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CFF"/>
          </w:tcPr>
          <w:p>
            <w:pPr>
              <w:jc w:val="right"/>
              <w:ind w:right="18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CFF"/>
          </w:tcPr>
          <w:p>
            <w:pPr>
              <w:spacing w:after="0"/>
              <w:rPr>
                <w:sz w:val="19"/>
                <w:szCs w:val="19"/>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32,554</w:t>
            </w:r>
          </w:p>
        </w:tc>
        <w:tc>
          <w:tcPr>
            <w:tcW w:w="120" w:type="dxa"/>
            <w:vAlign w:val="bottom"/>
          </w:tcPr>
          <w:p>
            <w:pPr>
              <w:spacing w:after="0"/>
              <w:rPr>
                <w:sz w:val="19"/>
                <w:szCs w:val="19"/>
                <w:color w:val="auto"/>
              </w:rPr>
            </w:pPr>
          </w:p>
        </w:tc>
      </w:tr>
      <w:tr>
        <w:trPr>
          <w:trHeight w:val="229"/>
        </w:trPr>
        <w:tc>
          <w:tcPr>
            <w:tcW w:w="7380" w:type="dxa"/>
            <w:vAlign w:val="bottom"/>
            <w:shd w:val="clear" w:color="auto" w:fill="CCECFF"/>
          </w:tcPr>
          <w:p>
            <w:pPr>
              <w:spacing w:after="0"/>
              <w:rPr>
                <w:sz w:val="20"/>
                <w:szCs w:val="20"/>
                <w:color w:val="auto"/>
              </w:rPr>
            </w:pPr>
            <w:r>
              <w:rPr>
                <w:rFonts w:ascii="Arial" w:cs="Arial" w:eastAsia="Arial" w:hAnsi="Arial"/>
                <w:sz w:val="18"/>
                <w:szCs w:val="18"/>
                <w:color w:val="auto"/>
              </w:rPr>
              <w:t>Inventories</w:t>
            </w:r>
          </w:p>
        </w:tc>
        <w:tc>
          <w:tcPr>
            <w:tcW w:w="1400" w:type="dxa"/>
            <w:vAlign w:val="bottom"/>
            <w:shd w:val="clear" w:color="auto" w:fill="CCECFF"/>
          </w:tcPr>
          <w:p>
            <w:pPr>
              <w:spacing w:after="0"/>
              <w:rPr>
                <w:sz w:val="19"/>
                <w:szCs w:val="19"/>
                <w:color w:val="auto"/>
              </w:rPr>
            </w:pPr>
          </w:p>
        </w:tc>
        <w:tc>
          <w:tcPr>
            <w:tcW w:w="320" w:type="dxa"/>
            <w:vAlign w:val="bottom"/>
            <w:shd w:val="clear" w:color="auto" w:fill="CCECFF"/>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60,450</w:t>
            </w:r>
          </w:p>
        </w:tc>
        <w:tc>
          <w:tcPr>
            <w:tcW w:w="120" w:type="dxa"/>
            <w:vAlign w:val="bottom"/>
            <w:shd w:val="clear" w:color="auto" w:fill="CCECFF"/>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r>
      <w:tr>
        <w:trPr>
          <w:trHeight w:val="229"/>
        </w:trPr>
        <w:tc>
          <w:tcPr>
            <w:tcW w:w="7380" w:type="dxa"/>
            <w:vAlign w:val="bottom"/>
            <w:shd w:val="clear" w:color="auto" w:fill="CCECFF"/>
          </w:tcPr>
          <w:p>
            <w:pPr>
              <w:spacing w:after="0"/>
              <w:rPr>
                <w:sz w:val="20"/>
                <w:szCs w:val="20"/>
                <w:color w:val="auto"/>
              </w:rPr>
            </w:pPr>
            <w:r>
              <w:rPr>
                <w:rFonts w:ascii="Arial" w:cs="Arial" w:eastAsia="Arial" w:hAnsi="Arial"/>
                <w:sz w:val="18"/>
                <w:szCs w:val="18"/>
                <w:color w:val="auto"/>
              </w:rPr>
              <w:t>Property, plant, and equipment, net</w:t>
            </w:r>
          </w:p>
        </w:tc>
        <w:tc>
          <w:tcPr>
            <w:tcW w:w="1400" w:type="dxa"/>
            <w:vAlign w:val="bottom"/>
            <w:shd w:val="clear" w:color="auto" w:fill="CCECFF"/>
          </w:tcPr>
          <w:p>
            <w:pPr>
              <w:spacing w:after="0"/>
              <w:rPr>
                <w:sz w:val="19"/>
                <w:szCs w:val="19"/>
                <w:color w:val="auto"/>
              </w:rPr>
            </w:pPr>
          </w:p>
        </w:tc>
        <w:tc>
          <w:tcPr>
            <w:tcW w:w="320" w:type="dxa"/>
            <w:vAlign w:val="bottom"/>
            <w:shd w:val="clear" w:color="auto" w:fill="CCECFF"/>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CECFF"/>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69,379</w:t>
            </w:r>
          </w:p>
        </w:tc>
        <w:tc>
          <w:tcPr>
            <w:tcW w:w="120" w:type="dxa"/>
            <w:vAlign w:val="bottom"/>
          </w:tcPr>
          <w:p>
            <w:pPr>
              <w:spacing w:after="0"/>
              <w:rPr>
                <w:sz w:val="19"/>
                <w:szCs w:val="19"/>
                <w:color w:val="auto"/>
              </w:rPr>
            </w:pPr>
          </w:p>
        </w:tc>
      </w:tr>
      <w:tr>
        <w:trPr>
          <w:trHeight w:val="229"/>
        </w:trPr>
        <w:tc>
          <w:tcPr>
            <w:tcW w:w="7380" w:type="dxa"/>
            <w:vAlign w:val="bottom"/>
            <w:shd w:val="clear" w:color="auto" w:fill="CCECFF"/>
          </w:tcPr>
          <w:p>
            <w:pPr>
              <w:spacing w:after="0"/>
              <w:rPr>
                <w:sz w:val="20"/>
                <w:szCs w:val="20"/>
                <w:color w:val="auto"/>
              </w:rPr>
            </w:pPr>
            <w:r>
              <w:rPr>
                <w:rFonts w:ascii="Arial" w:cs="Arial" w:eastAsia="Arial" w:hAnsi="Arial"/>
                <w:sz w:val="18"/>
                <w:szCs w:val="18"/>
                <w:color w:val="auto"/>
              </w:rPr>
              <w:t>Goodwill</w:t>
            </w:r>
          </w:p>
        </w:tc>
        <w:tc>
          <w:tcPr>
            <w:tcW w:w="1400" w:type="dxa"/>
            <w:vAlign w:val="bottom"/>
            <w:shd w:val="clear" w:color="auto" w:fill="CCECFF"/>
          </w:tcPr>
          <w:p>
            <w:pPr>
              <w:spacing w:after="0"/>
              <w:rPr>
                <w:sz w:val="19"/>
                <w:szCs w:val="19"/>
                <w:color w:val="auto"/>
              </w:rPr>
            </w:pPr>
          </w:p>
        </w:tc>
        <w:tc>
          <w:tcPr>
            <w:tcW w:w="320" w:type="dxa"/>
            <w:vAlign w:val="bottom"/>
            <w:shd w:val="clear" w:color="auto" w:fill="CCECFF"/>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64,581</w:t>
            </w:r>
          </w:p>
        </w:tc>
        <w:tc>
          <w:tcPr>
            <w:tcW w:w="120" w:type="dxa"/>
            <w:vAlign w:val="bottom"/>
            <w:shd w:val="clear" w:color="auto" w:fill="CCECFF"/>
          </w:tcPr>
          <w:p>
            <w:pPr>
              <w:spacing w:after="0"/>
              <w:rPr>
                <w:sz w:val="19"/>
                <w:szCs w:val="19"/>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9"/>
                <w:szCs w:val="19"/>
                <w:color w:val="auto"/>
              </w:rPr>
            </w:pPr>
          </w:p>
        </w:tc>
      </w:tr>
      <w:tr>
        <w:trPr>
          <w:trHeight w:val="230"/>
        </w:trPr>
        <w:tc>
          <w:tcPr>
            <w:tcW w:w="7380" w:type="dxa"/>
            <w:vAlign w:val="bottom"/>
            <w:shd w:val="clear" w:color="auto" w:fill="CCECFF"/>
          </w:tcPr>
          <w:p>
            <w:pPr>
              <w:spacing w:after="0"/>
              <w:rPr>
                <w:sz w:val="20"/>
                <w:szCs w:val="20"/>
                <w:color w:val="auto"/>
              </w:rPr>
            </w:pPr>
            <w:r>
              <w:rPr>
                <w:rFonts w:ascii="Arial" w:cs="Arial" w:eastAsia="Arial" w:hAnsi="Arial"/>
                <w:sz w:val="18"/>
                <w:szCs w:val="18"/>
                <w:color w:val="auto"/>
              </w:rPr>
              <w:t>Other assets</w:t>
            </w:r>
          </w:p>
        </w:tc>
        <w:tc>
          <w:tcPr>
            <w:tcW w:w="1400" w:type="dxa"/>
            <w:vAlign w:val="bottom"/>
            <w:tcBorders>
              <w:bottom w:val="single" w:sz="8" w:color="auto"/>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spacing w:after="0"/>
              <w:rPr>
                <w:sz w:val="19"/>
                <w:szCs w:val="19"/>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CFF"/>
          </w:tcPr>
          <w:p>
            <w:pPr>
              <w:spacing w:after="0"/>
              <w:rPr>
                <w:sz w:val="19"/>
                <w:szCs w:val="19"/>
                <w:color w:val="auto"/>
              </w:rPr>
            </w:pPr>
          </w:p>
        </w:tc>
      </w:tr>
      <w:tr>
        <w:trPr>
          <w:trHeight w:val="263"/>
        </w:trPr>
        <w:tc>
          <w:tcPr>
            <w:tcW w:w="7380" w:type="dxa"/>
            <w:vAlign w:val="bottom"/>
            <w:tcBorders>
              <w:bottom w:val="single" w:sz="8" w:color="CCECFF"/>
            </w:tcBorders>
          </w:tcPr>
          <w:p>
            <w:pPr>
              <w:spacing w:after="0"/>
              <w:rPr>
                <w:sz w:val="20"/>
                <w:szCs w:val="20"/>
                <w:color w:val="auto"/>
              </w:rPr>
            </w:pPr>
            <w:r>
              <w:rPr>
                <w:rFonts w:ascii="Arial" w:cs="Arial" w:eastAsia="Arial" w:hAnsi="Arial"/>
                <w:sz w:val="18"/>
                <w:szCs w:val="18"/>
                <w:b w:val="1"/>
                <w:bCs w:val="1"/>
                <w:color w:val="auto"/>
              </w:rPr>
              <w:t>Total assets of discontinued operations</w:t>
            </w:r>
          </w:p>
        </w:tc>
        <w:tc>
          <w:tcPr>
            <w:tcW w:w="1400" w:type="dxa"/>
            <w:vAlign w:val="bottom"/>
            <w:tcBorders>
              <w:bottom w:val="single" w:sz="8" w:color="auto"/>
            </w:tcBorders>
          </w:tcPr>
          <w:p>
            <w:pPr>
              <w:jc w:val="right"/>
              <w:ind w:right="12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CFF"/>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243,158</w:t>
            </w:r>
          </w:p>
        </w:tc>
        <w:tc>
          <w:tcPr>
            <w:tcW w:w="120" w:type="dxa"/>
            <w:vAlign w:val="bottom"/>
            <w:tcBorders>
              <w:bottom w:val="single" w:sz="8" w:color="CCECFF"/>
            </w:tcBorders>
          </w:tcPr>
          <w:p>
            <w:pPr>
              <w:spacing w:after="0"/>
              <w:rPr>
                <w:sz w:val="22"/>
                <w:szCs w:val="22"/>
                <w:color w:val="auto"/>
              </w:rPr>
            </w:pPr>
          </w:p>
        </w:tc>
      </w:tr>
      <w:tr>
        <w:trPr>
          <w:trHeight w:val="210"/>
        </w:trPr>
        <w:tc>
          <w:tcPr>
            <w:tcW w:w="7380" w:type="dxa"/>
            <w:vAlign w:val="bottom"/>
            <w:shd w:val="clear" w:color="auto" w:fill="CCECFF"/>
          </w:tcPr>
          <w:p>
            <w:pPr>
              <w:spacing w:after="0"/>
              <w:rPr>
                <w:sz w:val="20"/>
                <w:szCs w:val="20"/>
                <w:color w:val="auto"/>
              </w:rPr>
            </w:pPr>
            <w:r>
              <w:rPr>
                <w:rFonts w:ascii="Arial" w:cs="Arial" w:eastAsia="Arial" w:hAnsi="Arial"/>
                <w:sz w:val="18"/>
                <w:szCs w:val="18"/>
                <w:color w:val="auto"/>
              </w:rPr>
              <w:t>Current liabilities</w:t>
            </w:r>
          </w:p>
        </w:tc>
        <w:tc>
          <w:tcPr>
            <w:tcW w:w="1400" w:type="dxa"/>
            <w:vAlign w:val="bottom"/>
            <w:shd w:val="clear" w:color="auto" w:fill="CCECFF"/>
          </w:tcPr>
          <w:p>
            <w:pPr>
              <w:jc w:val="right"/>
              <w:ind w:right="12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CFF"/>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17,372</w:t>
            </w:r>
          </w:p>
        </w:tc>
        <w:tc>
          <w:tcPr>
            <w:tcW w:w="120" w:type="dxa"/>
            <w:vAlign w:val="bottom"/>
            <w:shd w:val="clear" w:color="auto" w:fill="CCECFF"/>
          </w:tcPr>
          <w:p>
            <w:pPr>
              <w:spacing w:after="0"/>
              <w:rPr>
                <w:sz w:val="18"/>
                <w:szCs w:val="18"/>
                <w:color w:val="auto"/>
              </w:rPr>
            </w:pPr>
          </w:p>
        </w:tc>
      </w:tr>
      <w:tr>
        <w:trPr>
          <w:trHeight w:val="230"/>
        </w:trPr>
        <w:tc>
          <w:tcPr>
            <w:tcW w:w="738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C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CFF"/>
            </w:tcBorders>
          </w:tcPr>
          <w:p>
            <w:pPr>
              <w:spacing w:after="0"/>
              <w:rPr>
                <w:sz w:val="19"/>
                <w:szCs w:val="19"/>
                <w:color w:val="auto"/>
              </w:rPr>
            </w:pPr>
          </w:p>
        </w:tc>
      </w:tr>
      <w:tr>
        <w:trPr>
          <w:trHeight w:val="223"/>
        </w:trPr>
        <w:tc>
          <w:tcPr>
            <w:tcW w:w="73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b w:val="1"/>
                <w:bCs w:val="1"/>
                <w:color w:val="auto"/>
              </w:rPr>
              <w:t>Total liabilities of discontinued operations</w:t>
            </w:r>
          </w:p>
        </w:tc>
        <w:tc>
          <w:tcPr>
            <w:tcW w:w="1400" w:type="dxa"/>
            <w:vAlign w:val="bottom"/>
            <w:tcBorders>
              <w:bottom w:val="single" w:sz="8" w:color="auto"/>
            </w:tcBorders>
            <w:shd w:val="clear" w:color="auto" w:fill="CCECFF"/>
          </w:tcPr>
          <w:p>
            <w:pPr>
              <w:jc w:val="right"/>
              <w:ind w:right="12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CFF"/>
          </w:tcPr>
          <w:p>
            <w:pPr>
              <w:ind w:left="12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CFF"/>
            </w:tcBorders>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19,671</w:t>
            </w:r>
          </w:p>
        </w:tc>
        <w:tc>
          <w:tcPr>
            <w:tcW w:w="120" w:type="dxa"/>
            <w:vAlign w:val="bottom"/>
            <w:tcBorders>
              <w:bottom w:val="single" w:sz="8" w:color="CCECFF"/>
            </w:tcBorders>
            <w:shd w:val="clear" w:color="auto" w:fill="CCEC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lease certain of our real estate, machinery, equipment, and vehicles under non-cancelable operating lease agreements.</w:t>
      </w:r>
    </w:p>
    <w:p>
      <w:pPr>
        <w:spacing w:after="0" w:line="22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61"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Many of our leases include renewal options that enable us to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39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amounts of assets and liabilities related to our operating and financing leases as of October 31, 2020 were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900" w:type="dxa"/>
            <w:vAlign w:val="bottom"/>
            <w:gridSpan w:val="2"/>
          </w:tcPr>
          <w:p>
            <w:pPr>
              <w:ind w:left="1160"/>
              <w:spacing w:after="0"/>
              <w:rPr>
                <w:sz w:val="20"/>
                <w:szCs w:val="20"/>
                <w:color w:val="auto"/>
              </w:rPr>
            </w:pPr>
            <w:r>
              <w:rPr>
                <w:rFonts w:ascii="Arial" w:cs="Arial" w:eastAsia="Arial" w:hAnsi="Arial"/>
                <w:sz w:val="14"/>
                <w:szCs w:val="14"/>
                <w:b w:val="1"/>
                <w:bCs w:val="1"/>
                <w:color w:val="auto"/>
              </w:rPr>
              <w:t>Balance Sheet Caption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October 31, 2020</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3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Right-of-use assets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3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(1,921)</w:t>
            </w:r>
          </w:p>
        </w:tc>
      </w:tr>
      <w:tr>
        <w:trPr>
          <w:trHeight w:val="26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Right-of-use assets, net</w:t>
            </w:r>
          </w:p>
        </w:tc>
        <w:tc>
          <w:tcPr>
            <w:tcW w:w="3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Current liabilities</w:t>
            </w:r>
          </w:p>
        </w:tc>
        <w:tc>
          <w:tcPr>
            <w:tcW w:w="390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FF0FC"/>
          </w:tcPr>
          <w:p>
            <w:pPr>
              <w:spacing w:after="0"/>
              <w:rPr>
                <w:sz w:val="19"/>
                <w:szCs w:val="19"/>
                <w:color w:val="auto"/>
              </w:rPr>
            </w:pPr>
          </w:p>
        </w:tc>
      </w:tr>
      <w:tr>
        <w:trPr>
          <w:trHeight w:val="26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lease liabilities</w:t>
            </w:r>
          </w:p>
        </w:tc>
        <w:tc>
          <w:tcPr>
            <w:tcW w:w="37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Leases</w:t>
            </w: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Right-of-use assets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40,986</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3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(3,181)</w:t>
            </w:r>
          </w:p>
        </w:tc>
      </w:tr>
      <w:tr>
        <w:trPr>
          <w:trHeight w:val="26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Right-of-use assets, net</w:t>
            </w:r>
          </w:p>
        </w:tc>
        <w:tc>
          <w:tcPr>
            <w:tcW w:w="3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37,805</w:t>
            </w:r>
          </w:p>
        </w:tc>
        <w:tc>
          <w:tcPr>
            <w:tcW w:w="10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Current liabilities</w:t>
            </w:r>
          </w:p>
        </w:tc>
        <w:tc>
          <w:tcPr>
            <w:tcW w:w="390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payable, net of current portion</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39,343</w:t>
            </w:r>
          </w:p>
        </w:tc>
        <w:tc>
          <w:tcPr>
            <w:tcW w:w="100" w:type="dxa"/>
            <w:vAlign w:val="bottom"/>
            <w:shd w:val="clear" w:color="auto" w:fill="CFF0FC"/>
          </w:tcPr>
          <w:p>
            <w:pPr>
              <w:spacing w:after="0"/>
              <w:rPr>
                <w:sz w:val="19"/>
                <w:szCs w:val="19"/>
                <w:color w:val="auto"/>
              </w:rPr>
            </w:pPr>
          </w:p>
        </w:tc>
      </w:tr>
      <w:tr>
        <w:trPr>
          <w:trHeight w:val="223"/>
        </w:trPr>
        <w:tc>
          <w:tcPr>
            <w:tcW w:w="5520" w:type="dxa"/>
            <w:vAlign w:val="bottom"/>
          </w:tcPr>
          <w:p>
            <w:pPr>
              <w:ind w:left="260"/>
              <w:spacing w:after="0"/>
              <w:rPr>
                <w:sz w:val="20"/>
                <w:szCs w:val="20"/>
                <w:color w:val="auto"/>
              </w:rPr>
            </w:pPr>
            <w:r>
              <w:rPr>
                <w:rFonts w:ascii="Arial" w:cs="Arial" w:eastAsia="Arial" w:hAnsi="Arial"/>
                <w:sz w:val="18"/>
                <w:szCs w:val="18"/>
                <w:color w:val="auto"/>
              </w:rPr>
              <w:t>Total finance lease liabilities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40,390</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For the three months ended October 31, 2020, we recorded $444,000 of operating lease costs, of which $49,000 related to short-term leases and not recorded as right-of-use assets. We recorded $525,000 of financing lease amortization and $507,000 of financing lease interest expense for the three months ended October 31, 2020. For the six months ended October 31, 2020, we recorded $918,000 of operating lease costs, of which $130,000 related to short-term leases and not recorded as right-of-use assets. We recorded $1.0 million of financing lease amortization and $1.0 million of financing lease interest expense for the six months ended October 31, 2020. As of October 31, 2020, our weighted average lease term and weighted average discount rate for our operating leases was 4.4 years and 4.6%, respectively. As of October 31, 2020, our weighted average lease term and weighted average discount rate for our financing leases were 18.0 years and 5.0%, respectively, and consisted primarily of our national logistics facility located in Columbia, Missouri. The depreciable lives of right-of-use assets are limited by the lease term and are amortized on a straight-line basis over the life of the lease.</w:t>
      </w:r>
    </w:p>
    <w:p>
      <w:pPr>
        <w:spacing w:after="0" w:line="192" w:lineRule="exact"/>
        <w:rPr>
          <w:sz w:val="20"/>
          <w:szCs w:val="20"/>
          <w:color w:val="auto"/>
        </w:rPr>
      </w:pPr>
    </w:p>
    <w:p>
      <w:pPr>
        <w:jc w:val="both"/>
        <w:ind w:right="360" w:firstLine="510"/>
        <w:spacing w:after="0" w:line="286" w:lineRule="auto"/>
        <w:rPr>
          <w:sz w:val="20"/>
          <w:szCs w:val="20"/>
          <w:color w:val="auto"/>
        </w:rPr>
      </w:pPr>
      <w:r>
        <w:rPr>
          <w:rFonts w:ascii="Arial" w:cs="Arial" w:eastAsia="Arial" w:hAnsi="Arial"/>
          <w:sz w:val="17"/>
          <w:szCs w:val="17"/>
          <w:color w:val="auto"/>
        </w:rPr>
        <w:t>With the completion of the Separation, we entered into a sublease for 59.0% of our national logistics facility under the same terms as the master lease. For the six months ended October 31, 2020, we have recorded $303,000 of income related to this sublease agreement, which is recorded in other income/(expense) in our condensed consolidated statements of income/(loss) and comprehensive income/(loss).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lease payments for all our operating and finance leases for succeeding fiscal years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Financing</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7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2024</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2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amounts representing interest</w:t>
            </w:r>
          </w:p>
        </w:tc>
        <w:tc>
          <w:tcPr>
            <w:tcW w:w="2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payments</w:t>
            </w:r>
          </w:p>
        </w:tc>
        <w:tc>
          <w:tcPr>
            <w:tcW w:w="2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Less current maturities of lease liabilities</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(1,284)</w:t>
            </w: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maturities of lease liabilities</w:t>
            </w:r>
          </w:p>
        </w:tc>
        <w:tc>
          <w:tcPr>
            <w:tcW w:w="27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700" w:type="dxa"/>
            <w:vAlign w:val="bottom"/>
            <w:vMerge w:val="restart"/>
          </w:tcPr>
          <w:p>
            <w:pPr>
              <w:jc w:val="right"/>
              <w:ind w:right="115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22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three and six months ended October 31, 2020, the cash paid for amounts included in the measurement of the liabilities and the operating cash flows was $1.1 million and $2.5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intangible assets as of October 31, 2020 and April 30,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October 31, 2020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April 30,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r>
      <w:tr>
        <w:trPr>
          <w:trHeight w:val="17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and trade names</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(5,091)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Patents in progress</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definite-lived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$134,000 and $156,000 for the three months ended October 31, 2020 and 2019, respectively. Amortization expense, excluding amortization of deferred financing costs, amounted to $268,000 and $327,000 for the six months ended October 31, 2020 and 2019, respectively.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Estimated amortization expense of intangible assets for the remainder of fiscal 2021 and succeeding fiscal years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FF0FC"/>
            </w:tcBorders>
          </w:tcPr>
          <w:p>
            <w:pPr>
              <w:spacing w:after="0"/>
              <w:rPr>
                <w:sz w:val="19"/>
                <w:szCs w:val="19"/>
                <w:color w:val="auto"/>
              </w:rPr>
            </w:pPr>
          </w:p>
        </w:tc>
      </w:tr>
      <w:tr>
        <w:trPr>
          <w:trHeight w:val="223"/>
        </w:trPr>
        <w:tc>
          <w:tcPr>
            <w:tcW w:w="9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Loans Payable, and Financing Arrangements:</w:t>
      </w:r>
    </w:p>
    <w:p>
      <w:pPr>
        <w:spacing w:after="0" w:line="13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 On August 24, 2020, we and certain of our direct and indirect Domestic Subsidiaries entered into an amended and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the Amended and Restated Credit Agreement, with certain lenders; TD Bank, N.A., as administrative agent; TD Securities (USA) LLC and Regions Bank, as joint lead arrangers and joint bookrunners; and Regions Bank, as syndication agent. The Amended and Restated Credit Agreement amended and restated that certain Credit Agreement, dated as of June 15, 2015, by and among us, certain of our direct and indirect Domestic Subsidiaries, the lenders party thereto, and TD Bank, N.A., as administrative agent and swingline lender, as previously amended. The Amended and Restated Credit Agreement is currently unsecured; however, should any Springing Lien Trigger Event occur, we and certain of our direct and indirect Domestic Subsidiaries would be required to enter into certain documents that create in favor of TD Bank, N.A., as administrative agent, and the lenders party to such documents a legal, valid, and enforceable first priority Lien on the Collateral described therein.</w:t>
      </w:r>
    </w:p>
    <w:p>
      <w:pPr>
        <w:spacing w:after="0" w:line="17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Amended and Restated Credit Agreement provides for a revolving line of credit of $100.0 million at any one time, or the Revolving Line. The Revolving Line bears interest at either the Base Rate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bears interest at the Base Rate, plus an applicable margin based on our consolidated leverage ratio. Subject to the satisfaction of certain terms and conditions described in the Amended and Restated Credit Agreement, we have an option to increase the Revolving Line by an aggregate amount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39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not exceeding $50.0 million. The Revolving Line matures on the earlier of August 24, 2025, or the date that is six months in advance of the earliest maturity of any Permitted Notes under the Amended and Restated Credit Agreement.</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As of October 31, 2020, we did not have any borrowings outstanding on the Revolving Line. Had there been borrowings, they would have borne an interest rate of 1.65%, which is equal to the LIBOR rate plus an applicable margin.</w:t>
      </w:r>
    </w:p>
    <w:p>
      <w:pPr>
        <w:spacing w:after="0" w:line="170"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w:t>
      </w:r>
    </w:p>
    <w:p>
      <w:pPr>
        <w:spacing w:after="0" w:line="17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October 31, 2020, we had outstanding letters of credit aggregating $2.7 million, which included a $1.5 million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to collateralize our captive insurance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9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Financial assets and liabilities recorded on the accompanying condensed consolidated balance sheets are categorized based on the inputs to the valuation techniques as follows:</w:t>
      </w:r>
    </w:p>
    <w:p>
      <w:pPr>
        <w:spacing w:after="0" w:line="170"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 at the measurement date (examples include active exchange-traded equity securities, listed derivatives, and most U.S. Government and agency securities).</w:t>
      </w:r>
    </w:p>
    <w:p>
      <w:pPr>
        <w:spacing w:after="0" w:line="184"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Our cash and cash equivalents, which are measured at fair value on a recurring basis, totaled $55.5 million and $125.0 million as of October 31, 2020 and April 30, 2020, respectively. We utilized Level 1 of the value hierarchy to determine the fair values of these assets.</w:t>
      </w:r>
    </w:p>
    <w:p>
      <w:pPr>
        <w:spacing w:after="0" w:line="14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are based on quoted prices of instruments with similar attributes in active markets. Level 2 inputs include the following:</w:t>
      </w:r>
    </w:p>
    <w:p>
      <w:pPr>
        <w:spacing w:after="0" w:line="62" w:lineRule="exact"/>
        <w:rPr>
          <w:sz w:val="20"/>
          <w:szCs w:val="20"/>
          <w:color w:val="auto"/>
        </w:rPr>
      </w:pPr>
    </w:p>
    <w:p>
      <w:pPr>
        <w:ind w:left="880" w:right="9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(such as corporate and municipal bonds which trade infrequently);</w:t>
      </w:r>
    </w:p>
    <w:p>
      <w:pPr>
        <w:spacing w:after="0" w:line="62"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reflect our assumptions about the assumptions a market participant would use in pricing the asset or liability.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do not have any Level 2 or Level 3 financial assets or liabilities as of October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inventories, net of reserves, stated at lower of cost or net realizable value, as of October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2020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2020</w:t>
            </w: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Finished parts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43,528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29,619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78,889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Deferred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other accrued expenses as of October 31, 2020 and April 30,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2020</w:t>
            </w: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taxes other than income (a)</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revenue (b)</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14,744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rebates and promotions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Right-of-use lease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distributor incentives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portion of finance lease obligation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accrued expenses and deferred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20" w:right="100" w:hanging="370"/>
        <w:spacing w:after="0" w:line="258"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accrued taxes other than income is due to the deferral of federal excise tax payments allowed by the Tax and Trade Bureau as a result of the COVID-19 pandemic as of April 30, 2020.</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deferred revenue due to the fulfillment of performance obligations related to promotional activity.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Earnings/(Loss) per Share</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following table provides a reconciliation of the net income/(loss) amounts and weighted average number of common and common equivalent shares used to determine basic and diluted earnings/(loss) per share for the three and six months ended October 31, 2020 and 2019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October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October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income/(loss)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49,118</w:t>
            </w:r>
          </w:p>
        </w:tc>
        <w:tc>
          <w:tcPr>
            <w:tcW w:w="24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92,417</w:t>
            </w:r>
          </w:p>
        </w:tc>
        <w:tc>
          <w:tcPr>
            <w:tcW w:w="58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Income/(loss) from discontinued operations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Net income/(loss)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40" w:type="dxa"/>
            <w:vAlign w:val="bottom"/>
            <w:vMerge w:val="continue"/>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52,241</w:t>
            </w:r>
          </w:p>
        </w:tc>
        <w:tc>
          <w:tcPr>
            <w:tcW w:w="240" w:type="dxa"/>
            <w:vAlign w:val="bottom"/>
          </w:tcPr>
          <w:p>
            <w:pPr>
              <w:spacing w:after="0"/>
              <w:rPr>
                <w:sz w:val="21"/>
                <w:szCs w:val="21"/>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100,626</w:t>
            </w:r>
          </w:p>
        </w:tc>
        <w:tc>
          <w:tcPr>
            <w:tcW w:w="24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19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55,914</w:t>
            </w: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54,912</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55,691</w:t>
            </w: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54,847</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Effect of dilutive stock awards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56,531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55,424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56,475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54,847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Earnings/(loss) per share — Basic</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58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Income/(loss) from 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0.05</w:t>
            </w:r>
          </w:p>
        </w:tc>
        <w:tc>
          <w:tcPr>
            <w:tcW w:w="24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0.15</w:t>
            </w:r>
          </w:p>
        </w:tc>
        <w:tc>
          <w:tcPr>
            <w:tcW w:w="58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income/(loss)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58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Earnings/(loss) per share — Diluted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58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Income/(loss) from 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0.05</w:t>
            </w:r>
          </w:p>
        </w:tc>
        <w:tc>
          <w:tcPr>
            <w:tcW w:w="24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0.14</w:t>
            </w:r>
          </w:p>
        </w:tc>
        <w:tc>
          <w:tcPr>
            <w:tcW w:w="58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income/(loss)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58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For the three months ended October 31, 2020 and 2019, the amount of shares excluded from the computation of diluted earnings per share was 9,052 and 68,109, respectively, because the effect would be antidilutive. For the six months ended October 31, 2020, the amount of shares excluded from the computation of diluted earnings per share was 9,472 because the effect would be antidilutive. For the six months ended October 31, 2019, all of our outstanding stock options and RSUs were included in the computation of diluted earnings per share.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and Employee Stock Purchase Plans</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have two incentive stock plans: the 2004 Incentive Stock Plan and the 2013 Incentive Stock Plan. New grants under the 2004 Incentive Stock Plan have not been made since the approval of the 2013 Incentive Stock Plan at our 2013 Annual Meeting of Stockholders. All new grants covering all participants are issued under the 2013 Incentive Stock Plan. Except in specific circumstances, grants vest over a period of four years, and stock options are exercisable for a period of 10 years from the date of grant. The 2013 Incentive Stock Plan also permits the grant of awards to non-employees, which our board of directors has authorized in the past.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3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number of shares and weighted average exercise prices of stock options for the six months ended October 31, 2020 and 2019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5"/>
              </w:rPr>
              <w:t>For the Six Months Ended October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beginning of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200,667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(190,667)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 years</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40" w:type="dxa"/>
            <w:vAlign w:val="bottom"/>
            <w:tcBorders>
              <w:top w:val="single" w:sz="8" w:color="auto"/>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 years</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104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end of period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252,761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 years</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 years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aggregate intrinsic value of outstanding and exercisable stock options as of October 31, 2020 and 2019 was $144,400 and $335,000, respectively. The aggregate intrinsic value of the stock options exercised in the three and six months ended October 31, 2020 was $2.8 million. The aggregate intrinsic value of stock options exercised in the three and six months ended October 31, 2019 was $100,000. At October 31, 2020 and 2019, there was no unrecognized compensation expense relating to outstanding stock options.</w:t>
      </w:r>
    </w:p>
    <w:p>
      <w:pPr>
        <w:spacing w:after="0" w:line="187" w:lineRule="exact"/>
        <w:rPr>
          <w:sz w:val="20"/>
          <w:szCs w:val="20"/>
          <w:color w:val="auto"/>
        </w:rPr>
      </w:pPr>
    </w:p>
    <w:p>
      <w:pPr>
        <w:ind w:right="700" w:firstLine="510"/>
        <w:spacing w:after="0" w:line="342" w:lineRule="auto"/>
        <w:rPr>
          <w:sz w:val="20"/>
          <w:szCs w:val="20"/>
          <w:color w:val="auto"/>
        </w:rPr>
      </w:pPr>
      <w:r>
        <w:rPr>
          <w:rFonts w:ascii="Arial" w:cs="Arial" w:eastAsia="Arial" w:hAnsi="Arial"/>
          <w:sz w:val="16"/>
          <w:szCs w:val="16"/>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w:t>
      </w:r>
    </w:p>
    <w:p>
      <w:pPr>
        <w:spacing w:after="0" w:line="124"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 total stock-based compensation expense, including stock options, purchases under our ESPP, RSUs, and performance-based RSUs, or PSUs, was $2.1 million and $3.0 million for the six months ended October 31, 2020 and 2019, respectively. Stock-based compensation expense is included in cost of sales, sales and marketing, research and development, and general and administrative expenses.</w:t>
      </w:r>
    </w:p>
    <w:p>
      <w:pPr>
        <w:spacing w:after="0" w:line="16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grant service-based RSUs to employees and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During the six months ended October 31, 2020, we granted an aggregate of 234,007 service-based RSUs, including 159,485 RSUs to non-executive officer employees, 48,952 RSUs to our executive officers, and 25,570 RSUs to our directors. During the six months ended October 31, 2020, we granted 36,308 PSUs to certain of our executive officers. Compensation expense related to grants of RSUs and PSUs was $1.2 million for the six months ended October 31, 2020. During the six months ended October 31, 2020, we cancelled 92,500 PSUs as a result of the failure to satisfy the performance metric and 85,741 service-based RSUs as a result of the service condition not being met. In connection with the vesting of RSUs, during the six months ended October 31, 2020, we delivered common stock to our employees and directors, including our executive officers, with a total market value of $6.6 million.</w:t>
      </w:r>
    </w:p>
    <w:p>
      <w:pPr>
        <w:spacing w:after="0" w:line="164"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During the six months ended October 31, 2019, we granted an aggregate of 252,911 service-based RSUs, including 137,271 RSUs to non-executive officer employees, and 115,640 to our directors. Compensation expense related to grants of RSUs and PSUs was $2.7 million for the six months ended October 31, 2019. During the six months ended October 31, 2019, we cancelled 156,725 PSUs as a result of the failure to satisfy the performance metric and 67,454 service-based RSUs as a result of the service condition not being met. In connection with the vesting of RSUs, during the six months ended October 31, 2019, we delivered common stock to our employees and directors, including our executive officers, with a total market value of $1.9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left="340" w:right="204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3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unvested RSUs and PSUs for the six months ended October 31, 2020 and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5"/>
              </w:rPr>
              <w:t>For the Six Months Ended October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bottom w:val="single" w:sz="8" w:color="auto"/>
            </w:tcBorders>
            <w:gridSpan w:val="4"/>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 # of</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Stock Units</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Stock 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1,313,974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1,631,631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Awarded</w:t>
            </w:r>
          </w:p>
        </w:tc>
        <w:tc>
          <w:tcPr>
            <w:tcW w:w="1140" w:type="dxa"/>
            <w:vAlign w:val="bottom"/>
          </w:tcPr>
          <w:p>
            <w:pPr>
              <w:jc w:val="right"/>
              <w:spacing w:after="0"/>
              <w:rPr>
                <w:sz w:val="20"/>
                <w:szCs w:val="20"/>
                <w:color w:val="auto"/>
              </w:rPr>
            </w:pPr>
            <w:r>
              <w:rPr>
                <w:rFonts w:ascii="Arial" w:cs="Arial" w:eastAsia="Arial" w:hAnsi="Arial"/>
                <w:sz w:val="18"/>
                <w:szCs w:val="18"/>
                <w:color w:val="auto"/>
              </w:rPr>
              <w:t>270,315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252,911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(381,946)</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(236,489)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(178,241)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(224,179)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1,024,102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1,423,874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As of October 31, 2020, there was $4.0 million of unrecognized compensation expense related to unvested RSUs and PSUs. This expense is expected to be recognized over a weighted average remaining contractual term of 1.6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 xml:space="preserve">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In June 2018, Gemini appealed the decision dismissing its complaint to the U.S. Court of Appeals for the Ninth Circuit, or the Ninth Circuit. On July 24, 2019, the Ninth Circuit reversed the dismissal and remanded the case to the District Court to perform a traditional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analysis. On September 6, 2019, the parties stipulated that they do not contest that the venue is proper in the District of Idaho. On November 4, 2019, we filed an answer to Gemini’s complaint and a counterclaim against Gemini and its stockholders at the time of the signing of the Asset Purchase Agreement. We believe the claims asserted in the complaint have no merit, and we intend to aggressively defend this action.</w:t>
      </w:r>
    </w:p>
    <w:p>
      <w:pPr>
        <w:spacing w:after="0" w:line="16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are a defendant in six product liability cases and are aware of two other product liability claims, primarily alleging defective product design, defective manufacturing, or failure to provide adequate warnings. In addition, we are a co-defendant in a case filed on August 27, 1999 by the city of Gary, Indiana, or the City,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Briefing was completed in the Indiana Supreme Court on August 5, 2019. On November 26, 2019, the Indiana Supreme Court denied our petition to transfer. The case was returned to the trial court.</w:t>
      </w:r>
    </w:p>
    <w:p>
      <w:pPr>
        <w:spacing w:after="0" w:line="22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August 2019, Primus Group, LLC filed an action in the U.S. District Court for the Southern District of Ohio Eastern Division against us and other firearm manufacturers, alleging Racketeer Influenced Corrupt Organizations Act (RICO) violations, racketeering enterprise, and intentional misrepresentation. Plaintiff, which operates as an “entertainment venue” in Columbus, Ohio, purports to bring this action on behalf of “all persons entitled to freely attend schools, shopping locations, churches, entertainment venues, and workplaces in the United States without the intrusion of individuals armed with assault weapons.” In addition to compensatory and punitive damages, plaintiff seeks preliminary and permanent injunctive relief enjoining the distribution and sale of “assault weapons.” On August 20, 2019, the court denied without prejudice plaintiff’s Motion for Temporary Restraining Order. On September 3, 2019, defendants moved to dismiss plaintiff’s complaint. On September 16, 2019, plaintiff filed an amended complaint, adding claims of public nuisance, negligent design, and failure to warn. On October 9, 2019, the U.S. District Court granted defendants’ motion, dismissing the case in its entirety. On October 11, 2019, plaintiff filed a notice of appeal with the U.S. Court of Appeals for the Sixth Circuit, or the Sixth Circuit. On November 1, 2019, the Sixth Circuit dismissed plaintiff’s appeal for failure to pay the required fee. On November 4, 2019, plaintiff-appellant filed, and the Sixth Circuit granted, a motion to reinstate the case. However, on March 13,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80" w:right="200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2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2020, at the request of the Appellant and based on the death of co-counsel, the Sixth Circuit held the case in abeyance and ordered that the Appellant file a status report every 30 days. On April 14, 2020, the Appellant filed a Status Report stating that it intended to reactivate the case or dismiss the appeal within 60 days. On October 21, 2020, the Appellant filed its opening brief with the Sixth Circuit. The Appellees filed their reply brief on November 18, 2020.</w:t>
      </w:r>
    </w:p>
    <w:p>
      <w:pPr>
        <w:spacing w:after="0" w:line="17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On November 21, 2019, the court granted defendants’ motion to dismiss plaintiffs’ second amended complaint, with prejudice. On August 27, 2020, the plaintiffs filed a Motion for Entry of Final and Appealable Order. We opposed, and on November 4, 2020, the court issued an order denying plaintiffs’ motion. On November 13, 2020, the plaintiffs filed a Notice of Appeal. On November 18, 2020, the Fourth District Court of Appeal of the State of Florida issued an order requiring plaintiffs to file a brief explaining the basis for the court’s jurisdiction and how their appeal is timely given the order rendered November 22, 2019.</w:t>
      </w:r>
    </w:p>
    <w:p>
      <w:pPr>
        <w:spacing w:after="0" w:line="23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are a defendant in a putative class proceeding before the Ontario Superior Court of Justice in Toronto, Canada. The action was filed on December 16, 2019. The action claims CAD$50 million in aggregate general damages, CAD$100 million in aggregate punitive damages, special damages in an unspecified amount, together with interest and legal costs. The named plaintiffs are two victims of a shooting that took place in Toronto on July 22, 2018 and their family members. One victim was shot and injured during the shooting. The other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On July 13, 2020, we filed a Notice of Motion for an order striking the claim and dismissing the action in its entirety. On October 16, 2020, the plaintiffs opposed our motion. On November 10, 2020, we filed a reply to plaintiffs’ opposition. A hearing on our motion seeking to dismiss the action is scheduled for December 3-4, 2020.</w:t>
      </w:r>
    </w:p>
    <w:p>
      <w:pPr>
        <w:spacing w:after="0" w:line="206"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In May 2020, we were named in an action related to the Chabad of Poway synagogue shooting that took place on April 27,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On September 3, 2020, we filed a demurrer and motion to strike, seeking to dismiss plaintiffs’ complaint. The plaintiffs’ opposition is due on December 18, 2020. Our reply to plaintiffs’ opposition is due on January 15, 2021, and a hearing on our motion is scheduled for February 16, 2021.</w:t>
      </w:r>
    </w:p>
    <w:p>
      <w:pPr>
        <w:spacing w:after="0" w:line="164"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9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On July 31, 2019, our competitor, Sturm, Ruger &amp; Co., Inc., filed a complaint and motion for preliminary injunction against us in the U.S. District Court, District of New Hampshire, seeking injunctive relief and damages. The plaintiff alleges trade dress infringement, involving our Thompson/Center brand T/CR22 rifle, as well as violation of the New Hampshire Consumer Protection Act. A hearing on plaintiff’s motion for preliminary injunction was held in November 2019. On December 2, 2019, the plaintiff withdrew its motion for preliminary injunction. The case was dismissed on November 5, 2020.</w:t>
      </w:r>
    </w:p>
    <w:p>
      <w:pPr>
        <w:spacing w:after="0" w:line="19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John Pidcock, as trustee of the ASPC Creditor Trust (appointed under the plan of reorganization of AcuSport Corp., or AcuSport, as debtor in possession under chapter 11 of the U.S. Bankruptcy Code), is the plaintiff in two separate actions against us in the U.S. Bankruptcy Court for the Southern District of Ohio. The first seeks recovery of alleged preferential transfers received by us from AcuSport in the aggregate amount of $4.2 million. The second seeks turnover of goods allegedly owed to AcuSport by us under one or more of our promotional programs in the amount of $1.5 million. We have filed answers to both complaints denying all material allegations and asserting affirmative defenses. We believe we have strong defenses to these actions and intend to continue to vigorously defend them. Mediation is scheduled for December 10, 2020.</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various allegations as described above are unfounded.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jc w:val="center"/>
        <w:ind w:left="380" w:right="2000"/>
        <w:spacing w:after="0" w:line="266" w:lineRule="auto"/>
        <w:rPr>
          <w:sz w:val="20"/>
          <w:szCs w:val="20"/>
          <w:color w:val="auto"/>
        </w:rPr>
      </w:pPr>
      <w:r>
        <w:rPr>
          <w:rFonts w:ascii="Arial" w:cs="Arial" w:eastAsia="Arial" w:hAnsi="Arial"/>
          <w:sz w:val="18"/>
          <w:szCs w:val="18"/>
          <w:b w:val="1"/>
          <w:bCs w:val="1"/>
          <w:color w:val="auto"/>
        </w:rPr>
        <w:t>SMITH &amp; WESSON BRANDS, INC. AND SUBSIDIARIES NOTES TO CONDENSED CONSOLIDATED FINANCIAL STATEMENTS (UNAUDITED) For the Three and Six Months Ended October 31, 2020 and 2019</w:t>
      </w:r>
    </w:p>
    <w:p>
      <w:pPr>
        <w:spacing w:after="0" w:line="39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70"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5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4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8"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3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On December 3, 2020, our Board of Directors authorized a regular quarterly dividend for stockholders of $0.05 per share. The dividend will be for stockholders of record as of market close on December 17, 2020 and is payable on January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ind w:right="3980"/>
        <w:spacing w:after="0" w:line="377"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2"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Please refer to the Management’s Discussion and Analysis of Financial Condition and Results of Operations in our Annual Report on Form 10-K for the fiscal year ended April 30, 2020 and our unaudited condensed consolidated financial statements included in Item 1 of this Quarterly Report on Form 10-Q. This section sets forth key objectives and performance indicators used by us as well as key industry data tracked by us.</w:t>
      </w:r>
    </w:p>
    <w:p>
      <w:pPr>
        <w:spacing w:after="0" w:line="20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The results of AOUT, our former outdoor products and accessories business, which were previously reported in the Outdoor Products &amp; Accessories segment, are being presented as discontinued operations in the condensed consolidated statements of income/(loss) and comprehensive income/(loss) for all periods presented following the Separation as described above. See Note 3 -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notes to consolidated financial statements for additional information regarding these discontinued operations. Unless otherwise indicated, any reference to income statement items in this Management’s Discussion and Analysis of Financial Condition and Results of Operations refers to results from continuing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2021 Highlights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three months ended October 31, 2020 included the following:</w:t>
      </w:r>
    </w:p>
    <w:p>
      <w:pPr>
        <w:spacing w:after="0" w:line="117" w:lineRule="exact"/>
        <w:rPr>
          <w:sz w:val="20"/>
          <w:szCs w:val="20"/>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were $248.7 million, an increase of $135.0 million, or 118.7%, over the comparable quarter last year.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was 40.6%, compared with gross margin of 28.4% for the comparable quarter last year.</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continuing operations was $49.1 million, or $0.87 per diluted share, compared with income from continuing operations of $343,000, or $0.01 per diluted share, for the comparable quarter last year.</w:t>
      </w:r>
    </w:p>
    <w:p>
      <w:pPr>
        <w:spacing w:after="0" w:line="62"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noted above and in Note 3, the Separation of our wholly owned subsidiary, American Outdoor Brands, Inc, or AOUT, from our company was completed during the quarter.</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results for the six months ended October 31, 2020 included the following:</w:t>
      </w:r>
    </w:p>
    <w:p>
      <w:pPr>
        <w:spacing w:after="0" w:line="117"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were $478.6 million, an increase of $269.5 million, or 128.8%, over the prior year comparable period.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was 40.4%, an increase of 790 basis points over the prior year comparable period.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continuing operations was $92.4 million, or $1.64 per diluted share, compared with income from continuing operations of $2.5 million, or $0.05 per diluted share, for the prior year comparable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 For the Three Months Ended October 31, 2020</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net sales and gross profit for the three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79,640</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Long Guns</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52,040</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140"/>
              <w:spacing w:after="0"/>
              <w:rPr>
                <w:sz w:val="20"/>
                <w:szCs w:val="20"/>
                <w:color w:val="auto"/>
              </w:rPr>
            </w:pPr>
            <w:r>
              <w:rPr>
                <w:rFonts w:ascii="Arial" w:cs="Arial" w:eastAsia="Arial" w:hAnsi="Arial"/>
                <w:sz w:val="18"/>
                <w:szCs w:val="18"/>
                <w:color w:val="auto"/>
              </w:rPr>
              <w:t>Total Firearms Revenue</w:t>
            </w:r>
          </w:p>
        </w:tc>
        <w:tc>
          <w:tcPr>
            <w:tcW w:w="16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248,729</w:t>
            </w:r>
          </w:p>
        </w:tc>
        <w:tc>
          <w:tcPr>
            <w:tcW w:w="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113,717</w:t>
            </w:r>
          </w:p>
        </w:tc>
        <w:tc>
          <w:tcPr>
            <w:tcW w:w="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135,012</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66,251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6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101,073</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32,312</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68,761</w:t>
            </w:r>
          </w:p>
        </w:tc>
        <w:tc>
          <w:tcPr>
            <w:tcW w:w="24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940" w:type="dxa"/>
            <w:vAlign w:val="bottom"/>
          </w:tcPr>
          <w:p>
            <w:pPr>
              <w:spacing w:after="0"/>
              <w:rPr>
                <w:sz w:val="24"/>
                <w:szCs w:val="24"/>
                <w:color w:val="auto"/>
              </w:rPr>
            </w:pPr>
          </w:p>
        </w:tc>
        <w:tc>
          <w:tcPr>
            <w:tcW w:w="1940" w:type="dxa"/>
            <w:vAlign w:val="bottom"/>
            <w:gridSpan w:val="2"/>
          </w:tcPr>
          <w:p>
            <w:pPr>
              <w:jc w:val="right"/>
              <w:ind w:right="87"/>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right="4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three months ended October 31, 2020 and 2019 (units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4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Handguns</w:t>
            </w:r>
          </w:p>
        </w:tc>
        <w:tc>
          <w:tcPr>
            <w:tcW w:w="4620" w:type="dxa"/>
            <w:vAlign w:val="bottom"/>
            <w:tcBorders>
              <w:top w:val="single" w:sz="8" w:color="CFF0FC"/>
            </w:tcBorders>
            <w:gridSpan w:val="3"/>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455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265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3"/>
              </w:rPr>
              <w:t>190</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71.7%</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171</w:t>
            </w:r>
          </w:p>
        </w:tc>
        <w:tc>
          <w:tcPr>
            <w:tcW w:w="240" w:type="dxa"/>
            <w:vAlign w:val="bottom"/>
          </w:tcPr>
          <w:p>
            <w:pPr>
              <w:spacing w:after="0"/>
              <w:rPr>
                <w:sz w:val="20"/>
                <w:szCs w:val="20"/>
                <w:color w:val="auto"/>
              </w:rPr>
            </w:pPr>
          </w:p>
        </w:tc>
        <w:tc>
          <w:tcPr>
            <w:tcW w:w="1140" w:type="dxa"/>
            <w:vAlign w:val="bottom"/>
          </w:tcPr>
          <w:p>
            <w:pPr>
              <w:jc w:val="right"/>
              <w:ind w:right="356"/>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1140" w:type="dxa"/>
            <w:vAlign w:val="bottom"/>
          </w:tcPr>
          <w:p>
            <w:pPr>
              <w:jc w:val="center"/>
              <w:ind w:left="16"/>
              <w:spacing w:after="0"/>
              <w:rPr>
                <w:sz w:val="20"/>
                <w:szCs w:val="20"/>
                <w:color w:val="auto"/>
              </w:rPr>
            </w:pPr>
            <w:r>
              <w:rPr>
                <w:rFonts w:ascii="Arial" w:cs="Arial" w:eastAsia="Arial" w:hAnsi="Arial"/>
                <w:sz w:val="18"/>
                <w:szCs w:val="18"/>
                <w:color w:val="auto"/>
                <w:w w:val="93"/>
              </w:rPr>
              <w:t>103</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151.5%</w:t>
            </w:r>
          </w:p>
        </w:tc>
        <w:tc>
          <w:tcPr>
            <w:tcW w:w="100" w:type="dxa"/>
            <w:vAlign w:val="bottom"/>
          </w:tcPr>
          <w:p>
            <w:pPr>
              <w:spacing w:after="0"/>
              <w:rPr>
                <w:sz w:val="20"/>
                <w:szCs w:val="20"/>
                <w:color w:val="auto"/>
              </w:rPr>
            </w:pPr>
          </w:p>
        </w:tc>
      </w:tr>
      <w:tr>
        <w:trPr>
          <w:trHeight w:val="43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3400" w:type="dxa"/>
            <w:vAlign w:val="bottom"/>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58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420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241</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3"/>
              </w:rPr>
              <w:t>179</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74.3%</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166</w:t>
            </w:r>
          </w:p>
        </w:tc>
        <w:tc>
          <w:tcPr>
            <w:tcW w:w="240" w:type="dxa"/>
            <w:vAlign w:val="bottom"/>
          </w:tcPr>
          <w:p>
            <w:pPr>
              <w:spacing w:after="0"/>
              <w:rPr>
                <w:sz w:val="20"/>
                <w:szCs w:val="20"/>
                <w:color w:val="auto"/>
              </w:rPr>
            </w:pPr>
          </w:p>
        </w:tc>
        <w:tc>
          <w:tcPr>
            <w:tcW w:w="1140" w:type="dxa"/>
            <w:vAlign w:val="bottom"/>
          </w:tcPr>
          <w:p>
            <w:pPr>
              <w:jc w:val="right"/>
              <w:ind w:right="356"/>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1140" w:type="dxa"/>
            <w:vAlign w:val="bottom"/>
          </w:tcPr>
          <w:p>
            <w:pPr>
              <w:jc w:val="center"/>
              <w:ind w:left="16"/>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167.7%</w:t>
            </w:r>
          </w:p>
        </w:tc>
        <w:tc>
          <w:tcPr>
            <w:tcW w:w="100" w:type="dxa"/>
            <w:vAlign w:val="bottom"/>
          </w:tcPr>
          <w:p>
            <w:pPr>
              <w:spacing w:after="0"/>
              <w:rPr>
                <w:sz w:val="20"/>
                <w:szCs w:val="20"/>
                <w:color w:val="auto"/>
              </w:rPr>
            </w:pPr>
          </w:p>
        </w:tc>
      </w:tr>
      <w:tr>
        <w:trPr>
          <w:trHeight w:val="45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3620" w:type="dxa"/>
            <w:vAlign w:val="bottom"/>
            <w:gridSpan w:val="2"/>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4"/>
                <w:szCs w:val="24"/>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17"/>
        </w:trPr>
        <w:tc>
          <w:tcPr>
            <w:tcW w:w="584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35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11</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45.8%</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20"/>
                <w:szCs w:val="20"/>
                <w:color w:val="auto"/>
              </w:rPr>
            </w:pPr>
          </w:p>
        </w:tc>
        <w:tc>
          <w:tcPr>
            <w:tcW w:w="1140" w:type="dxa"/>
            <w:vAlign w:val="bottom"/>
          </w:tcPr>
          <w:p>
            <w:pPr>
              <w:jc w:val="center"/>
              <w:ind w:left="16"/>
              <w:spacing w:after="0"/>
              <w:rPr>
                <w:sz w:val="20"/>
                <w:szCs w:val="20"/>
                <w:color w:val="auto"/>
              </w:rPr>
            </w:pPr>
            <w:r>
              <w:rPr>
                <w:rFonts w:ascii="Arial" w:cs="Arial" w:eastAsia="Arial" w:hAnsi="Arial"/>
                <w:sz w:val="18"/>
                <w:szCs w:val="18"/>
                <w:color w:val="auto"/>
                <w:w w:val="90"/>
              </w:rPr>
              <w:t>(1)</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-16.7%</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Revenue for our handguns increased $79.6 million, or 97.8%, over the comparable quarter last year. The increase in revenue was due to heightened demand for all major product lines driven by an increased consumer interest in firearms, likely resulting from continued concerns regarding the COVID-19 pandemic, recent events that have raised fears about personal protection, uncertainty regarding the possibility of increased firearm regulation in relation to the recent political election, and a reduction in promotional programs which increased our average selling price. Unit shipments into the sporting goods consumer channel increased 74.3% over the comparable quarter last year primarily as a result of increased consumer firearm demand, as indicated by a</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75.6% increase over the comparable quarter last year in total adjusted handgun background checks as reported to the National Instant Criminal Background Check Systems, or NICS, which we believe is a proxy for overall consumer demand.</w:t>
      </w:r>
    </w:p>
    <w:p>
      <w:pPr>
        <w:spacing w:after="0" w:line="18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Revenue for our long guns increased $52.0 million, or 217.3%, over the comparable quarter last year. The increase in revenue was primarily because of increased consumer demand for our M&amp;P modern sporting rifles and a successful consumer rebate program on our Thompson/Center Arms branded products. Long gun unit shipments into our sporting goods channel increased 167.7%, compared to a 48.8% increase in reported NICS checks over the comparable quarter last year. We believe that our percentage increase in sales in long guns significantly exceeded the increase in NICS because our flexible manufacturing capabilities allowed us to increase production capacity significantly in a short period of time.</w:t>
      </w:r>
    </w:p>
    <w:p>
      <w:pPr>
        <w:spacing w:after="0" w:line="17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Other products and services revenue increased $3.3 million, or 39.8%, over the comparable quarter last year, primarily because of increased sales of component parts, handcuffs, and business to business services.</w:t>
      </w:r>
    </w:p>
    <w:p>
      <w:pPr>
        <w:spacing w:after="0" w:line="170"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New products, defined as any new SKU not shipped in the comparable quarter last year, represented 15.5% of revenue for the three months ended October 31, 2020 and included a new concealed carry M&amp;P branded polymer pistol, many new product line extensions, and promotional product bundle kits for our M&amp;P, Performance Center, and Thompson/Center Arms branded products.</w:t>
      </w:r>
    </w:p>
    <w:p>
      <w:pPr>
        <w:spacing w:after="0" w:line="18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Gross margin for the three months ended October 31, 2020 was 40.6%, compared with gross margin of 28.4% for the comparable quarter last year, primarily because of lower promotional product spending and favorable manufacturing fixed cost absorption. These increases were partially offset by increased manufacturing spending and recall related expenses.</w:t>
      </w:r>
    </w:p>
    <w:p>
      <w:pPr>
        <w:spacing w:after="0" w:line="18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Inventory balances declined slightly during the three months ended October 31, 2020, primarily as a result of a decline in finished goods, offset by an increase in finished parts due to outsourcing of manufacturing parts.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Net Sales and Gross Profit – For the Six Months Ended October 31, 2020</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net sales and gross profit for the six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0" w:type="dxa"/>
            <w:vAlign w:val="bottom"/>
            <w:tcBorders>
              <w:bottom w:val="single" w:sz="8" w:color="CFF0FC"/>
            </w:tcBorders>
          </w:tcPr>
          <w:p>
            <w:pPr>
              <w:spacing w:after="0"/>
              <w:rPr>
                <w:sz w:val="14"/>
                <w:szCs w:val="14"/>
                <w:color w:val="auto"/>
              </w:rPr>
            </w:pPr>
          </w:p>
        </w:tc>
        <w:tc>
          <w:tcPr>
            <w:tcW w:w="16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Handguns</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326,211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175,342</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9"/>
        </w:trPr>
        <w:tc>
          <w:tcPr>
            <w:tcW w:w="40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89,287</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ind w:left="140"/>
              <w:spacing w:after="0"/>
              <w:rPr>
                <w:sz w:val="20"/>
                <w:szCs w:val="20"/>
                <w:color w:val="auto"/>
              </w:rPr>
            </w:pPr>
            <w:r>
              <w:rPr>
                <w:rFonts w:ascii="Arial" w:cs="Arial" w:eastAsia="Arial" w:hAnsi="Arial"/>
                <w:sz w:val="18"/>
                <w:szCs w:val="18"/>
                <w:color w:val="auto"/>
              </w:rPr>
              <w:t>Total Firearms Revenue</w:t>
            </w:r>
          </w:p>
        </w:tc>
        <w:tc>
          <w:tcPr>
            <w:tcW w:w="16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4"/>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478,614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209,158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269,456</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285,117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143,863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Gross profit</w:t>
            </w:r>
          </w:p>
        </w:tc>
        <w:tc>
          <w:tcPr>
            <w:tcW w:w="16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4"/>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193,497</w:t>
            </w:r>
          </w:p>
        </w:tc>
        <w:tc>
          <w:tcPr>
            <w:tcW w:w="1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67,904</w:t>
            </w: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125,593</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30"/>
        </w:trPr>
        <w:tc>
          <w:tcPr>
            <w:tcW w:w="404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1240" w:type="dxa"/>
            <w:vAlign w:val="bottom"/>
            <w:gridSpan w:val="20"/>
          </w:tcPr>
          <w:p>
            <w:pPr>
              <w:ind w:left="520"/>
              <w:spacing w:after="0"/>
              <w:rPr>
                <w:sz w:val="20"/>
                <w:szCs w:val="20"/>
                <w:color w:val="auto"/>
              </w:rPr>
            </w:pPr>
            <w:r>
              <w:rPr>
                <w:rFonts w:ascii="Arial" w:cs="Arial" w:eastAsia="Arial" w:hAnsi="Arial"/>
                <w:sz w:val="18"/>
                <w:szCs w:val="18"/>
                <w:color w:val="auto"/>
                <w:w w:val="92"/>
              </w:rPr>
              <w:t>The following table sets forth certain information regarding firearm units shipped by trade channel for the six months ended October 31, 2020 and</w:t>
            </w:r>
          </w:p>
        </w:tc>
        <w:tc>
          <w:tcPr>
            <w:tcW w:w="0" w:type="dxa"/>
            <w:vAlign w:val="bottom"/>
          </w:tcPr>
          <w:p>
            <w:pPr>
              <w:spacing w:after="0"/>
              <w:rPr>
                <w:sz w:val="1"/>
                <w:szCs w:val="1"/>
                <w:color w:val="auto"/>
              </w:rPr>
            </w:pPr>
          </w:p>
        </w:tc>
      </w:tr>
      <w:tr>
        <w:trPr>
          <w:trHeight w:val="230"/>
        </w:trPr>
        <w:tc>
          <w:tcPr>
            <w:tcW w:w="4040" w:type="dxa"/>
            <w:vAlign w:val="bottom"/>
            <w:gridSpan w:val="4"/>
          </w:tcPr>
          <w:p>
            <w:pPr>
              <w:spacing w:after="0"/>
              <w:rPr>
                <w:sz w:val="20"/>
                <w:szCs w:val="20"/>
                <w:color w:val="auto"/>
              </w:rPr>
            </w:pPr>
            <w:r>
              <w:rPr>
                <w:rFonts w:ascii="Arial" w:cs="Arial" w:eastAsia="Arial" w:hAnsi="Arial"/>
                <w:sz w:val="18"/>
                <w:szCs w:val="18"/>
                <w:color w:val="auto"/>
              </w:rPr>
              <w:t>2019 (units in thousands):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2820" w:type="dxa"/>
            <w:vAlign w:val="bottom"/>
            <w:gridSpan w:val="3"/>
            <w:vMerge w:val="restart"/>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20" w:type="dxa"/>
            <w:vAlign w:val="bottom"/>
            <w:vMerge w:val="continue"/>
            <w:shd w:val="clear" w:color="auto" w:fill="CFF0FC"/>
          </w:tcPr>
          <w:p>
            <w:pPr>
              <w:spacing w:after="0"/>
              <w:rPr>
                <w:sz w:val="18"/>
                <w:szCs w:val="18"/>
                <w:color w:val="auto"/>
              </w:rPr>
            </w:pPr>
          </w:p>
        </w:tc>
        <w:tc>
          <w:tcPr>
            <w:tcW w:w="2820" w:type="dxa"/>
            <w:vAlign w:val="bottom"/>
            <w:gridSpan w:val="3"/>
            <w:vMerge w:val="continue"/>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30"/>
        </w:trPr>
        <w:tc>
          <w:tcPr>
            <w:tcW w:w="40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4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6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gridSpan w:val="4"/>
            <w:vMerge w:val="continue"/>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30"/>
        </w:trPr>
        <w:tc>
          <w:tcPr>
            <w:tcW w:w="40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43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18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4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6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4"/>
            <w:vMerge w:val="continue"/>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1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1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404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Revenue for our handguns increased $175.3 million, or 116.2%, over the prior year comparable period primarily because of heightened demand by an increased consumer interest in firearms, likely resulting from continued concerns regarding the COVID-19 pandemic, recent events that have raised fears about personal protection, and uncertainty regarding the possibility of increased firearm regulation in relation to the recent political election. We believe our outperformance of adjusted NICS, which reported an increase in consumer demand of 101.5% over the prior year comparable period, was a result of decreased promotional activity and our ability to increase capacity to meet consumer demand.</w:t>
      </w:r>
    </w:p>
    <w:p>
      <w:pPr>
        <w:spacing w:after="0" w:line="1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Revenue for our long guns increased $89.3 million, or 220.2%, over the prior year comparable period primarily because of increased consumer demand for our M&amp;P modern sporting rifles and a successful consumer rebate program on our Thompson/Center Arms branded products, partially offset by a bulk sale to clear discontinued products from the channel in the prior year. Unit shipments into our sporting goods channel increased 130.3% compared to a 68.1% increase in reported NICS checks over the prior year comparable period. We believe that our percentage increase in sales in long guns significantly exceeded the increase in NICS because our flexible manufacturing capabilities allowed us to increase production capacity significantly in a short period of time.</w:t>
      </w:r>
    </w:p>
    <w:p>
      <w:pPr>
        <w:spacing w:after="0" w:line="19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Other products and services revenue increased $4.8 million, or 27.2%, over the prior year comparable period, primarily because of increased sales of component parts, handcuffs, and business to business services.</w:t>
      </w:r>
    </w:p>
    <w:p>
      <w:pPr>
        <w:spacing w:after="0" w:line="170"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New products represented 13.7% revenue for the six months ended October 31, 2020 and included a new concealed carry M&amp;P branded polymer pistol, many new product line extensions, and promotional product bundle kits for our M&amp;P, Performance Center, and Thompson/Center Arms branded products.</w:t>
      </w:r>
    </w:p>
    <w:p>
      <w:pPr>
        <w:spacing w:after="0" w:line="184"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Gross margin for the six months ended October 31, 2020 increased 790 basis points over the prior year comparable quarter primarily because of lower promotional product spending and favorable manufacturing fixed cost absorption. These increases were partially offset by unfavorable inventory valuation adjustments, increased manufacturing spending, and recall related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three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36,693</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28,739</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7,954</w:t>
            </w:r>
          </w:p>
        </w:tc>
        <w:tc>
          <w:tcPr>
            <w:tcW w:w="24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Selling, marketing, and distribution expenses increased $773,000 over the comparable quarter last year, primarily because of increased freight-related expenses as a result of increased shipments, additional expenses for a consumer firearm safety program, and increased compensation-related expenses. This increased spending was partially offset by lower travel and entertainment expenses due to COVID-19 and decreased advertising expenses. General and administrative expenses increased $7.1 million because of $4.8 million of expenses related to the Separation, $3.1 million of increased profit sharing expense, and a donation to the National Shooting Sports Foundation, partially offset by a reduction in professional fees and lower travel and entertainment expenses due to COVID-19. The increases in total operating expenses were also partially offset by lower employee medical costs, likely due to the deferral of elective procedures resulting from the COVID-19 pandemic.</w:t>
      </w:r>
    </w:p>
    <w:p>
      <w:pPr>
        <w:spacing w:after="0" w:line="204"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six months ended October 31, 2020 and 2019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20,374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11,695</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70,377</w:t>
            </w:r>
          </w:p>
        </w:tc>
        <w:tc>
          <w:tcPr>
            <w:tcW w:w="3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57,378</w:t>
            </w:r>
          </w:p>
        </w:tc>
        <w:tc>
          <w:tcPr>
            <w:tcW w:w="2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12,999</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Selling, marketing, and distribution expenses increased $1.2 million over the prior year comparable period, primarily because of increased freight-related expenses as a result of increased shipments, additional expenses for a consumer firearm safety program, and increased co-op advertising expenses for strategic customers. These increased expenses were partially offset by lower travel and entertainment expenses as a result of COVID-19 and decreased advertising expenses. General and administrative expenses increased $11.7 million because of $8.4 million of expenses related to the Separation, $5.7 million of increased profit sharing expense, and a donation to the National Shooting Sports Foundation. These increased expenses were partially offset by lower compensation-related expenses, a reduction in professional fees, and lower travel and entertainment expenses.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from Continuing Operations</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three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60,807</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1701.8%</w:t>
            </w: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Operating income from continuing operations for the three months ended October 31, 2020 increased $60.8 million over the comparable quarter last year, primarily because increased revenue and the resulting improvements in gross margins. Operating income from continuing operations was also favorably impacted by lower promotional product spending, favorable manufacturing fixed-cost absorption, lower travel and entertainment expenses because of COVID-19, and decreased advertising costs. These increases were partially offset by expenses related to the Separation, increased manufacturing spending, recall-related expenses, increased freight-related expenses, and increased profit sharing expense.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right="52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six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112,599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1070.2%</w:t>
            </w: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Operating income from continuing operations for the six months ended October 31, 2020 increased $112.6 million over the prior year comparable period, primarily because increased revenue and the resulting improvements in gross margins. Operating income from continuing operations was also favorably impacted by lower promotional product spending, favorable manufacturing fixed-cost absorption, lower travel and entertainment expenses because of COVID-19, a reduction in professional fees, and decreased advertising costs. These increases were partially offset by expenses related to the Separation, unfavorable inventory valuation adjustments, increased manufacturing spending, recall-related expenses, increased freight-related expenses, and increased profit sharing expense.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interest expense for the three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-51.1%</w:t>
            </w:r>
          </w:p>
        </w:tc>
      </w:tr>
    </w:tbl>
    <w:p>
      <w:pPr>
        <w:spacing w:after="0" w:line="24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For the three months ended October 31, 2020, interest expense decreased by $1.6 million from the comparable quarter last year as a result of lower borrowings outstanding on our revolving line of credit.</w:t>
      </w:r>
    </w:p>
    <w:p>
      <w:pPr>
        <w:spacing w:after="0" w:line="21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interest expense for the six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w:t>
            </w:r>
          </w:p>
        </w:tc>
      </w:tr>
    </w:tbl>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During the six months ended October 31, 2020, interest expense decreased by $2.9 million from the prior year comparable period as a result of lower borrowings outstanding on our revolving line of credit.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three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14,198</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5317.6%</w:t>
            </w: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increased $14.2 million over the comparable quarter last year as a result of higher operating income for the reasons mentioned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six months ended October 31,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1096.0%</w:t>
            </w: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increased $26.3 million over the comparable quarter last year as a result of higher operating income for the reasons mentioned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certain information regarding consolidated net income and the related per share data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2020 and 2019 (dollars 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Borders>
              <w:bottom w:val="single" w:sz="8" w:color="CFF0FC"/>
            </w:tcBorders>
          </w:tcPr>
          <w:p>
            <w:pPr>
              <w:spacing w:after="0"/>
              <w:rPr>
                <w:sz w:val="14"/>
                <w:szCs w:val="14"/>
                <w:color w:val="auto"/>
              </w:rPr>
            </w:pPr>
          </w:p>
        </w:tc>
        <w:tc>
          <w:tcPr>
            <w:tcW w:w="16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14220.1%</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Net income per share</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 continuing</w:t>
            </w:r>
          </w:p>
        </w:tc>
        <w:tc>
          <w:tcPr>
            <w:tcW w:w="18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CFF"/>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8700.0%</w:t>
            </w: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Diluted - continuing</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0.87</w:t>
            </w:r>
          </w:p>
        </w:tc>
        <w:tc>
          <w:tcPr>
            <w:tcW w:w="2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8600.0%</w:t>
            </w:r>
          </w:p>
        </w:tc>
      </w:tr>
    </w:tbl>
    <w:p>
      <w:pPr>
        <w:spacing w:after="0" w:line="22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Income from continuing operations for three months ended October 31, 2020 was $49.1 million compared with net income of $343,000 for the comparable quarter last year, primarily as a result of increased revenue across all of our product lines.</w:t>
      </w:r>
    </w:p>
    <w:p>
      <w:pPr>
        <w:spacing w:after="0" w:line="21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table sets forth certain information regarding income from continuing operations and the related per share data for the six months ended October 31, 2020 and 2019 (dollars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Borders>
              <w:bottom w:val="single" w:sz="8" w:color="CFF0FC"/>
            </w:tcBorders>
          </w:tcPr>
          <w:p>
            <w:pPr>
              <w:spacing w:after="0"/>
              <w:rPr>
                <w:sz w:val="14"/>
                <w:szCs w:val="14"/>
                <w:color w:val="auto"/>
              </w:rPr>
            </w:pPr>
          </w:p>
        </w:tc>
        <w:tc>
          <w:tcPr>
            <w:tcW w:w="16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89,889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3555.7%</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Net income per share</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 continuing</w:t>
            </w:r>
          </w:p>
        </w:tc>
        <w:tc>
          <w:tcPr>
            <w:tcW w:w="18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4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3220.0%</w:t>
            </w: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Diluted - continuing</w:t>
            </w:r>
          </w:p>
        </w:tc>
        <w:tc>
          <w:tcPr>
            <w:tcW w:w="18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3180.0%</w:t>
            </w:r>
          </w:p>
        </w:tc>
      </w:tr>
    </w:tbl>
    <w:p>
      <w:pPr>
        <w:spacing w:after="0" w:line="241"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Income from continuing operations for the six months ended October 31, 2020 was $92.4 million compared with income from continuing operations of $2.5 million in the prior year comparable period primarily as a result of increased revenue across all of our product lines.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Our principal cash requirements are to (1) finance the growth of our operations, including working capital and capital expenditures and (2) return capital to stockholders. Capital expenditures for new product development and repair and replacement of equipment represent important cash needs.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cash flow information for the six months ended October 31, 2020 and 2019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170,734</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489.6%</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(188,868)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(235,673)</w:t>
            </w:r>
          </w:p>
        </w:tc>
        <w:tc>
          <w:tcPr>
            <w:tcW w:w="13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-503.5%</w:t>
            </w:r>
          </w:p>
        </w:tc>
      </w:tr>
      <w:tr>
        <w:trPr>
          <w:trHeight w:val="223"/>
        </w:trPr>
        <w:tc>
          <w:tcPr>
            <w:tcW w:w="5800" w:type="dxa"/>
            <w:vAlign w:val="bottom"/>
          </w:tcPr>
          <w:p>
            <w:pPr>
              <w:ind w:left="260"/>
              <w:spacing w:after="0"/>
              <w:rPr>
                <w:sz w:val="20"/>
                <w:szCs w:val="20"/>
                <w:color w:val="auto"/>
              </w:rPr>
            </w:pPr>
            <w:r>
              <w:rPr>
                <w:rFonts w:ascii="Arial" w:cs="Arial" w:eastAsia="Arial" w:hAnsi="Arial"/>
                <w:sz w:val="18"/>
                <w:szCs w:val="18"/>
                <w:color w:val="auto"/>
              </w:rPr>
              <w:t>Total cash flow</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(72,028)</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-2807.0%</w:t>
            </w:r>
          </w:p>
        </w:tc>
        <w:tc>
          <w:tcPr>
            <w:tcW w:w="18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Cash provided by operating activities was $135.9 million for the six months ended October 31, 2020 compared with a cash usage in the prior year comparable period as a result of an incremental $101.5 million increase in net income, an incremental $54.1 million decrease in inventory because of increased shipments to meet consumer demand, and an incremental $24.8 million increase in accounts payable due to increased manufacturing purchases and timing of payments. These favorable impacts were partially offset by an incremental $15.1 million decrease in accrued expenses, primarily due to lower promotional product discount accruals and the payment of deferred federal excise tax liabilities allowed by the Tax and Trade Bureau as a result of the COVID-19 pandemic, and a $2.2 incremental increase in accounts receivable due to timing of shipments. We expect firearm inventory balances to remain relatively flat throughout our next fiscal quarter.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Cash used in investing activities increased $7.1 million for the six months ended October 31, 2020 over the prior year comparable period. We recorded capital expenditures of $15.0 million for the six months ended October 31, 2020, $6.7 million higher than the prior year comparable period. We currently expect to spend between $30.0 million and $35.0 million on capital expenditures in fiscal 2021, an increase of $16.1 million to $21.1 million, as compared with $13.9 million in capital expenditures in fiscal 2020. The increase in capital expenditures over the prior fiscal year is primarily due to increases in manufacturing capacity.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Cash used in financing activities was $188.7 million for the six months ended October 31, 2020 compared with cash provided by financing activities of $46.8 million for the six months ended October 31, 2019. Cash used in financing activities during the six months ended October 31, 2020 was primarily a result of a net repayment of $160.0 million of borrowings on our credit facility and funding a distribution of $25.0 million to our discontinued operations.</w:t>
      </w:r>
    </w:p>
    <w:p>
      <w:pPr>
        <w:spacing w:after="0" w:line="18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i w:val="1"/>
          <w:iCs w:val="1"/>
          <w:color w:val="auto"/>
        </w:rPr>
        <w:t xml:space="preserve">Finance Lease – </w:t>
      </w:r>
      <w:r>
        <w:rPr>
          <w:rFonts w:ascii="Arial" w:cs="Arial" w:eastAsia="Arial" w:hAnsi="Arial"/>
          <w:sz w:val="18"/>
          <w:szCs w:val="18"/>
          <w:color w:val="auto"/>
        </w:rPr>
        <w:t>We are a party to a $46.2 million lease for our national logistics facility in Columbia, Missouri, which has an effective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5.0% and is payable in 240 monthly installments through fiscal 2039. The building is pledged to secure the amounts outstanding. During the six months ending October 31, 2020, we paid $479,000 in principal payments relating to this finance lease. With the completion of the Separation on August 24, 2020, we entered into a sublease for 59.0% of this facility under the same terms as the master lease. We have recorded $303,000 of income related to this sublease agreement, which is recorded in other income/(expense) in our condensed consolidated statement of income/(loss) and comprehensive income/(loss).</w:t>
      </w:r>
    </w:p>
    <w:p>
      <w:pPr>
        <w:spacing w:after="0" w:line="21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i w:val="1"/>
          <w:iCs w:val="1"/>
          <w:color w:val="auto"/>
        </w:rPr>
        <w:t xml:space="preserve">Credit Facilities — </w:t>
      </w:r>
      <w:r>
        <w:rPr>
          <w:rFonts w:ascii="Arial" w:cs="Arial" w:eastAsia="Arial" w:hAnsi="Arial"/>
          <w:sz w:val="17"/>
          <w:szCs w:val="17"/>
          <w:color w:val="auto"/>
        </w:rPr>
        <w:t>On August 24, 2020, we and certain of our direct and indirect Domestic Subsidiaries entered into an amended and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the Amended and Restated Credit Agreement, with certain lenders; TD Bank, N.A., as administrative agent; TD Securities (USA) LLC and Regions Bank, as joint lead arrangers and joint bookrunners; and Regions Bank, as syndication agent. The Amended and Restated Credit Agreement amended and restated that certain Credit Agreement, dated as of June 15, 2015, by and among us, certain of our direct and indirect Domestic Subsidiaries, the lenders party thereto, and TD Bank, N.A., as administrative agent and swingline lender, as previously amended. The Amended and Restated Credit Agreement is currently unsecured; however, should any Springing Lien Trigger Event occur, we and certain of our direct and indirect Domestic Subsidiaries would be required to enter into certain documents that create in favor of TD Bank, N.A., as administrative agent, and the lenders party to such documents a legal, valid, and enforceable first priority Lien on the Collateral described therein.</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Amended and Restated Credit Agreement provides for a revolving line of credit of $100.0 million at any one time, or the Revolving Line. The Revolving Line bears interest at either the Base Rate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bears interest at the Base Rate, plus an applicable margin based on our consolidated leverage ratio.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under the Amended and Restated Credit Agreement.</w:t>
      </w:r>
    </w:p>
    <w:p>
      <w:pPr>
        <w:spacing w:after="0" w:line="17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As of October 31, 2020, we did not have any borrowings outstanding on the Revolving Line. Had there been borrowings, they would have borne an interest rate of 1.65%, which is equal to the LIBOR rate plus an applicable margin.</w:t>
      </w:r>
    </w:p>
    <w:p>
      <w:pPr>
        <w:spacing w:after="0" w:line="170"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We were in compliance with all debt covenants as of October 31, 2020.</w:t>
      </w:r>
    </w:p>
    <w:p>
      <w:pPr>
        <w:spacing w:after="0" w:line="228" w:lineRule="exact"/>
        <w:rPr>
          <w:sz w:val="20"/>
          <w:szCs w:val="20"/>
          <w:color w:val="auto"/>
        </w:rPr>
      </w:pPr>
    </w:p>
    <w:p>
      <w:pPr>
        <w:ind w:right="640" w:firstLine="510"/>
        <w:spacing w:after="0" w:line="308" w:lineRule="auto"/>
        <w:rPr>
          <w:sz w:val="20"/>
          <w:szCs w:val="20"/>
          <w:color w:val="auto"/>
        </w:rPr>
      </w:pPr>
      <w:r>
        <w:rPr>
          <w:rFonts w:ascii="Arial" w:cs="Arial" w:eastAsia="Arial" w:hAnsi="Arial"/>
          <w:sz w:val="17"/>
          <w:szCs w:val="17"/>
          <w:i w:val="1"/>
          <w:iCs w:val="1"/>
          <w:color w:val="auto"/>
        </w:rPr>
        <w:t xml:space="preserve">Dividends — </w:t>
      </w:r>
      <w:r>
        <w:rPr>
          <w:rFonts w:ascii="Arial" w:cs="Arial" w:eastAsia="Arial" w:hAnsi="Arial"/>
          <w:sz w:val="17"/>
          <w:szCs w:val="17"/>
          <w:color w:val="auto"/>
        </w:rPr>
        <w:t>On December 3, 2020, our Board of Directors authorized a regular quarterly dividend for stockholders of $0.05 per share. The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will be for stockholders of record as of market close on December 17, 2020 and is payable on January 5, 2021.</w:t>
      </w:r>
    </w:p>
    <w:p>
      <w:pPr>
        <w:spacing w:after="0" w:line="14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to enhance the equipment and software at our logistics facility. Further equity or debt financing may not be available to us on acceptable terms or at all. If sufficient funds are not available or are not available on acceptable terms, our ability to take advantage of unexpected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ind w:right="200"/>
        <w:spacing w:after="0" w:line="277" w:lineRule="auto"/>
        <w:rPr>
          <w:sz w:val="20"/>
          <w:szCs w:val="20"/>
          <w:color w:val="auto"/>
        </w:rPr>
      </w:pPr>
      <w:r>
        <w:rPr>
          <w:rFonts w:ascii="Arial" w:cs="Arial" w:eastAsia="Arial" w:hAnsi="Arial"/>
          <w:sz w:val="18"/>
          <w:szCs w:val="18"/>
          <w:color w:val="auto"/>
        </w:rPr>
        <w:t>opportunities or to respond to competitive pressures could be limited or severely constrained. In addition to the operational needs described above, at the time of the Separation, we contributed $25.0 million in cash to the outdoor products and accessories business.</w:t>
      </w:r>
    </w:p>
    <w:p>
      <w:pPr>
        <w:spacing w:after="0" w:line="197"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As of October 31, 2020, we had $55.5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2020. The most significant areas involving our judgments and estimates are described in Management’s Discussion and Analysis of Financial Condition and Results of Operations in our Annual Report on Form 10-K for the fiscal year ended April 30, 2020, to which there have been no material changes. Actual results could differ from our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 xml:space="preserve">The nature and impact of recent accounting pronouncements, if any, is discussed in Note </w:t>
      </w:r>
      <w:r>
        <w:rPr>
          <w:rFonts w:ascii="Arial" w:cs="Arial" w:eastAsia="Arial" w:hAnsi="Arial"/>
          <w:sz w:val="18"/>
          <w:szCs w:val="18"/>
          <w:i w:val="1"/>
          <w:iCs w:val="1"/>
          <w:color w:val="auto"/>
        </w:rPr>
        <w:t>2—Basis of Presentation</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During the period ended October 31, 2020, we did not enter into or transact any forward option contracts nor did we have any forward contracts outstanding.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October 31, 2020,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Based on this evaluation, our Chief Executive Officer and Chief Financial Officer have concluded that, as of October 31, 2020,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7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211"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Our management assessed the effectiveness of our internal control over financial reporting as of April 30, 2020. In making this assessment, our management used the criteria set forth by the Committee of Sponsoring Organizations of the Treadway Commission (COSO) in Internal Control – Integrated Framework (2013).</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8" w:name="page29"/>
    <w:bookmarkEnd w:id="28"/>
    <w:p>
      <w:pPr>
        <w:ind w:right="340" w:firstLine="510"/>
        <w:spacing w:after="0" w:line="263" w:lineRule="auto"/>
        <w:rPr>
          <w:sz w:val="20"/>
          <w:szCs w:val="20"/>
          <w:color w:val="auto"/>
        </w:rPr>
      </w:pPr>
      <w:r>
        <w:rPr>
          <w:rFonts w:ascii="Arial" w:cs="Arial" w:eastAsia="Arial" w:hAnsi="Arial"/>
          <w:sz w:val="18"/>
          <w:szCs w:val="18"/>
          <w:color w:val="auto"/>
        </w:rPr>
        <w:t>A material weakness, as defined in Exchange Act Rule 12b-2,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the course of preparing the financial statements that are included in our Form 10-K dated April 30, 2020, management identified a material weakness in the internal control environment as we did not appropriately design and maintain controls related to the accounting for goodwill impairment. Control activities were not designed or maintained over the preparation and review of the goodwill impairment analysis, including our accounting for the related income tax treatment and review of third-party experts’ work product.</w:t>
      </w:r>
    </w:p>
    <w:p>
      <w:pPr>
        <w:spacing w:after="0" w:line="22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material weakness resulted in audit adjustments to goodwill pertaining to our Outdoor Products &amp; Accessories reporting unit that were recorded in our consolidated financial statements as of and for the year ended April 30, 2020 prior to our issuance of those financial statements and could result in a reasonable possibility that a material misstatement to our annual or interim consolidated financial statements may not be prevented or detected on a timely basis by our internal controls.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Because of this material weakness, management concluded that we did not maintain effective internal control over financial reporting as of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response to the material weaknesses described above, during the six months ended October 31, 2020, we began implementing, evaluating, and designing new internal controls and procedures related to the accounting for goodwill impairment. Though management is still evaluating the design of these new controls and procedures, we believe that our improved processes and procedures will assist in the remediation of our material weakness. Once placed in operation for a sufficient period of time, we will subject these controls and procedures to appropriate tests in order to determine whether they are operating effectively. Management, with oversight from the Audit Committee, is committed to the remediation of our known material weakness as expeditiously as possible.</w:t>
      </w:r>
    </w:p>
    <w:p>
      <w:pPr>
        <w:spacing w:after="0" w:line="19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designing and evaluating our disclosure controls and procedures, our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our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9" w:name="page30"/>
    <w:bookmarkEnd w:id="29"/>
    <w:p>
      <w:pPr>
        <w:ind w:left="41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nature of legal proceedings against us is discussed in Note 11</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condensed consolidated financial statements included elsewhere in this report,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October 31, 2020, we had no authorized share repurchase programs.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exhibits listed on the Index to Exhibits (immediately preceding the signatures section of this Quarterly Report on Form 10-Q) are included herewith or incorporated herein by reference.</w:t>
      </w:r>
    </w:p>
    <w:p>
      <w:pPr>
        <w:spacing w:after="0" w:line="18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100" w:type="dxa"/>
            <w:vAlign w:val="bottom"/>
            <w:gridSpan w:val="3"/>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2.13</w:t>
            </w:r>
          </w:p>
        </w:tc>
        <w:tc>
          <w:tcPr>
            <w:tcW w:w="10100" w:type="dxa"/>
            <w:vAlign w:val="bottom"/>
            <w:gridSpan w:val="3"/>
          </w:tcPr>
          <w:p>
            <w:pPr>
              <w:spacing w:after="0"/>
              <w:rPr>
                <w:rFonts w:ascii="Arial" w:cs="Arial" w:eastAsia="Arial" w:hAnsi="Arial"/>
                <w:sz w:val="18"/>
                <w:szCs w:val="18"/>
                <w:u w:val="single" w:color="auto"/>
                <w:color w:val="0000EE"/>
                <w:w w:val="90"/>
              </w:rPr>
            </w:pPr>
            <w:hyperlink r:id="rId46">
              <w:r>
                <w:rPr>
                  <w:rFonts w:ascii="Arial" w:cs="Arial" w:eastAsia="Arial" w:hAnsi="Arial"/>
                  <w:sz w:val="18"/>
                  <w:szCs w:val="18"/>
                  <w:u w:val="single" w:color="auto"/>
                  <w:color w:val="0000EE"/>
                  <w:w w:val="90"/>
                </w:rPr>
                <w:t>Separation and Distribution Agreement, dated as of August 21, 2020, by and between the Registrant and American Outdoor Brands, Inc. (1)</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10.120</w:t>
            </w:r>
          </w:p>
        </w:tc>
        <w:tc>
          <w:tcPr>
            <w:tcW w:w="10100" w:type="dxa"/>
            <w:vAlign w:val="bottom"/>
            <w:gridSpan w:val="3"/>
          </w:tcPr>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Agreement, dated as of August 5, 2020, by and between Jeffrey D. Buchanan and the Registrant (2)</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10.121</w:t>
            </w:r>
          </w:p>
        </w:tc>
        <w:tc>
          <w:tcPr>
            <w:tcW w:w="10100" w:type="dxa"/>
            <w:vAlign w:val="bottom"/>
            <w:gridSpan w:val="3"/>
          </w:tcPr>
          <w:p>
            <w:pPr>
              <w:spacing w:after="0"/>
              <w:rPr>
                <w:rFonts w:ascii="Arial" w:cs="Arial" w:eastAsia="Arial" w:hAnsi="Arial"/>
                <w:sz w:val="18"/>
                <w:szCs w:val="18"/>
                <w:u w:val="single" w:color="auto"/>
                <w:color w:val="0000EE"/>
                <w:w w:val="96"/>
              </w:rPr>
            </w:pPr>
            <w:hyperlink r:id="rId48">
              <w:r>
                <w:rPr>
                  <w:rFonts w:ascii="Arial" w:cs="Arial" w:eastAsia="Arial" w:hAnsi="Arial"/>
                  <w:sz w:val="18"/>
                  <w:szCs w:val="18"/>
                  <w:u w:val="single" w:color="auto"/>
                  <w:color w:val="0000EE"/>
                  <w:w w:val="96"/>
                </w:rPr>
                <w:t>Transition Services Agreement, dated as of August 21, 2020, by and between the Registrant and American Outdoor Brands, Inc. (1)</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10.122</w:t>
            </w:r>
          </w:p>
        </w:tc>
        <w:tc>
          <w:tcPr>
            <w:tcW w:w="10100" w:type="dxa"/>
            <w:vAlign w:val="bottom"/>
            <w:gridSpan w:val="3"/>
          </w:tcPr>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Tax Matters Agreement, dated as of August 21, 2020, by and between the Registrant and American Outdoor Brands, Inc. (1)</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10.123</w:t>
            </w:r>
          </w:p>
        </w:tc>
        <w:tc>
          <w:tcPr>
            <w:tcW w:w="10100" w:type="dxa"/>
            <w:vAlign w:val="bottom"/>
            <w:gridSpan w:val="3"/>
          </w:tcPr>
          <w:p>
            <w:pPr>
              <w:spacing w:after="0"/>
              <w:rPr>
                <w:rFonts w:ascii="Arial" w:cs="Arial" w:eastAsia="Arial" w:hAnsi="Arial"/>
                <w:sz w:val="18"/>
                <w:szCs w:val="18"/>
                <w:u w:val="single" w:color="auto"/>
                <w:color w:val="0000EE"/>
                <w:w w:val="96"/>
              </w:rPr>
            </w:pPr>
            <w:hyperlink r:id="rId50">
              <w:r>
                <w:rPr>
                  <w:rFonts w:ascii="Arial" w:cs="Arial" w:eastAsia="Arial" w:hAnsi="Arial"/>
                  <w:sz w:val="18"/>
                  <w:szCs w:val="18"/>
                  <w:u w:val="single" w:color="auto"/>
                  <w:color w:val="0000EE"/>
                  <w:w w:val="96"/>
                </w:rPr>
                <w:t>Employee Matters Agreement, dated as of August 21, 2020, by and between the Registrant and American Outdoor Brands, Inc. (1)</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10.124</w:t>
            </w:r>
          </w:p>
        </w:tc>
        <w:tc>
          <w:tcPr>
            <w:tcW w:w="10100" w:type="dxa"/>
            <w:vAlign w:val="bottom"/>
            <w:gridSpan w:val="3"/>
          </w:tcPr>
          <w:p>
            <w:pPr>
              <w:spacing w:after="0"/>
              <w:rPr>
                <w:rFonts w:ascii="Arial" w:cs="Arial" w:eastAsia="Arial" w:hAnsi="Arial"/>
                <w:sz w:val="18"/>
                <w:szCs w:val="18"/>
                <w:u w:val="single" w:color="auto"/>
                <w:color w:val="0000EE"/>
                <w:w w:val="95"/>
              </w:rPr>
            </w:pPr>
            <w:hyperlink r:id="rId51">
              <w:r>
                <w:rPr>
                  <w:rFonts w:ascii="Arial" w:cs="Arial" w:eastAsia="Arial" w:hAnsi="Arial"/>
                  <w:sz w:val="18"/>
                  <w:szCs w:val="18"/>
                  <w:u w:val="single" w:color="auto"/>
                  <w:color w:val="0000EE"/>
                  <w:w w:val="95"/>
                </w:rPr>
                <w:t>Trademark License Agreement, dated as of August 24, 2020, by and between Smith &amp; Wesson Inc. and AOB Products Company (1)</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10.125</w:t>
            </w:r>
          </w:p>
        </w:tc>
        <w:tc>
          <w:tcPr>
            <w:tcW w:w="10100" w:type="dxa"/>
            <w:vAlign w:val="bottom"/>
            <w:gridSpan w:val="3"/>
          </w:tcPr>
          <w:p>
            <w:pPr>
              <w:spacing w:after="0"/>
              <w:rPr>
                <w:rFonts w:ascii="Arial" w:cs="Arial" w:eastAsia="Arial" w:hAnsi="Arial"/>
                <w:sz w:val="18"/>
                <w:szCs w:val="18"/>
                <w:u w:val="single" w:color="auto"/>
                <w:color w:val="0000EE"/>
                <w:w w:val="97"/>
              </w:rPr>
            </w:pPr>
            <w:hyperlink r:id="rId52">
              <w:r>
                <w:rPr>
                  <w:rFonts w:ascii="Arial" w:cs="Arial" w:eastAsia="Arial" w:hAnsi="Arial"/>
                  <w:sz w:val="18"/>
                  <w:szCs w:val="18"/>
                  <w:u w:val="single" w:color="auto"/>
                  <w:color w:val="0000EE"/>
                  <w:w w:val="97"/>
                </w:rPr>
                <w:t>Sublease, dated as of August 24, 2020, by and between Smith &amp; Wesson Sales Company and American Outdoor Brands, Inc. (1)</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10.126</w:t>
            </w:r>
          </w:p>
        </w:tc>
        <w:tc>
          <w:tcPr>
            <w:tcW w:w="10100" w:type="dxa"/>
            <w:vAlign w:val="bottom"/>
            <w:gridSpan w:val="3"/>
          </w:tcPr>
          <w:p>
            <w:pPr>
              <w:spacing w:after="0"/>
              <w:rPr>
                <w:rFonts w:ascii="Arial" w:cs="Arial" w:eastAsia="Arial" w:hAnsi="Arial"/>
                <w:sz w:val="18"/>
                <w:szCs w:val="18"/>
                <w:u w:val="single" w:color="auto"/>
                <w:color w:val="0000EE"/>
                <w:w w:val="93"/>
              </w:rPr>
            </w:pPr>
            <w:hyperlink r:id="rId53">
              <w:r>
                <w:rPr>
                  <w:rFonts w:ascii="Arial" w:cs="Arial" w:eastAsia="Arial" w:hAnsi="Arial"/>
                  <w:sz w:val="18"/>
                  <w:szCs w:val="18"/>
                  <w:u w:val="single" w:color="auto"/>
                  <w:color w:val="0000EE"/>
                  <w:w w:val="93"/>
                </w:rPr>
                <w:t>Supply Agreement, dated as of August 24, 2020, by and between Crimson Trace Corporation, as Supplier, and Smith &amp; Wesson Inc. (1)</w:t>
              </w:r>
            </w:hyperlink>
          </w:p>
        </w:tc>
      </w:tr>
      <w:tr>
        <w:trPr>
          <w:trHeight w:val="338"/>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10.127</w:t>
            </w:r>
          </w:p>
        </w:tc>
        <w:tc>
          <w:tcPr>
            <w:tcW w:w="10100" w:type="dxa"/>
            <w:vAlign w:val="bottom"/>
            <w:gridSpan w:val="3"/>
          </w:tcPr>
          <w:p>
            <w:pPr>
              <w:spacing w:after="0"/>
              <w:rPr>
                <w:rFonts w:ascii="Arial" w:cs="Arial" w:eastAsia="Arial" w:hAnsi="Arial"/>
                <w:sz w:val="18"/>
                <w:szCs w:val="18"/>
                <w:u w:val="single" w:color="auto"/>
                <w:color w:val="0000EE"/>
                <w:w w:val="95"/>
              </w:rPr>
            </w:pPr>
            <w:hyperlink r:id="rId54">
              <w:r>
                <w:rPr>
                  <w:rFonts w:ascii="Arial" w:cs="Arial" w:eastAsia="Arial" w:hAnsi="Arial"/>
                  <w:sz w:val="18"/>
                  <w:szCs w:val="18"/>
                  <w:u w:val="single" w:color="auto"/>
                  <w:color w:val="0000EE"/>
                  <w:w w:val="95"/>
                </w:rPr>
                <w:t>Supply Agreement, dated as of August 24, 2020, by and between AOB Products Company, as Supplier, and Smith &amp; Wesson Inc. (1)</w:t>
              </w:r>
            </w:hyperlink>
          </w:p>
        </w:tc>
      </w:tr>
      <w:tr>
        <w:trPr>
          <w:trHeight w:val="297"/>
        </w:trPr>
        <w:tc>
          <w:tcPr>
            <w:tcW w:w="1140" w:type="dxa"/>
            <w:vAlign w:val="bottom"/>
          </w:tcPr>
          <w:p>
            <w:pPr>
              <w:jc w:val="center"/>
              <w:ind w:right="550"/>
              <w:spacing w:after="0"/>
              <w:rPr>
                <w:sz w:val="20"/>
                <w:szCs w:val="20"/>
                <w:color w:val="auto"/>
              </w:rPr>
            </w:pPr>
            <w:r>
              <w:rPr>
                <w:rFonts w:ascii="Arial" w:cs="Arial" w:eastAsia="Arial" w:hAnsi="Arial"/>
                <w:sz w:val="18"/>
                <w:szCs w:val="18"/>
                <w:color w:val="auto"/>
                <w:w w:val="90"/>
              </w:rPr>
              <w:t>10.128</w:t>
            </w:r>
          </w:p>
        </w:tc>
        <w:tc>
          <w:tcPr>
            <w:tcW w:w="10100" w:type="dxa"/>
            <w:vAlign w:val="bottom"/>
            <w:gridSpan w:val="3"/>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Amended and Restated Credit Agreement, dated as of August 24, 2020, by and among the Registrant, Smith &amp; Wesson Sales Company,</w:t>
              </w:r>
            </w:hyperlink>
          </w:p>
        </w:tc>
      </w:tr>
      <w:tr>
        <w:trPr>
          <w:trHeight w:val="196"/>
        </w:trPr>
        <w:tc>
          <w:tcPr>
            <w:tcW w:w="1140" w:type="dxa"/>
            <w:vAlign w:val="bottom"/>
          </w:tcPr>
          <w:p>
            <w:pPr>
              <w:spacing w:after="0"/>
              <w:rPr>
                <w:sz w:val="17"/>
                <w:szCs w:val="17"/>
                <w:color w:val="auto"/>
              </w:rPr>
            </w:pPr>
          </w:p>
        </w:tc>
        <w:tc>
          <w:tcPr>
            <w:tcW w:w="5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Smith &amp; Wesson Inc., the Guarantors, the Lenders, and TD Bank, N.A. (1)</w:t>
              </w:r>
            </w:hyperlink>
          </w:p>
        </w:tc>
        <w:tc>
          <w:tcPr>
            <w:tcW w:w="44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3"/>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American Outdoor Brands, Inc. Information Statement (3)</w:t>
              </w:r>
            </w:hyperlink>
          </w:p>
        </w:tc>
      </w:tr>
      <w:tr>
        <w:trPr>
          <w:trHeight w:val="432"/>
        </w:trPr>
        <w:tc>
          <w:tcPr>
            <w:tcW w:w="1140" w:type="dxa"/>
            <w:vAlign w:val="bottom"/>
          </w:tcPr>
          <w:p>
            <w:pPr>
              <w:jc w:val="center"/>
              <w:ind w:right="530"/>
              <w:spacing w:after="0"/>
              <w:rPr>
                <w:sz w:val="20"/>
                <w:szCs w:val="20"/>
                <w:color w:val="auto"/>
              </w:rPr>
            </w:pPr>
            <w:r>
              <w:rPr>
                <w:rFonts w:ascii="Arial" w:cs="Arial" w:eastAsia="Arial" w:hAnsi="Arial"/>
                <w:sz w:val="18"/>
                <w:szCs w:val="18"/>
                <w:color w:val="auto"/>
                <w:w w:val="91"/>
              </w:rPr>
              <w:t>31.1</w:t>
            </w:r>
          </w:p>
        </w:tc>
        <w:tc>
          <w:tcPr>
            <w:tcW w:w="1010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Rule 13a-14(a)/15d-14(a) Certification of Principal Executive Officer</w:t>
              </w:r>
            </w:hyperlink>
          </w:p>
        </w:tc>
      </w:tr>
      <w:tr>
        <w:trPr>
          <w:trHeight w:val="338"/>
        </w:trPr>
        <w:tc>
          <w:tcPr>
            <w:tcW w:w="1140" w:type="dxa"/>
            <w:vAlign w:val="bottom"/>
          </w:tcPr>
          <w:p>
            <w:pPr>
              <w:jc w:val="center"/>
              <w:ind w:right="530"/>
              <w:spacing w:after="0"/>
              <w:rPr>
                <w:sz w:val="20"/>
                <w:szCs w:val="20"/>
                <w:color w:val="auto"/>
              </w:rPr>
            </w:pPr>
            <w:r>
              <w:rPr>
                <w:rFonts w:ascii="Arial" w:cs="Arial" w:eastAsia="Arial" w:hAnsi="Arial"/>
                <w:sz w:val="18"/>
                <w:szCs w:val="18"/>
                <w:color w:val="auto"/>
                <w:w w:val="91"/>
              </w:rPr>
              <w:t>31.2</w:t>
            </w:r>
          </w:p>
        </w:tc>
        <w:tc>
          <w:tcPr>
            <w:tcW w:w="1010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Rule 13a-14(a)/15d-14(a) Certification of Principal Financial Officer</w:t>
              </w:r>
            </w:hyperlink>
          </w:p>
        </w:tc>
      </w:tr>
      <w:tr>
        <w:trPr>
          <w:trHeight w:val="338"/>
        </w:trPr>
        <w:tc>
          <w:tcPr>
            <w:tcW w:w="1140" w:type="dxa"/>
            <w:vAlign w:val="bottom"/>
          </w:tcPr>
          <w:p>
            <w:pPr>
              <w:jc w:val="center"/>
              <w:ind w:right="530"/>
              <w:spacing w:after="0"/>
              <w:rPr>
                <w:sz w:val="20"/>
                <w:szCs w:val="20"/>
                <w:color w:val="auto"/>
              </w:rPr>
            </w:pPr>
            <w:r>
              <w:rPr>
                <w:rFonts w:ascii="Arial" w:cs="Arial" w:eastAsia="Arial" w:hAnsi="Arial"/>
                <w:sz w:val="18"/>
                <w:szCs w:val="18"/>
                <w:color w:val="auto"/>
                <w:w w:val="91"/>
              </w:rPr>
              <w:t>32.1</w:t>
            </w:r>
          </w:p>
        </w:tc>
        <w:tc>
          <w:tcPr>
            <w:tcW w:w="1010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Section 1350 Certification of Principal Executive Officer</w:t>
              </w:r>
            </w:hyperlink>
          </w:p>
        </w:tc>
      </w:tr>
      <w:tr>
        <w:trPr>
          <w:trHeight w:val="337"/>
        </w:trPr>
        <w:tc>
          <w:tcPr>
            <w:tcW w:w="1140" w:type="dxa"/>
            <w:vAlign w:val="bottom"/>
          </w:tcPr>
          <w:p>
            <w:pPr>
              <w:jc w:val="center"/>
              <w:ind w:right="530"/>
              <w:spacing w:after="0"/>
              <w:rPr>
                <w:sz w:val="20"/>
                <w:szCs w:val="20"/>
                <w:color w:val="auto"/>
              </w:rPr>
            </w:pPr>
            <w:r>
              <w:rPr>
                <w:rFonts w:ascii="Arial" w:cs="Arial" w:eastAsia="Arial" w:hAnsi="Arial"/>
                <w:sz w:val="18"/>
                <w:szCs w:val="18"/>
                <w:color w:val="auto"/>
                <w:w w:val="91"/>
              </w:rPr>
              <w:t>32.2</w:t>
            </w:r>
          </w:p>
        </w:tc>
        <w:tc>
          <w:tcPr>
            <w:tcW w:w="1010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Section 1350 Certification of Principal Financial Officer</w:t>
              </w:r>
            </w:hyperlink>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r>
      <w:tr>
        <w:trPr>
          <w:trHeight w:val="230"/>
        </w:trPr>
        <w:tc>
          <w:tcPr>
            <w:tcW w:w="114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140" w:hanging="1132"/>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75" w:lineRule="exact"/>
        <w:rPr>
          <w:rFonts w:ascii="Arial" w:cs="Arial" w:eastAsia="Arial" w:hAnsi="Arial"/>
          <w:sz w:val="16"/>
          <w:szCs w:val="16"/>
          <w:color w:val="auto"/>
        </w:rPr>
      </w:pPr>
    </w:p>
    <w:p>
      <w:pPr>
        <w:ind w:left="740" w:hanging="368"/>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August 26, 2020.</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August 11, 2020.</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August 4,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580" w:type="dxa"/>
            <w:vAlign w:val="bottom"/>
            <w:gridSpan w:val="2"/>
          </w:tcPr>
          <w:p>
            <w:pPr>
              <w:ind w:left="2820"/>
              <w:spacing w:after="0"/>
              <w:rPr>
                <w:sz w:val="20"/>
                <w:szCs w:val="20"/>
                <w:color w:val="auto"/>
              </w:rPr>
            </w:pPr>
            <w:r>
              <w:rPr>
                <w:rFonts w:ascii="Arial" w:cs="Arial" w:eastAsia="Arial" w:hAnsi="Arial"/>
                <w:sz w:val="18"/>
                <w:szCs w:val="18"/>
                <w:color w:val="auto"/>
              </w:rPr>
              <w:t>SMITH &amp; WESSON BRANDS, INC.</w:t>
            </w:r>
          </w:p>
        </w:tc>
      </w:tr>
      <w:tr>
        <w:trPr>
          <w:trHeight w:val="230"/>
        </w:trPr>
        <w:tc>
          <w:tcPr>
            <w:tcW w:w="3660" w:type="dxa"/>
            <w:vAlign w:val="bottom"/>
          </w:tcPr>
          <w:p>
            <w:pPr>
              <w:spacing w:after="0"/>
              <w:rPr>
                <w:sz w:val="20"/>
                <w:szCs w:val="20"/>
                <w:color w:val="auto"/>
              </w:rPr>
            </w:pPr>
          </w:p>
        </w:tc>
        <w:tc>
          <w:tcPr>
            <w:tcW w:w="7580" w:type="dxa"/>
            <w:vAlign w:val="bottom"/>
            <w:gridSpan w:val="2"/>
          </w:tcPr>
          <w:p>
            <w:pPr>
              <w:ind w:left="2820"/>
              <w:spacing w:after="0"/>
              <w:rPr>
                <w:sz w:val="20"/>
                <w:szCs w:val="20"/>
                <w:color w:val="auto"/>
              </w:rPr>
            </w:pPr>
            <w:r>
              <w:rPr>
                <w:rFonts w:ascii="Arial" w:cs="Arial" w:eastAsia="Arial" w:hAnsi="Arial"/>
                <w:sz w:val="18"/>
                <w:szCs w:val="18"/>
                <w:color w:val="auto"/>
              </w:rPr>
              <w:t>a Nevada corporation</w:t>
            </w:r>
          </w:p>
        </w:tc>
      </w:tr>
      <w:tr>
        <w:trPr>
          <w:trHeight w:val="337"/>
        </w:trPr>
        <w:tc>
          <w:tcPr>
            <w:tcW w:w="3660" w:type="dxa"/>
            <w:vAlign w:val="bottom"/>
          </w:tcPr>
          <w:p>
            <w:pPr>
              <w:spacing w:after="0"/>
              <w:rPr>
                <w:sz w:val="20"/>
                <w:szCs w:val="20"/>
                <w:color w:val="auto"/>
              </w:rPr>
            </w:pPr>
            <w:r>
              <w:rPr>
                <w:rFonts w:ascii="Arial" w:cs="Arial" w:eastAsia="Arial" w:hAnsi="Arial"/>
                <w:sz w:val="18"/>
                <w:szCs w:val="18"/>
                <w:color w:val="auto"/>
              </w:rPr>
              <w:t>Date: December 3, 2020</w:t>
            </w:r>
          </w:p>
        </w:tc>
        <w:tc>
          <w:tcPr>
            <w:tcW w:w="3440" w:type="dxa"/>
            <w:vAlign w:val="bottom"/>
          </w:tcPr>
          <w:p>
            <w:pPr>
              <w:ind w:left="282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P. Smith</w:t>
            </w:r>
          </w:p>
        </w:tc>
      </w:tr>
      <w:tr>
        <w:trPr>
          <w:trHeight w:val="195"/>
        </w:trPr>
        <w:tc>
          <w:tcPr>
            <w:tcW w:w="3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Mark P. Smith</w:t>
            </w:r>
          </w:p>
        </w:tc>
      </w:tr>
      <w:tr>
        <w:trPr>
          <w:trHeight w:val="230"/>
        </w:trPr>
        <w:tc>
          <w:tcPr>
            <w:tcW w:w="3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December 3, 2020</w:t>
            </w:r>
          </w:p>
        </w:tc>
        <w:tc>
          <w:tcPr>
            <w:tcW w:w="3440" w:type="dxa"/>
            <w:vAlign w:val="bottom"/>
          </w:tcPr>
          <w:p>
            <w:pPr>
              <w:ind w:left="282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Deana L. McPherson</w:t>
            </w:r>
          </w:p>
        </w:tc>
      </w:tr>
      <w:tr>
        <w:trPr>
          <w:trHeight w:val="195"/>
        </w:trPr>
        <w:tc>
          <w:tcPr>
            <w:tcW w:w="3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Deana L. McPherson</w:t>
            </w:r>
          </w:p>
        </w:tc>
      </w:tr>
      <w:tr>
        <w:trPr>
          <w:trHeight w:val="216"/>
        </w:trPr>
        <w:tc>
          <w:tcPr>
            <w:tcW w:w="36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i w:val="1"/>
                <w:iCs w:val="1"/>
                <w:color w:val="auto"/>
              </w:rPr>
              <w:t>Executive Vice President, Chief Financial Officer,</w:t>
            </w:r>
          </w:p>
        </w:tc>
      </w:tr>
      <w:tr>
        <w:trPr>
          <w:trHeight w:val="230"/>
        </w:trPr>
        <w:tc>
          <w:tcPr>
            <w:tcW w:w="3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i w:val="1"/>
                <w:iCs w:val="1"/>
                <w:color w:val="auto"/>
              </w:rPr>
              <w:t>Treasurer, and Assistant Secretary</w:t>
            </w:r>
          </w:p>
        </w:tc>
      </w:tr>
      <w:tr>
        <w:trPr>
          <w:trHeight w:val="675"/>
        </w:trPr>
        <w:tc>
          <w:tcPr>
            <w:tcW w:w="3660" w:type="dxa"/>
            <w:vAlign w:val="bottom"/>
          </w:tcPr>
          <w:p>
            <w:pPr>
              <w:spacing w:after="0"/>
              <w:rPr>
                <w:sz w:val="24"/>
                <w:szCs w:val="24"/>
                <w:color w:val="auto"/>
              </w:rPr>
            </w:pPr>
          </w:p>
        </w:tc>
        <w:tc>
          <w:tcPr>
            <w:tcW w:w="3440" w:type="dxa"/>
            <w:vAlign w:val="bottom"/>
          </w:tcPr>
          <w:p>
            <w:pPr>
              <w:ind w:left="1880"/>
              <w:spacing w:after="0"/>
              <w:rPr>
                <w:sz w:val="20"/>
                <w:szCs w:val="20"/>
                <w:color w:val="auto"/>
              </w:rPr>
            </w:pPr>
            <w:r>
              <w:rPr>
                <w:rFonts w:ascii="Arial" w:cs="Arial" w:eastAsia="Arial" w:hAnsi="Arial"/>
                <w:sz w:val="18"/>
                <w:szCs w:val="18"/>
                <w:color w:val="auto"/>
              </w:rPr>
              <w:t>32</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Mark P. Smith,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1026"/>
        <w:spacing w:after="0" w:line="263" w:lineRule="auto"/>
        <w:tabs>
          <w:tab w:leader="none" w:pos="126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1026"/>
        <w:spacing w:after="0" w:line="263" w:lineRule="auto"/>
        <w:tabs>
          <w:tab w:leader="none" w:pos="127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60" w:firstLine="1026"/>
        <w:spacing w:after="0" w:line="342" w:lineRule="auto"/>
        <w:tabs>
          <w:tab w:leader="none" w:pos="1262"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40" w:firstLine="1026"/>
        <w:spacing w:after="0" w:line="263" w:lineRule="auto"/>
        <w:tabs>
          <w:tab w:leader="none" w:pos="127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8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6"/>
        <w:spacing w:after="0" w:line="308" w:lineRule="auto"/>
        <w:tabs>
          <w:tab w:leader="none" w:pos="1252"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6"/>
        <w:spacing w:after="0" w:line="277" w:lineRule="auto"/>
        <w:tabs>
          <w:tab w:leader="none" w:pos="126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14605</wp:posOffset>
            </wp:positionV>
            <wp:extent cx="2537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Mark P.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2020</w:t>
      </w:r>
    </w:p>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Deana L. McPherson, certify that:</w:t>
      </w:r>
    </w:p>
    <w:p>
      <w:pPr>
        <w:spacing w:after="0" w:line="117" w:lineRule="exact"/>
        <w:rPr>
          <w:sz w:val="20"/>
          <w:szCs w:val="20"/>
          <w:color w:val="auto"/>
        </w:rPr>
      </w:pPr>
    </w:p>
    <w:p>
      <w:pPr>
        <w:ind w:left="700" w:hanging="18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Smith &amp; Wesson Brands,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1026"/>
        <w:spacing w:after="0" w:line="263" w:lineRule="auto"/>
        <w:tabs>
          <w:tab w:leader="none" w:pos="126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1026"/>
        <w:spacing w:after="0" w:line="263" w:lineRule="auto"/>
        <w:tabs>
          <w:tab w:leader="none" w:pos="127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260" w:firstLine="1026"/>
        <w:spacing w:after="0" w:line="342" w:lineRule="auto"/>
        <w:tabs>
          <w:tab w:leader="none" w:pos="1262"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40" w:firstLine="1026"/>
        <w:spacing w:after="0" w:line="263" w:lineRule="auto"/>
        <w:tabs>
          <w:tab w:leader="none" w:pos="127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8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6"/>
        <w:spacing w:after="0" w:line="308" w:lineRule="auto"/>
        <w:tabs>
          <w:tab w:leader="none" w:pos="1252"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6"/>
        <w:spacing w:after="0" w:line="277" w:lineRule="auto"/>
        <w:tabs>
          <w:tab w:leader="none" w:pos="126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14605</wp:posOffset>
            </wp:positionV>
            <wp:extent cx="25374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Deana L. McPherson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Treasurer, and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2020</w:t>
      </w:r>
    </w:p>
    <w:p>
      <w:pPr>
        <w:sectPr>
          <w:pgSz w:w="11900" w:h="16838" w:orient="portrait"/>
          <w:cols w:equalWidth="0" w:num="1">
            <w:col w:w="11240"/>
          </w:cols>
          <w:pgMar w:left="320" w:top="36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340" w:right="1940"/>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9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October 31, 2020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14605</wp:posOffset>
            </wp:positionV>
            <wp:extent cx="2537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Mark P.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36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340" w:right="1940"/>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9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Quarterly Report on Form 10-Q of Smith &amp; Wesson Brands, Inc. (the “Company”) for the quarterly period ended October 31, 2020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 The Report fully complies with the requirements of Section 13(a) or 15(d), as applicable, of the Securities Exchange Act of 1934,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 and</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(ii)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14605</wp:posOffset>
            </wp:positionV>
            <wp:extent cx="25374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Deana L. McPherson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 and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04"/>
    </w:lvl>
    <w:lvl w:ilvl="1">
      <w:lvlJc w:val="left"/>
      <w:lvlText w:val="(%2)"/>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46" Type="http://schemas.openxmlformats.org/officeDocument/2006/relationships/hyperlink" Target="http://www.sec.gov/Archives/edgar/data/1092796/000119312520231337/d14369dex213.htm" TargetMode="External"/><Relationship Id="rId47" Type="http://schemas.openxmlformats.org/officeDocument/2006/relationships/hyperlink" Target="http://www.sec.gov/Archives/edgar/data/1092796/000119312520233348/d29844dex10120.htm" TargetMode="External"/><Relationship Id="rId48" Type="http://schemas.openxmlformats.org/officeDocument/2006/relationships/hyperlink" Target="http://www.sec.gov/Archives/edgar/data/1092796/000119312520231337/d14369dex10121.htm" TargetMode="External"/><Relationship Id="rId49" Type="http://schemas.openxmlformats.org/officeDocument/2006/relationships/hyperlink" Target="http://www.sec.gov/Archives/edgar/data/1092796/000119312520231337/d14369dex10122.htm" TargetMode="External"/><Relationship Id="rId50" Type="http://schemas.openxmlformats.org/officeDocument/2006/relationships/hyperlink" Target="http://www.sec.gov/Archives/edgar/data/1092796/000119312520231337/d14369dex10123.htm" TargetMode="External"/><Relationship Id="rId51" Type="http://schemas.openxmlformats.org/officeDocument/2006/relationships/hyperlink" Target="http://www.sec.gov/Archives/edgar/data/1092796/000119312520231337/d14369dex10124.htm" TargetMode="External"/><Relationship Id="rId52" Type="http://schemas.openxmlformats.org/officeDocument/2006/relationships/hyperlink" Target="http://www.sec.gov/Archives/edgar/data/1092796/000119312520231337/d14369dex10125.htm" TargetMode="External"/><Relationship Id="rId53" Type="http://schemas.openxmlformats.org/officeDocument/2006/relationships/hyperlink" Target="http://www.sec.gov/Archives/edgar/data/1092796/000119312520231337/d14369dex10126.htm" TargetMode="External"/><Relationship Id="rId54" Type="http://schemas.openxmlformats.org/officeDocument/2006/relationships/hyperlink" Target="http://www.sec.gov/Archives/edgar/data/1092796/000119312520231337/d14369dex10127.htm" TargetMode="External"/><Relationship Id="rId55" Type="http://schemas.openxmlformats.org/officeDocument/2006/relationships/hyperlink" Target="http://www.sec.gov/Archives/edgar/data/1092796/000119312520231337/d14369dex10128.htm" TargetMode="External"/><Relationship Id="rId56" Type="http://schemas.openxmlformats.org/officeDocument/2006/relationships/hyperlink" Target="http://www.sec.gov/Archives/edgar/data/1092796/000119312520231337/d1436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2020-12-03T15:19:52Z</dcterms:created>
  <dcterms:modified xsi:type="dcterms:W3CDTF">2020-12-03T15:19:52Z</dcterms:modified>
</cp:coreProperties>
</file>