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swbi-20230728.htm"/>
      <w:bookmarkStart w:id="1" w:name="ksswbi20230728"/>
      <w:bookmarkEnd w:id="0"/>
      <w:bookmarkEnd w:id="1"/>
      <w:r>
        <w:rPr/>
        <w:t> </w:t>
      </w:r>
    </w:p>
    <w:p>
      <w:pPr>
        <w:pStyle w:val="TextBody"/>
        <w:bidi w:val="0"/>
        <w:spacing w:before="0" w:after="0"/>
        <w:jc w:val="center"/>
        <w:rPr>
          <w:rFonts w:ascii="Arial;sans-serif" w:hAnsi="Arial;sans-serif"/>
          <w:b/>
          <w:sz w:val="20"/>
        </w:rPr>
      </w:pPr>
      <w:r>
        <w:rPr>
          <w:rFonts w:ascii="Arial;sans-serif" w:hAnsi="Arial;sans-serif"/>
          <w:b/>
          <w:sz w:val="20"/>
        </w:rPr>
        <w:t>UNITED STATES</w:t>
      </w:r>
    </w:p>
    <w:p>
      <w:pPr>
        <w:pStyle w:val="TextBody"/>
        <w:bidi w:val="0"/>
        <w:spacing w:before="0" w:after="0"/>
        <w:jc w:val="center"/>
        <w:rPr>
          <w:rFonts w:ascii="Arial;sans-serif" w:hAnsi="Arial;sans-serif"/>
          <w:b/>
          <w:sz w:val="20"/>
        </w:rPr>
      </w:pPr>
      <w:r>
        <w:rPr>
          <w:rFonts w:ascii="Arial;sans-serif" w:hAnsi="Arial;sans-serif"/>
          <w:b/>
          <w:sz w:val="20"/>
        </w:rPr>
        <w:t>SECURITIES AND EXCHANGE COMMISSION</w:t>
      </w:r>
    </w:p>
    <w:p>
      <w:pPr>
        <w:pStyle w:val="TextBody"/>
        <w:bidi w:val="0"/>
        <w:spacing w:before="0" w:after="0"/>
        <w:jc w:val="center"/>
        <w:rPr>
          <w:rFonts w:ascii="Arial;sans-serif" w:hAnsi="Arial;sans-serif"/>
          <w:b/>
          <w:sz w:val="20"/>
        </w:rPr>
      </w:pPr>
      <w:r>
        <w:rPr>
          <w:rFonts w:ascii="Arial;sans-serif" w:hAnsi="Arial;sans-serif"/>
          <w:b/>
          <w:sz w:val="20"/>
        </w:rPr>
        <w:t>Washington, D.C. 20549</w:t>
      </w:r>
    </w:p>
    <w:p>
      <w:pPr>
        <w:pStyle w:val="TextBody"/>
        <w:bidi w:val="0"/>
        <w:spacing w:before="0" w:after="120"/>
        <w:jc w:val="center"/>
        <w:rPr>
          <w:rFonts w:ascii="Arial;sans-serif" w:hAnsi="Arial;sans-serif"/>
          <w:b/>
          <w:sz w:val="20"/>
        </w:rPr>
      </w:pPr>
      <w:r>
        <w:rPr>
          <w:rFonts w:ascii="Arial;sans-serif" w:hAnsi="Arial;sans-serif"/>
          <w:b/>
          <w:sz w:val="20"/>
        </w:rPr>
        <w:t>SCHEDULE 14A</w:t>
      </w:r>
    </w:p>
    <w:p>
      <w:pPr>
        <w:pStyle w:val="TextBody"/>
        <w:bidi w:val="0"/>
        <w:spacing w:before="0" w:after="120"/>
        <w:jc w:val="center"/>
        <w:rPr>
          <w:rFonts w:ascii="Arial;sans-serif" w:hAnsi="Arial;sans-serif"/>
          <w:b/>
          <w:sz w:val="20"/>
        </w:rPr>
      </w:pPr>
      <w:r>
        <w:rPr>
          <w:rFonts w:ascii="Arial;sans-serif" w:hAnsi="Arial;sans-serif"/>
          <w:b/>
          <w:sz w:val="20"/>
        </w:rPr>
        <w:t>Proxy Statement Pursuant to Section 14(a) of the Securities</w:t>
        <w:br/>
        <w:t>Exchange Act of 1934 (Amendment No. )</w:t>
      </w:r>
    </w:p>
    <w:p>
      <w:pPr>
        <w:pStyle w:val="TextBody"/>
        <w:bidi w:val="0"/>
        <w:spacing w:before="0" w:after="0"/>
        <w:jc w:val="both"/>
        <w:rPr>
          <w:rFonts w:ascii="Times New Roman" w:hAnsi="Times New Roman"/>
          <w:sz w:val="20"/>
        </w:rPr>
      </w:pPr>
      <w:r>
        <w:rPr>
          <w:rFonts w:ascii="Arial;sans-serif" w:hAnsi="Arial;sans-serif"/>
          <w:b w:val="false"/>
          <w:sz w:val="18"/>
        </w:rPr>
        <w:t xml:space="preserve">Filed by the Registrant </w:t>
      </w:r>
      <w:r>
        <w:rPr>
          <w:rFonts w:ascii="Times New Roman" w:hAnsi="Times New Roman"/>
          <w:sz w:val="20"/>
        </w:rPr>
        <w:t>☒</w:t>
      </w:r>
    </w:p>
    <w:p>
      <w:pPr>
        <w:pStyle w:val="TextBody"/>
        <w:bidi w:val="0"/>
        <w:spacing w:before="0" w:after="0"/>
        <w:jc w:val="both"/>
        <w:rPr>
          <w:rFonts w:ascii="Times New Roman" w:hAnsi="Times New Roman"/>
          <w:sz w:val="20"/>
        </w:rPr>
      </w:pPr>
      <w:r>
        <w:rPr>
          <w:rFonts w:ascii="Arial;sans-serif" w:hAnsi="Arial;sans-serif"/>
          <w:b w:val="false"/>
          <w:sz w:val="18"/>
        </w:rPr>
        <w:t xml:space="preserve">Filed by a Party other than the Registrant </w:t>
      </w:r>
      <w:r>
        <w:rPr>
          <w:rFonts w:ascii="Times New Roman" w:hAnsi="Times New Roman"/>
          <w:sz w:val="20"/>
        </w:rPr>
        <w:t>☐</w:t>
      </w:r>
    </w:p>
    <w:p>
      <w:pPr>
        <w:pStyle w:val="TextBody"/>
        <w:bidi w:val="0"/>
        <w:spacing w:before="0" w:after="0"/>
        <w:jc w:val="both"/>
        <w:rPr>
          <w:rFonts w:ascii="Times New Roman" w:hAnsi="Times New Roman"/>
          <w:sz w:val="20"/>
        </w:rPr>
      </w:pPr>
      <w:r>
        <w:rPr>
          <w:rFonts w:ascii="Arial;sans-serif" w:hAnsi="Arial;sans-serif"/>
          <w:b w:val="false"/>
          <w:sz w:val="18"/>
        </w:rPr>
        <w:t>Check the appropriate box:</w:t>
      </w:r>
      <w:r>
        <w:rPr>
          <w:rFonts w:ascii="Times New Roman" w:hAnsi="Times New Roman"/>
          <w:sz w:val="20"/>
        </w:rPr>
        <w:t xml:space="preserve"> </w:t>
      </w:r>
    </w:p>
    <w:p>
      <w:pPr>
        <w:pStyle w:val="TextBody"/>
        <w:bidi w:val="0"/>
        <w:spacing w:before="0" w:after="0"/>
        <w:jc w:val="both"/>
        <w:rPr/>
      </w:pPr>
      <w:r>
        <w:rPr/>
        <w:t> </w:t>
      </w:r>
    </w:p>
    <w:tbl>
      <w:tblPr>
        <w:tblW w:w="7217" w:type="dxa"/>
        <w:jc w:val="left"/>
        <w:tblInd w:w="0" w:type="dxa"/>
        <w:tblLayout w:type="fixed"/>
        <w:tblCellMar>
          <w:top w:w="28" w:type="dxa"/>
          <w:left w:w="28" w:type="dxa"/>
          <w:bottom w:w="28" w:type="dxa"/>
          <w:right w:w="28" w:type="dxa"/>
        </w:tblCellMar>
      </w:tblPr>
      <w:tblGrid>
        <w:gridCol w:w="331"/>
        <w:gridCol w:w="6886"/>
      </w:tblGrid>
      <w:tr>
        <w:trPr/>
        <w:tc>
          <w:tcPr>
            <w:tcW w:w="331" w:type="dxa"/>
            <w:tcBorders/>
            <w:vAlign w:val="center"/>
          </w:tcPr>
          <w:p>
            <w:pPr>
              <w:pStyle w:val="TableContents"/>
              <w:bidi w:val="0"/>
              <w:spacing w:before="0" w:after="283"/>
              <w:jc w:val="left"/>
              <w:rPr>
                <w:sz w:val="4"/>
                <w:szCs w:val="4"/>
              </w:rPr>
            </w:pPr>
            <w:r>
              <w:rPr>
                <w:sz w:val="4"/>
                <w:szCs w:val="4"/>
              </w:rPr>
            </w:r>
          </w:p>
        </w:tc>
        <w:tc>
          <w:tcPr>
            <w:tcW w:w="6886"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both"/>
              <w:rPr/>
            </w:pPr>
            <w:r>
              <w:rPr/>
              <w:t>☒</w:t>
            </w:r>
          </w:p>
        </w:tc>
        <w:tc>
          <w:tcPr>
            <w:tcW w:w="6886" w:type="dxa"/>
            <w:tcBorders/>
            <w:vAlign w:val="center"/>
          </w:tcPr>
          <w:p>
            <w:pPr>
              <w:pStyle w:val="TableContents"/>
              <w:bidi w:val="0"/>
              <w:spacing w:before="0" w:after="0"/>
              <w:ind w:left="0" w:right="0" w:hanging="0"/>
              <w:jc w:val="both"/>
              <w:rPr>
                <w:rFonts w:ascii="Arial;sans-serif" w:hAnsi="Arial;sans-serif"/>
                <w:b w:val="false"/>
                <w:sz w:val="18"/>
              </w:rPr>
            </w:pPr>
            <w:r>
              <w:rPr>
                <w:rFonts w:ascii="Arial;sans-serif" w:hAnsi="Arial;sans-serif"/>
                <w:b w:val="false"/>
                <w:sz w:val="18"/>
              </w:rPr>
              <w:t>Preliminary Proxy Statement</w:t>
            </w:r>
          </w:p>
        </w:tc>
      </w:tr>
      <w:tr>
        <w:trPr/>
        <w:tc>
          <w:tcPr>
            <w:tcW w:w="331" w:type="dxa"/>
            <w:tcBorders/>
            <w:vAlign w:val="center"/>
          </w:tcPr>
          <w:p>
            <w:pPr>
              <w:pStyle w:val="TableContents"/>
              <w:bidi w:val="0"/>
              <w:spacing w:before="0" w:after="0"/>
              <w:ind w:left="0" w:right="0" w:hanging="0"/>
              <w:jc w:val="both"/>
              <w:rPr/>
            </w:pPr>
            <w:r>
              <w:rPr/>
              <w:t> </w:t>
            </w:r>
          </w:p>
        </w:tc>
        <w:tc>
          <w:tcPr>
            <w:tcW w:w="6886" w:type="dxa"/>
            <w:tcBorders/>
            <w:vAlign w:val="center"/>
          </w:tcPr>
          <w:p>
            <w:pPr>
              <w:pStyle w:val="TableContents"/>
              <w:bidi w:val="0"/>
              <w:spacing w:before="0" w:after="0"/>
              <w:ind w:left="0" w:right="0" w:hanging="0"/>
              <w:jc w:val="both"/>
              <w:rPr/>
            </w:pPr>
            <w:r>
              <w:rPr/>
              <w:t> </w:t>
            </w:r>
          </w:p>
        </w:tc>
      </w:tr>
      <w:tr>
        <w:trPr/>
        <w:tc>
          <w:tcPr>
            <w:tcW w:w="331" w:type="dxa"/>
            <w:tcBorders/>
            <w:vAlign w:val="center"/>
          </w:tcPr>
          <w:p>
            <w:pPr>
              <w:pStyle w:val="TableContents"/>
              <w:bidi w:val="0"/>
              <w:spacing w:before="0" w:after="0"/>
              <w:ind w:left="0" w:right="0" w:hanging="0"/>
              <w:jc w:val="both"/>
              <w:rPr/>
            </w:pPr>
            <w:r>
              <w:rPr/>
              <w:t>☐</w:t>
            </w:r>
          </w:p>
        </w:tc>
        <w:tc>
          <w:tcPr>
            <w:tcW w:w="6886" w:type="dxa"/>
            <w:tcBorders/>
            <w:vAlign w:val="center"/>
          </w:tcPr>
          <w:p>
            <w:pPr>
              <w:pStyle w:val="TableContents"/>
              <w:bidi w:val="0"/>
              <w:spacing w:before="0" w:after="0"/>
              <w:ind w:left="0" w:right="0" w:hanging="0"/>
              <w:jc w:val="both"/>
              <w:rPr>
                <w:rFonts w:ascii="Arial;sans-serif" w:hAnsi="Arial;sans-serif"/>
                <w:b/>
                <w:sz w:val="18"/>
              </w:rPr>
            </w:pPr>
            <w:r>
              <w:rPr>
                <w:rFonts w:ascii="Arial;sans-serif" w:hAnsi="Arial;sans-serif"/>
                <w:b/>
                <w:sz w:val="18"/>
              </w:rPr>
              <w:t>Confidential, for Use of the Commission Only (as permitted by Rule 14a-6(e)(2))</w:t>
            </w:r>
          </w:p>
        </w:tc>
      </w:tr>
      <w:tr>
        <w:trPr/>
        <w:tc>
          <w:tcPr>
            <w:tcW w:w="331" w:type="dxa"/>
            <w:tcBorders/>
            <w:vAlign w:val="center"/>
          </w:tcPr>
          <w:p>
            <w:pPr>
              <w:pStyle w:val="TableContents"/>
              <w:bidi w:val="0"/>
              <w:spacing w:before="0" w:after="0"/>
              <w:ind w:left="0" w:right="0" w:hanging="0"/>
              <w:jc w:val="both"/>
              <w:rPr/>
            </w:pPr>
            <w:r>
              <w:rPr/>
              <w:t> </w:t>
            </w:r>
          </w:p>
        </w:tc>
        <w:tc>
          <w:tcPr>
            <w:tcW w:w="6886" w:type="dxa"/>
            <w:tcBorders/>
            <w:vAlign w:val="center"/>
          </w:tcPr>
          <w:p>
            <w:pPr>
              <w:pStyle w:val="TableContents"/>
              <w:bidi w:val="0"/>
              <w:spacing w:before="0" w:after="0"/>
              <w:ind w:left="0" w:right="0" w:hanging="0"/>
              <w:jc w:val="both"/>
              <w:rPr/>
            </w:pPr>
            <w:r>
              <w:rPr/>
              <w:t> </w:t>
            </w:r>
          </w:p>
        </w:tc>
      </w:tr>
      <w:tr>
        <w:trPr/>
        <w:tc>
          <w:tcPr>
            <w:tcW w:w="331" w:type="dxa"/>
            <w:tcBorders/>
            <w:vAlign w:val="center"/>
          </w:tcPr>
          <w:p>
            <w:pPr>
              <w:pStyle w:val="TableContents"/>
              <w:bidi w:val="0"/>
              <w:spacing w:before="0" w:after="0"/>
              <w:ind w:left="0" w:right="0" w:hanging="0"/>
              <w:jc w:val="both"/>
              <w:rPr/>
            </w:pPr>
            <w:r>
              <w:rPr/>
              <w:t>☐</w:t>
            </w:r>
          </w:p>
        </w:tc>
        <w:tc>
          <w:tcPr>
            <w:tcW w:w="6886" w:type="dxa"/>
            <w:tcBorders/>
            <w:vAlign w:val="center"/>
          </w:tcPr>
          <w:p>
            <w:pPr>
              <w:pStyle w:val="TableContents"/>
              <w:bidi w:val="0"/>
              <w:spacing w:before="0" w:after="0"/>
              <w:ind w:left="0" w:right="0" w:hanging="0"/>
              <w:jc w:val="both"/>
              <w:rPr>
                <w:rFonts w:ascii="Arial;sans-serif" w:hAnsi="Arial;sans-serif"/>
                <w:b w:val="false"/>
                <w:sz w:val="18"/>
              </w:rPr>
            </w:pPr>
            <w:r>
              <w:rPr>
                <w:rFonts w:ascii="Arial;sans-serif" w:hAnsi="Arial;sans-serif"/>
                <w:b w:val="false"/>
                <w:sz w:val="18"/>
              </w:rPr>
              <w:t>Definitive Proxy Statement</w:t>
            </w:r>
          </w:p>
        </w:tc>
      </w:tr>
      <w:tr>
        <w:trPr/>
        <w:tc>
          <w:tcPr>
            <w:tcW w:w="331" w:type="dxa"/>
            <w:tcBorders/>
            <w:vAlign w:val="center"/>
          </w:tcPr>
          <w:p>
            <w:pPr>
              <w:pStyle w:val="TableContents"/>
              <w:bidi w:val="0"/>
              <w:spacing w:before="0" w:after="0"/>
              <w:ind w:left="0" w:right="0" w:hanging="0"/>
              <w:jc w:val="both"/>
              <w:rPr/>
            </w:pPr>
            <w:r>
              <w:rPr/>
              <w:t> </w:t>
            </w:r>
          </w:p>
        </w:tc>
        <w:tc>
          <w:tcPr>
            <w:tcW w:w="6886" w:type="dxa"/>
            <w:tcBorders/>
            <w:vAlign w:val="center"/>
          </w:tcPr>
          <w:p>
            <w:pPr>
              <w:pStyle w:val="TableContents"/>
              <w:bidi w:val="0"/>
              <w:spacing w:before="0" w:after="0"/>
              <w:ind w:left="0" w:right="0" w:hanging="0"/>
              <w:jc w:val="both"/>
              <w:rPr/>
            </w:pPr>
            <w:r>
              <w:rPr/>
              <w:t> </w:t>
            </w:r>
          </w:p>
        </w:tc>
      </w:tr>
      <w:tr>
        <w:trPr/>
        <w:tc>
          <w:tcPr>
            <w:tcW w:w="331" w:type="dxa"/>
            <w:tcBorders/>
            <w:vAlign w:val="center"/>
          </w:tcPr>
          <w:p>
            <w:pPr>
              <w:pStyle w:val="TableContents"/>
              <w:bidi w:val="0"/>
              <w:spacing w:before="0" w:after="0"/>
              <w:ind w:left="0" w:right="0" w:hanging="0"/>
              <w:jc w:val="both"/>
              <w:rPr/>
            </w:pPr>
            <w:r>
              <w:rPr/>
              <w:t>☐</w:t>
            </w:r>
          </w:p>
        </w:tc>
        <w:tc>
          <w:tcPr>
            <w:tcW w:w="6886" w:type="dxa"/>
            <w:tcBorders/>
            <w:vAlign w:val="center"/>
          </w:tcPr>
          <w:p>
            <w:pPr>
              <w:pStyle w:val="TableContents"/>
              <w:bidi w:val="0"/>
              <w:spacing w:before="0" w:after="0"/>
              <w:ind w:left="0" w:right="0" w:hanging="0"/>
              <w:jc w:val="both"/>
              <w:rPr>
                <w:rFonts w:ascii="Arial;sans-serif" w:hAnsi="Arial;sans-serif"/>
                <w:b w:val="false"/>
                <w:sz w:val="18"/>
              </w:rPr>
            </w:pPr>
            <w:r>
              <w:rPr>
                <w:rFonts w:ascii="Arial;sans-serif" w:hAnsi="Arial;sans-serif"/>
                <w:b w:val="false"/>
                <w:sz w:val="18"/>
              </w:rPr>
              <w:t>Definitive Additional Materials</w:t>
            </w:r>
          </w:p>
        </w:tc>
      </w:tr>
      <w:tr>
        <w:trPr/>
        <w:tc>
          <w:tcPr>
            <w:tcW w:w="331" w:type="dxa"/>
            <w:tcBorders/>
            <w:vAlign w:val="center"/>
          </w:tcPr>
          <w:p>
            <w:pPr>
              <w:pStyle w:val="TableContents"/>
              <w:bidi w:val="0"/>
              <w:spacing w:before="0" w:after="0"/>
              <w:ind w:left="0" w:right="0" w:hanging="0"/>
              <w:jc w:val="both"/>
              <w:rPr/>
            </w:pPr>
            <w:r>
              <w:rPr/>
              <w:t> </w:t>
            </w:r>
          </w:p>
        </w:tc>
        <w:tc>
          <w:tcPr>
            <w:tcW w:w="6886" w:type="dxa"/>
            <w:tcBorders/>
            <w:vAlign w:val="center"/>
          </w:tcPr>
          <w:p>
            <w:pPr>
              <w:pStyle w:val="TableContents"/>
              <w:bidi w:val="0"/>
              <w:spacing w:before="0" w:after="0"/>
              <w:ind w:left="0" w:right="0" w:hanging="0"/>
              <w:jc w:val="both"/>
              <w:rPr/>
            </w:pPr>
            <w:r>
              <w:rPr/>
              <w:t> </w:t>
            </w:r>
          </w:p>
        </w:tc>
      </w:tr>
      <w:tr>
        <w:trPr/>
        <w:tc>
          <w:tcPr>
            <w:tcW w:w="331" w:type="dxa"/>
            <w:tcBorders/>
            <w:vAlign w:val="center"/>
          </w:tcPr>
          <w:p>
            <w:pPr>
              <w:pStyle w:val="TableContents"/>
              <w:bidi w:val="0"/>
              <w:spacing w:before="0" w:after="0"/>
              <w:ind w:left="0" w:right="0" w:hanging="0"/>
              <w:jc w:val="both"/>
              <w:rPr/>
            </w:pPr>
            <w:r>
              <w:rPr/>
              <w:t>☐</w:t>
            </w:r>
          </w:p>
        </w:tc>
        <w:tc>
          <w:tcPr>
            <w:tcW w:w="6886" w:type="dxa"/>
            <w:tcBorders/>
            <w:vAlign w:val="center"/>
          </w:tcPr>
          <w:p>
            <w:pPr>
              <w:pStyle w:val="TableContents"/>
              <w:bidi w:val="0"/>
              <w:spacing w:before="0" w:after="0"/>
              <w:ind w:left="0" w:right="0" w:hanging="0"/>
              <w:jc w:val="both"/>
              <w:rPr>
                <w:rFonts w:ascii="Arial;sans-serif" w:hAnsi="Arial;sans-serif"/>
                <w:b w:val="false"/>
                <w:sz w:val="18"/>
              </w:rPr>
            </w:pPr>
            <w:r>
              <w:rPr>
                <w:rFonts w:ascii="Arial;sans-serif" w:hAnsi="Arial;sans-serif"/>
                <w:b w:val="false"/>
                <w:sz w:val="18"/>
              </w:rPr>
              <w:t>Soliciting Material Pursuant to § 240.14a-12</w:t>
            </w:r>
          </w:p>
        </w:tc>
      </w:tr>
    </w:tbl>
    <w:p>
      <w:pPr>
        <w:pStyle w:val="TextBody"/>
        <w:bidi w:val="0"/>
        <w:spacing w:before="0" w:after="0"/>
        <w:jc w:val="both"/>
        <w:rPr/>
      </w:pPr>
      <w:r>
        <w:rPr/>
        <w:t> </w:t>
      </w:r>
    </w:p>
    <w:tbl>
      <w:tblPr>
        <w:tblW w:w="3991" w:type="dxa"/>
        <w:jc w:val="left"/>
        <w:tblInd w:w="0" w:type="dxa"/>
        <w:tblLayout w:type="fixed"/>
        <w:tblCellMar>
          <w:top w:w="28" w:type="dxa"/>
          <w:left w:w="28" w:type="dxa"/>
          <w:bottom w:w="28" w:type="dxa"/>
          <w:right w:w="28" w:type="dxa"/>
        </w:tblCellMar>
      </w:tblPr>
      <w:tblGrid>
        <w:gridCol w:w="3991"/>
      </w:tblGrid>
      <w:tr>
        <w:trPr/>
        <w:tc>
          <w:tcPr>
            <w:tcW w:w="3991" w:type="dxa"/>
            <w:tcBorders/>
            <w:vAlign w:val="center"/>
          </w:tcPr>
          <w:p>
            <w:pPr>
              <w:pStyle w:val="TableContents"/>
              <w:bidi w:val="0"/>
              <w:spacing w:before="0" w:after="283"/>
              <w:jc w:val="left"/>
              <w:rPr>
                <w:sz w:val="4"/>
                <w:szCs w:val="4"/>
              </w:rPr>
            </w:pPr>
            <w:r>
              <w:rPr>
                <w:sz w:val="4"/>
                <w:szCs w:val="4"/>
              </w:rPr>
            </w:r>
          </w:p>
        </w:tc>
      </w:tr>
      <w:tr>
        <w:trPr/>
        <w:tc>
          <w:tcPr>
            <w:tcW w:w="3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8"/>
              </w:rPr>
            </w:pPr>
            <w:r>
              <w:rPr>
                <w:rFonts w:ascii="Arial;sans-serif" w:hAnsi="Arial;sans-serif"/>
                <w:b/>
                <w:sz w:val="18"/>
              </w:rPr>
              <w:t>Smith &amp; Wesson Brands, Inc.</w:t>
            </w:r>
          </w:p>
        </w:tc>
      </w:tr>
      <w:tr>
        <w:trPr/>
        <w:tc>
          <w:tcPr>
            <w:tcW w:w="3991" w:type="dxa"/>
            <w:tcBorders/>
            <w:vAlign w:val="center"/>
          </w:tcPr>
          <w:p>
            <w:pPr>
              <w:pStyle w:val="TableContents"/>
              <w:bidi w:val="0"/>
              <w:spacing w:before="40" w:after="0"/>
              <w:ind w:left="0" w:right="0" w:hanging="0"/>
              <w:jc w:val="center"/>
              <w:rPr>
                <w:rFonts w:ascii="Arial;sans-serif" w:hAnsi="Arial;sans-serif"/>
                <w:b w:val="false"/>
                <w:sz w:val="18"/>
              </w:rPr>
            </w:pPr>
            <w:r>
              <w:rPr>
                <w:rFonts w:ascii="Arial;sans-serif" w:hAnsi="Arial;sans-serif"/>
                <w:b w:val="false"/>
                <w:sz w:val="18"/>
              </w:rPr>
              <w:t>(Name of Registrant as Specified in its Charter)</w:t>
            </w:r>
          </w:p>
        </w:tc>
      </w:tr>
    </w:tbl>
    <w:p>
      <w:pPr>
        <w:pStyle w:val="TextBody"/>
        <w:bidi w:val="0"/>
        <w:spacing w:before="0" w:after="0"/>
        <w:jc w:val="both"/>
        <w:rPr/>
      </w:pPr>
      <w:r>
        <w:rPr/>
        <w:t> </w:t>
      </w:r>
    </w:p>
    <w:tbl>
      <w:tblPr>
        <w:tblW w:w="6016" w:type="dxa"/>
        <w:jc w:val="left"/>
        <w:tblInd w:w="0" w:type="dxa"/>
        <w:tblLayout w:type="fixed"/>
        <w:tblCellMar>
          <w:top w:w="28" w:type="dxa"/>
          <w:left w:w="28" w:type="dxa"/>
          <w:bottom w:w="28" w:type="dxa"/>
          <w:right w:w="28" w:type="dxa"/>
        </w:tblCellMar>
      </w:tblPr>
      <w:tblGrid>
        <w:gridCol w:w="6016"/>
      </w:tblGrid>
      <w:tr>
        <w:trPr/>
        <w:tc>
          <w:tcPr>
            <w:tcW w:w="6016" w:type="dxa"/>
            <w:tcBorders/>
            <w:vAlign w:val="center"/>
          </w:tcPr>
          <w:p>
            <w:pPr>
              <w:pStyle w:val="TableContents"/>
              <w:bidi w:val="0"/>
              <w:spacing w:before="0" w:after="283"/>
              <w:jc w:val="left"/>
              <w:rPr>
                <w:sz w:val="4"/>
                <w:szCs w:val="4"/>
              </w:rPr>
            </w:pPr>
            <w:r>
              <w:rPr>
                <w:sz w:val="4"/>
                <w:szCs w:val="4"/>
              </w:rPr>
            </w:r>
          </w:p>
        </w:tc>
      </w:tr>
      <w:tr>
        <w:trPr/>
        <w:tc>
          <w:tcPr>
            <w:tcW w:w="60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both"/>
              <w:rPr/>
            </w:pPr>
            <w:r>
              <w:rPr/>
              <w:t> </w:t>
            </w:r>
          </w:p>
        </w:tc>
      </w:tr>
      <w:tr>
        <w:trPr/>
        <w:tc>
          <w:tcPr>
            <w:tcW w:w="6016" w:type="dxa"/>
            <w:tcBorders/>
            <w:vAlign w:val="center"/>
          </w:tcPr>
          <w:p>
            <w:pPr>
              <w:pStyle w:val="TableContents"/>
              <w:bidi w:val="0"/>
              <w:spacing w:before="40" w:after="0"/>
              <w:ind w:left="0" w:right="0" w:hanging="0"/>
              <w:jc w:val="center"/>
              <w:rPr>
                <w:rFonts w:ascii="Arial;sans-serif" w:hAnsi="Arial;sans-serif"/>
                <w:b w:val="false"/>
                <w:sz w:val="18"/>
              </w:rPr>
            </w:pPr>
            <w:r>
              <w:rPr>
                <w:rFonts w:ascii="Arial;sans-serif" w:hAnsi="Arial;sans-serif"/>
                <w:b w:val="false"/>
                <w:sz w:val="18"/>
              </w:rPr>
              <w:t>(Name of Person(s) Filing Proxy Statement, if Other Than the Registrant)</w:t>
            </w:r>
          </w:p>
        </w:tc>
      </w:tr>
    </w:tbl>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18"/>
        </w:rPr>
        <w:t>Payment of Filing Fee (Check the appropriate box):</w:t>
      </w:r>
      <w:r>
        <w:rPr>
          <w:rFonts w:ascii="Times New Roman" w:hAnsi="Times New Roman"/>
          <w:sz w:val="20"/>
        </w:rPr>
        <w:t xml:space="preserve"> </w:t>
      </w:r>
    </w:p>
    <w:p>
      <w:pPr>
        <w:pStyle w:val="TextBody"/>
        <w:bidi w:val="0"/>
        <w:spacing w:before="0" w:after="0"/>
        <w:jc w:val="both"/>
        <w:rPr/>
      </w:pPr>
      <w:r>
        <w:rPr/>
        <w:t> </w:t>
      </w:r>
    </w:p>
    <w:tbl>
      <w:tblPr>
        <w:tblW w:w="8686" w:type="dxa"/>
        <w:jc w:val="left"/>
        <w:tblInd w:w="0" w:type="dxa"/>
        <w:tblLayout w:type="fixed"/>
        <w:tblCellMar>
          <w:top w:w="28" w:type="dxa"/>
          <w:left w:w="28" w:type="dxa"/>
          <w:bottom w:w="28" w:type="dxa"/>
          <w:right w:w="28" w:type="dxa"/>
        </w:tblCellMar>
      </w:tblPr>
      <w:tblGrid>
        <w:gridCol w:w="331"/>
        <w:gridCol w:w="3610"/>
        <w:gridCol w:w="4745"/>
      </w:tblGrid>
      <w:tr>
        <w:trPr/>
        <w:tc>
          <w:tcPr>
            <w:tcW w:w="331" w:type="dxa"/>
            <w:tcBorders/>
            <w:vAlign w:val="center"/>
          </w:tcPr>
          <w:p>
            <w:pPr>
              <w:pStyle w:val="TableContents"/>
              <w:bidi w:val="0"/>
              <w:spacing w:before="0" w:after="283"/>
              <w:jc w:val="left"/>
              <w:rPr>
                <w:sz w:val="4"/>
                <w:szCs w:val="4"/>
              </w:rPr>
            </w:pPr>
            <w:r>
              <w:rPr>
                <w:sz w:val="4"/>
                <w:szCs w:val="4"/>
              </w:rPr>
            </w:r>
          </w:p>
        </w:tc>
        <w:tc>
          <w:tcPr>
            <w:tcW w:w="3610" w:type="dxa"/>
            <w:tcBorders/>
            <w:vAlign w:val="center"/>
          </w:tcPr>
          <w:p>
            <w:pPr>
              <w:pStyle w:val="TableContents"/>
              <w:bidi w:val="0"/>
              <w:spacing w:before="0" w:after="283"/>
              <w:jc w:val="left"/>
              <w:rPr>
                <w:sz w:val="4"/>
                <w:szCs w:val="4"/>
              </w:rPr>
            </w:pPr>
            <w:r>
              <w:rPr>
                <w:sz w:val="4"/>
                <w:szCs w:val="4"/>
              </w:rPr>
            </w:r>
          </w:p>
        </w:tc>
        <w:tc>
          <w:tcPr>
            <w:tcW w:w="4745"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both"/>
              <w:rPr/>
            </w:pPr>
            <w:r>
              <w:rPr/>
              <w:t>☒</w:t>
            </w:r>
          </w:p>
        </w:tc>
        <w:tc>
          <w:tcPr>
            <w:tcW w:w="8355" w:type="dxa"/>
            <w:gridSpan w:val="2"/>
            <w:tcBorders/>
            <w:vAlign w:val="center"/>
          </w:tcPr>
          <w:p>
            <w:pPr>
              <w:pStyle w:val="TableContents"/>
              <w:bidi w:val="0"/>
              <w:spacing w:before="0" w:after="0"/>
              <w:ind w:left="0" w:right="0" w:hanging="0"/>
              <w:jc w:val="both"/>
              <w:rPr>
                <w:rFonts w:ascii="Arial;sans-serif" w:hAnsi="Arial;sans-serif"/>
                <w:b w:val="false"/>
                <w:sz w:val="18"/>
              </w:rPr>
            </w:pPr>
            <w:r>
              <w:rPr>
                <w:rFonts w:ascii="Arial;sans-serif" w:hAnsi="Arial;sans-serif"/>
                <w:b w:val="false"/>
                <w:sz w:val="18"/>
              </w:rPr>
              <w:t>No fee required.</w:t>
            </w:r>
          </w:p>
        </w:tc>
      </w:tr>
      <w:tr>
        <w:trPr/>
        <w:tc>
          <w:tcPr>
            <w:tcW w:w="331" w:type="dxa"/>
            <w:tcBorders/>
            <w:vAlign w:val="center"/>
          </w:tcPr>
          <w:p>
            <w:pPr>
              <w:pStyle w:val="TableContents"/>
              <w:bidi w:val="0"/>
              <w:spacing w:before="0" w:after="0"/>
              <w:ind w:left="0" w:right="0" w:hanging="0"/>
              <w:jc w:val="both"/>
              <w:rPr/>
            </w:pPr>
            <w:r>
              <w:rPr/>
              <w:t> </w:t>
            </w:r>
          </w:p>
        </w:tc>
        <w:tc>
          <w:tcPr>
            <w:tcW w:w="8355" w:type="dxa"/>
            <w:gridSpan w:val="2"/>
            <w:tcBorders/>
            <w:vAlign w:val="center"/>
          </w:tcPr>
          <w:p>
            <w:pPr>
              <w:pStyle w:val="TableContents"/>
              <w:bidi w:val="0"/>
              <w:spacing w:before="0" w:after="0"/>
              <w:ind w:left="0" w:right="0" w:hanging="0"/>
              <w:jc w:val="both"/>
              <w:rPr/>
            </w:pPr>
            <w:r>
              <w:rPr/>
              <w:t> </w:t>
            </w:r>
          </w:p>
        </w:tc>
      </w:tr>
      <w:tr>
        <w:trPr/>
        <w:tc>
          <w:tcPr>
            <w:tcW w:w="331" w:type="dxa"/>
            <w:tcBorders/>
            <w:vAlign w:val="center"/>
          </w:tcPr>
          <w:p>
            <w:pPr>
              <w:pStyle w:val="TableContents"/>
              <w:bidi w:val="0"/>
              <w:spacing w:before="0" w:after="0"/>
              <w:ind w:left="0" w:right="0" w:hanging="0"/>
              <w:jc w:val="both"/>
              <w:rPr/>
            </w:pPr>
            <w:r>
              <w:rPr/>
              <w:t>☐</w:t>
            </w:r>
          </w:p>
        </w:tc>
        <w:tc>
          <w:tcPr>
            <w:tcW w:w="8355" w:type="dxa"/>
            <w:gridSpan w:val="2"/>
            <w:tcBorders/>
            <w:vAlign w:val="center"/>
          </w:tcPr>
          <w:p>
            <w:pPr>
              <w:pStyle w:val="TableContents"/>
              <w:bidi w:val="0"/>
              <w:spacing w:before="0" w:after="0"/>
              <w:ind w:left="0" w:right="0" w:hanging="0"/>
              <w:jc w:val="both"/>
              <w:rPr>
                <w:rFonts w:ascii="Arial;sans-serif" w:hAnsi="Arial;sans-serif"/>
                <w:b w:val="false"/>
                <w:sz w:val="18"/>
              </w:rPr>
            </w:pPr>
            <w:r>
              <w:rPr>
                <w:rFonts w:ascii="Arial;sans-serif" w:hAnsi="Arial;sans-serif"/>
                <w:b w:val="false"/>
                <w:sz w:val="18"/>
              </w:rPr>
              <w:t>Fee paid previously with preliminary materials.</w:t>
            </w:r>
          </w:p>
        </w:tc>
      </w:tr>
      <w:tr>
        <w:trPr/>
        <w:tc>
          <w:tcPr>
            <w:tcW w:w="331" w:type="dxa"/>
            <w:tcBorders/>
            <w:vAlign w:val="center"/>
          </w:tcPr>
          <w:p>
            <w:pPr>
              <w:pStyle w:val="TableContents"/>
              <w:bidi w:val="0"/>
              <w:spacing w:before="0" w:after="0"/>
              <w:ind w:left="0" w:right="0" w:hanging="0"/>
              <w:jc w:val="both"/>
              <w:rPr/>
            </w:pPr>
            <w:r>
              <w:rPr/>
              <w:t> </w:t>
            </w:r>
          </w:p>
        </w:tc>
        <w:tc>
          <w:tcPr>
            <w:tcW w:w="8355" w:type="dxa"/>
            <w:gridSpan w:val="2"/>
            <w:tcBorders/>
            <w:vAlign w:val="center"/>
          </w:tcPr>
          <w:p>
            <w:pPr>
              <w:pStyle w:val="TableContents"/>
              <w:bidi w:val="0"/>
              <w:spacing w:before="0" w:after="0"/>
              <w:ind w:left="0" w:right="0" w:hanging="0"/>
              <w:jc w:val="both"/>
              <w:rPr/>
            </w:pPr>
            <w:r>
              <w:rPr/>
              <w:t> </w:t>
            </w:r>
          </w:p>
        </w:tc>
      </w:tr>
      <w:tr>
        <w:trPr/>
        <w:tc>
          <w:tcPr>
            <w:tcW w:w="331" w:type="dxa"/>
            <w:tcBorders/>
            <w:vAlign w:val="center"/>
          </w:tcPr>
          <w:p>
            <w:pPr>
              <w:pStyle w:val="TableContents"/>
              <w:bidi w:val="0"/>
              <w:spacing w:before="0" w:after="0"/>
              <w:ind w:left="0" w:right="0" w:hanging="0"/>
              <w:jc w:val="both"/>
              <w:rPr/>
            </w:pPr>
            <w:r>
              <w:rPr/>
              <w:t>☐</w:t>
            </w:r>
          </w:p>
        </w:tc>
        <w:tc>
          <w:tcPr>
            <w:tcW w:w="8355" w:type="dxa"/>
            <w:gridSpan w:val="2"/>
            <w:tcBorders/>
            <w:vAlign w:val="center"/>
          </w:tcPr>
          <w:p>
            <w:pPr>
              <w:pStyle w:val="TableContents"/>
              <w:bidi w:val="0"/>
              <w:spacing w:before="0" w:after="0"/>
              <w:ind w:left="0" w:right="0" w:hanging="0"/>
              <w:jc w:val="both"/>
              <w:rPr>
                <w:rFonts w:ascii="Arial;sans-serif" w:hAnsi="Arial;sans-serif"/>
                <w:b w:val="false"/>
                <w:sz w:val="18"/>
              </w:rPr>
            </w:pPr>
            <w:r>
              <w:rPr>
                <w:rFonts w:ascii="Arial;sans-serif" w:hAnsi="Arial;sans-serif"/>
                <w:b w:val="false"/>
                <w:sz w:val="18"/>
              </w:rPr>
              <w:t>Fee computed on table in exhibit required by Item 25(b) per Exchange Act Rules 14a-6(i)(1) and 0-11</w:t>
            </w:r>
          </w:p>
        </w:tc>
      </w:tr>
      <w:tr>
        <w:trPr/>
        <w:tc>
          <w:tcPr>
            <w:tcW w:w="331" w:type="dxa"/>
            <w:tcBorders/>
            <w:vAlign w:val="center"/>
          </w:tcPr>
          <w:p>
            <w:pPr>
              <w:pStyle w:val="TableContents"/>
              <w:bidi w:val="0"/>
              <w:spacing w:before="0" w:after="0"/>
              <w:ind w:left="0" w:right="0" w:hanging="0"/>
              <w:jc w:val="both"/>
              <w:rPr/>
            </w:pPr>
            <w:r>
              <w:rPr/>
              <w:t> </w:t>
            </w:r>
          </w:p>
        </w:tc>
        <w:tc>
          <w:tcPr>
            <w:tcW w:w="3610" w:type="dxa"/>
            <w:tcBorders/>
            <w:vAlign w:val="center"/>
          </w:tcPr>
          <w:p>
            <w:pPr>
              <w:pStyle w:val="TableContents"/>
              <w:bidi w:val="0"/>
              <w:spacing w:before="0" w:after="0"/>
              <w:ind w:left="0" w:right="0" w:hanging="0"/>
              <w:jc w:val="both"/>
              <w:rPr/>
            </w:pPr>
            <w:r>
              <w:rPr/>
              <w:t> </w:t>
            </w:r>
          </w:p>
        </w:tc>
        <w:tc>
          <w:tcPr>
            <w:tcW w:w="4745" w:type="dxa"/>
            <w:tcBorders/>
            <w:vAlign w:val="center"/>
          </w:tcPr>
          <w:p>
            <w:pPr>
              <w:pStyle w:val="TableContents"/>
              <w:bidi w:val="0"/>
              <w:spacing w:before="0" w:after="0"/>
              <w:ind w:left="0" w:right="0" w:hanging="0"/>
              <w:jc w:val="both"/>
              <w:rPr/>
            </w:pPr>
            <w:r>
              <w:rPr/>
              <w:t> </w:t>
            </w:r>
          </w:p>
        </w:tc>
      </w:tr>
    </w:tbl>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0" w:after="0"/>
        <w:jc w:val="center"/>
        <w:rPr/>
      </w:pPr>
      <w:r>
        <w:rPr/>
        <w:drawing>
          <wp:inline distT="0" distB="0" distL="0" distR="0">
            <wp:extent cx="5810250" cy="7486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810250" cy="7486650"/>
                    </a:xfrm>
                    <a:prstGeom prst="rect">
                      <a:avLst/>
                    </a:prstGeom>
                  </pic:spPr>
                </pic:pic>
              </a:graphicData>
            </a:graphic>
          </wp:inline>
        </w:drawing>
      </w:r>
      <w:r>
        <w:rPr/>
        <w:t> </w:t>
      </w:r>
    </w:p>
    <w:p>
      <w:pPr>
        <w:pStyle w:val="TextBody"/>
        <w:bidi w:val="0"/>
        <w:spacing w:before="0" w:after="0"/>
        <w:jc w:val="center"/>
        <w:rPr/>
      </w:pPr>
      <w:r>
        <w:rPr/>
        <w:t> </w:t>
      </w:r>
    </w:p>
    <w:p>
      <w:pPr>
        <w:pStyle w:val="TextBody"/>
        <w:bidi w:val="0"/>
        <w:spacing w:before="0" w:after="0"/>
        <w:jc w:val="left"/>
        <w:rPr>
          <w:rFonts w:ascii="Arial;sans-serif" w:hAnsi="Arial;sans-serif"/>
          <w:b w:val="false"/>
          <w:sz w:val="2"/>
        </w:rPr>
      </w:pPr>
      <w:r>
        <w:rPr>
          <w:rFonts w:ascii="Arial;sans-serif" w:hAnsi="Arial;sans-serif"/>
          <w:b w:val="false"/>
          <w:sz w:val="2"/>
        </w:rPr>
        <w:t>MEETING AND PROXY STATEMENT 2022 NOTICE OF ANNUAL STOCKHOLDER MEETING AND PROXY STATEMENT</w:t>
      </w:r>
    </w:p>
    <w:p>
      <w:pPr>
        <w:pStyle w:val="TextBody"/>
        <w:bidi w:val="0"/>
        <w:spacing w:before="0" w:after="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Arial;sans-serif" w:hAnsi="Arial;sans-serif"/>
          <w:b/>
          <w:sz w:val="44"/>
        </w:rPr>
      </w:pPr>
      <w:r>
        <w:rPr>
          <w:rFonts w:ascii="Arial;sans-serif" w:hAnsi="Arial;sans-serif"/>
          <w:b/>
          <w:sz w:val="44"/>
        </w:rPr>
        <w:t>NOTICE OF ANNUAL MEETING OF STOCKHOLDERS</w:t>
      </w:r>
    </w:p>
    <w:p>
      <w:pPr>
        <w:pStyle w:val="TextBody"/>
        <w:bidi w:val="0"/>
        <w:spacing w:before="0" w:after="0"/>
        <w:jc w:val="both"/>
        <w:rPr/>
      </w:pPr>
      <w:r>
        <w:rPr/>
        <w:t> </w:t>
      </w:r>
    </w:p>
    <w:tbl>
      <w:tblPr>
        <w:tblW w:w="8428" w:type="dxa"/>
        <w:jc w:val="left"/>
        <w:tblInd w:w="0" w:type="dxa"/>
        <w:tblLayout w:type="fixed"/>
        <w:tblCellMar>
          <w:top w:w="28" w:type="dxa"/>
          <w:left w:w="28" w:type="dxa"/>
          <w:bottom w:w="28" w:type="dxa"/>
          <w:right w:w="28" w:type="dxa"/>
        </w:tblCellMar>
      </w:tblPr>
      <w:tblGrid>
        <w:gridCol w:w="806"/>
        <w:gridCol w:w="1771"/>
        <w:gridCol w:w="146"/>
        <w:gridCol w:w="761"/>
        <w:gridCol w:w="1786"/>
        <w:gridCol w:w="146"/>
        <w:gridCol w:w="896"/>
        <w:gridCol w:w="2116"/>
      </w:tblGrid>
      <w:tr>
        <w:trPr/>
        <w:tc>
          <w:tcPr>
            <w:tcW w:w="80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r>
      <w:tr>
        <w:trPr/>
        <w:tc>
          <w:tcPr>
            <w:tcW w:w="806" w:type="dxa"/>
            <w:tcBorders/>
            <w:vAlign w:val="center"/>
          </w:tcPr>
          <w:p>
            <w:pPr>
              <w:pStyle w:val="TableContents"/>
              <w:bidi w:val="0"/>
              <w:spacing w:before="0" w:after="0"/>
              <w:ind w:left="0" w:right="0" w:hanging="0"/>
              <w:jc w:val="both"/>
              <w:rPr/>
            </w:pPr>
            <w:r>
              <w:rPr/>
              <w:drawing>
                <wp:inline distT="0" distB="0" distL="0" distR="0">
                  <wp:extent cx="409575" cy="37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09575" cy="371475"/>
                          </a:xfrm>
                          <a:prstGeom prst="rect">
                            <a:avLst/>
                          </a:prstGeom>
                        </pic:spPr>
                      </pic:pic>
                    </a:graphicData>
                  </a:graphic>
                </wp:inline>
              </w:drawing>
            </w:r>
            <w:r>
              <w:rPr/>
              <w:t> </w:t>
            </w:r>
          </w:p>
        </w:tc>
        <w:tc>
          <w:tcPr>
            <w:tcW w:w="1771" w:type="dxa"/>
            <w:tcBorders/>
            <w:vAlign w:val="center"/>
          </w:tcPr>
          <w:p>
            <w:pPr>
              <w:pStyle w:val="TableContents"/>
              <w:bidi w:val="0"/>
              <w:spacing w:before="0" w:after="0"/>
              <w:ind w:left="0" w:right="0" w:hanging="0"/>
              <w:jc w:val="both"/>
              <w:rPr>
                <w:rFonts w:ascii="Arial;sans-serif" w:hAnsi="Arial;sans-serif"/>
                <w:b/>
                <w:sz w:val="20"/>
              </w:rPr>
            </w:pPr>
            <w:r>
              <w:rPr>
                <w:rFonts w:ascii="Arial;sans-serif" w:hAnsi="Arial;sans-serif"/>
                <w:b/>
                <w:sz w:val="20"/>
              </w:rPr>
              <w:t>Date:</w:t>
            </w:r>
          </w:p>
          <w:p>
            <w:pPr>
              <w:pStyle w:val="TableContents"/>
              <w:bidi w:val="0"/>
              <w:spacing w:before="0" w:after="0"/>
              <w:ind w:left="0" w:right="0" w:hanging="0"/>
              <w:jc w:val="both"/>
              <w:rPr>
                <w:rFonts w:ascii="Arial;sans-serif" w:hAnsi="Arial;sans-serif"/>
                <w:b w:val="false"/>
                <w:sz w:val="18"/>
              </w:rPr>
            </w:pPr>
            <w:r>
              <w:rPr>
                <w:rFonts w:ascii="Arial;sans-serif" w:hAnsi="Arial;sans-serif"/>
                <w:b w:val="false"/>
                <w:sz w:val="18"/>
              </w:rPr>
              <w:t>Tuesday,</w:t>
            </w:r>
          </w:p>
          <w:p>
            <w:pPr>
              <w:pStyle w:val="TableContents"/>
              <w:bidi w:val="0"/>
              <w:spacing w:before="0" w:after="0"/>
              <w:ind w:left="0" w:right="0" w:hanging="0"/>
              <w:jc w:val="both"/>
              <w:rPr>
                <w:rFonts w:ascii="Arial;sans-serif" w:hAnsi="Arial;sans-serif"/>
                <w:b w:val="false"/>
                <w:sz w:val="18"/>
              </w:rPr>
            </w:pPr>
            <w:r>
              <w:rPr>
                <w:rFonts w:ascii="Arial;sans-serif" w:hAnsi="Arial;sans-serif"/>
                <w:b w:val="false"/>
                <w:sz w:val="18"/>
              </w:rPr>
              <w:t>September 19, 2023</w:t>
            </w:r>
          </w:p>
        </w:tc>
        <w:tc>
          <w:tcPr>
            <w:tcW w:w="146" w:type="dxa"/>
            <w:tcBorders/>
            <w:vAlign w:val="center"/>
          </w:tcPr>
          <w:p>
            <w:pPr>
              <w:pStyle w:val="TableContents"/>
              <w:bidi w:val="0"/>
              <w:spacing w:before="0" w:after="0"/>
              <w:ind w:left="0" w:right="0" w:hanging="0"/>
              <w:jc w:val="both"/>
              <w:rPr/>
            </w:pPr>
            <w:r>
              <w:rPr/>
              <w:t> </w:t>
            </w:r>
          </w:p>
        </w:tc>
        <w:tc>
          <w:tcPr>
            <w:tcW w:w="761" w:type="dxa"/>
            <w:tcBorders/>
            <w:vAlign w:val="center"/>
          </w:tcPr>
          <w:p>
            <w:pPr>
              <w:pStyle w:val="TableContents"/>
              <w:bidi w:val="0"/>
              <w:spacing w:before="0" w:after="0"/>
              <w:ind w:left="0" w:right="0" w:hanging="0"/>
              <w:jc w:val="both"/>
              <w:rPr/>
            </w:pPr>
            <w:r>
              <w:rPr/>
              <w:drawing>
                <wp:inline distT="0" distB="0" distL="0" distR="0">
                  <wp:extent cx="390525" cy="390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90525" cy="390525"/>
                          </a:xfrm>
                          <a:prstGeom prst="rect">
                            <a:avLst/>
                          </a:prstGeom>
                        </pic:spPr>
                      </pic:pic>
                    </a:graphicData>
                  </a:graphic>
                </wp:inline>
              </w:drawing>
            </w:r>
            <w:r>
              <w:rPr/>
              <w:t> </w:t>
            </w:r>
          </w:p>
        </w:tc>
        <w:tc>
          <w:tcPr>
            <w:tcW w:w="1786" w:type="dxa"/>
            <w:tcBorders/>
            <w:vAlign w:val="center"/>
          </w:tcPr>
          <w:p>
            <w:pPr>
              <w:pStyle w:val="TableContents"/>
              <w:bidi w:val="0"/>
              <w:spacing w:before="0" w:after="0"/>
              <w:ind w:left="0" w:right="0" w:hanging="0"/>
              <w:jc w:val="both"/>
              <w:rPr>
                <w:rFonts w:ascii="Arial;sans-serif" w:hAnsi="Arial;sans-serif"/>
                <w:b/>
                <w:sz w:val="20"/>
              </w:rPr>
            </w:pPr>
            <w:r>
              <w:rPr>
                <w:rFonts w:ascii="Arial;sans-serif" w:hAnsi="Arial;sans-serif"/>
                <w:b/>
                <w:sz w:val="20"/>
              </w:rPr>
              <w:t>Time:</w:t>
            </w:r>
          </w:p>
          <w:p>
            <w:pPr>
              <w:pStyle w:val="TableContents"/>
              <w:bidi w:val="0"/>
              <w:spacing w:before="0" w:after="0"/>
              <w:ind w:left="0" w:right="0" w:hanging="0"/>
              <w:jc w:val="both"/>
              <w:rPr>
                <w:rFonts w:ascii="Arial;sans-serif" w:hAnsi="Arial;sans-serif"/>
                <w:b w:val="false"/>
                <w:sz w:val="18"/>
              </w:rPr>
            </w:pPr>
            <w:r>
              <w:rPr>
                <w:rFonts w:ascii="Arial;sans-serif" w:hAnsi="Arial;sans-serif"/>
                <w:b w:val="false"/>
                <w:sz w:val="18"/>
              </w:rPr>
              <w:t>10a.m. Eastern Time</w:t>
            </w:r>
          </w:p>
        </w:tc>
        <w:tc>
          <w:tcPr>
            <w:tcW w:w="146" w:type="dxa"/>
            <w:tcBorders/>
            <w:vAlign w:val="center"/>
          </w:tcPr>
          <w:p>
            <w:pPr>
              <w:pStyle w:val="TableContents"/>
              <w:bidi w:val="0"/>
              <w:spacing w:before="0" w:after="0"/>
              <w:ind w:left="0" w:right="0" w:hanging="0"/>
              <w:jc w:val="both"/>
              <w:rPr/>
            </w:pPr>
            <w:r>
              <w:rPr/>
              <w:t> </w:t>
            </w:r>
          </w:p>
        </w:tc>
        <w:tc>
          <w:tcPr>
            <w:tcW w:w="896" w:type="dxa"/>
            <w:tcBorders/>
            <w:vAlign w:val="center"/>
          </w:tcPr>
          <w:p>
            <w:pPr>
              <w:pStyle w:val="TableContents"/>
              <w:bidi w:val="0"/>
              <w:spacing w:before="0" w:after="0"/>
              <w:ind w:left="0" w:right="0" w:hanging="0"/>
              <w:jc w:val="both"/>
              <w:rPr/>
            </w:pPr>
            <w:r>
              <w:rPr/>
              <w:drawing>
                <wp:inline distT="0" distB="0" distL="0" distR="0">
                  <wp:extent cx="476250" cy="381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76250" cy="381000"/>
                          </a:xfrm>
                          <a:prstGeom prst="rect">
                            <a:avLst/>
                          </a:prstGeom>
                        </pic:spPr>
                      </pic:pic>
                    </a:graphicData>
                  </a:graphic>
                </wp:inline>
              </w:drawing>
            </w:r>
            <w:r>
              <w:rPr/>
              <w:t> </w:t>
            </w:r>
          </w:p>
        </w:tc>
        <w:tc>
          <w:tcPr>
            <w:tcW w:w="2116" w:type="dxa"/>
            <w:tcBorders/>
            <w:vAlign w:val="center"/>
          </w:tcPr>
          <w:p>
            <w:pPr>
              <w:pStyle w:val="TableContents"/>
              <w:bidi w:val="0"/>
              <w:spacing w:before="0" w:after="0"/>
              <w:ind w:left="0" w:right="0" w:hanging="0"/>
              <w:jc w:val="both"/>
              <w:rPr>
                <w:rFonts w:ascii="Arial;sans-serif" w:hAnsi="Arial;sans-serif"/>
                <w:b/>
                <w:sz w:val="20"/>
              </w:rPr>
            </w:pPr>
            <w:r>
              <w:rPr>
                <w:rFonts w:ascii="Arial;sans-serif" w:hAnsi="Arial;sans-serif"/>
                <w:b/>
                <w:sz w:val="20"/>
              </w:rPr>
              <w:t>Location:</w:t>
            </w:r>
          </w:p>
          <w:p>
            <w:pPr>
              <w:pStyle w:val="TableContents"/>
              <w:bidi w:val="0"/>
              <w:spacing w:before="0" w:after="0"/>
              <w:ind w:left="0" w:right="0" w:hanging="0"/>
              <w:jc w:val="both"/>
              <w:rPr>
                <w:rFonts w:ascii="Arial;sans-serif" w:hAnsi="Arial;sans-serif"/>
                <w:b w:val="false"/>
                <w:sz w:val="18"/>
              </w:rPr>
            </w:pPr>
            <w:r>
              <w:rPr>
                <w:rFonts w:ascii="Arial;sans-serif" w:hAnsi="Arial;sans-serif"/>
                <w:b w:val="false"/>
                <w:sz w:val="18"/>
              </w:rPr>
              <w:t>www.virtualshareholder</w:t>
            </w:r>
          </w:p>
          <w:p>
            <w:pPr>
              <w:pStyle w:val="TableContents"/>
              <w:bidi w:val="0"/>
              <w:spacing w:before="0" w:after="0"/>
              <w:ind w:left="0" w:right="0" w:hanging="0"/>
              <w:jc w:val="both"/>
              <w:rPr>
                <w:rFonts w:ascii="Arial;sans-serif" w:hAnsi="Arial;sans-serif"/>
                <w:b w:val="false"/>
                <w:sz w:val="18"/>
              </w:rPr>
            </w:pPr>
            <w:r>
              <w:rPr>
                <w:rFonts w:ascii="Arial;sans-serif" w:hAnsi="Arial;sans-serif"/>
                <w:b w:val="false"/>
                <w:sz w:val="18"/>
              </w:rPr>
              <w:t>meeting.com/SWBI2023</w:t>
            </w:r>
          </w:p>
        </w:tc>
      </w:tr>
    </w:tbl>
    <w:p>
      <w:pPr>
        <w:pStyle w:val="TextBody"/>
        <w:bidi w:val="0"/>
        <w:spacing w:before="0" w:after="0"/>
        <w:jc w:val="both"/>
        <w:rPr/>
      </w:pPr>
      <w:r>
        <w:rPr/>
        <w:t> </w:t>
      </w:r>
    </w:p>
    <w:p>
      <w:pPr>
        <w:pStyle w:val="TextBody"/>
        <w:bidi w:val="0"/>
        <w:spacing w:before="40" w:after="0"/>
        <w:jc w:val="both"/>
        <w:rPr>
          <w:rFonts w:ascii="Times New Roman" w:hAnsi="Times New Roman"/>
          <w:sz w:val="20"/>
        </w:rPr>
      </w:pPr>
      <w:r>
        <w:rPr>
          <w:rFonts w:ascii="Arial;sans-serif" w:hAnsi="Arial;sans-serif"/>
          <w:b w:val="false"/>
          <w:sz w:val="20"/>
        </w:rPr>
        <w:t xml:space="preserve">The Annual Meeting of Stockholders of Smith &amp; Wesson Brands, Inc., a Nevada corporation, will be held at 10:00 a.m., Eastern Time, on Tuesday, September 19, 2023 (the “2023 Annual Meeting”). The 2023 Annual Meeting will be a virtual meeting of stockholders. You will be able to attend the 2023 Annual Meeting, vote, and submit your questions during the live webcast of the meeting by visiting </w:t>
      </w:r>
      <w:r>
        <w:rPr>
          <w:rFonts w:ascii="Arial;sans-serif" w:hAnsi="Arial;sans-serif"/>
          <w:b w:val="false"/>
          <w:i/>
          <w:sz w:val="20"/>
        </w:rPr>
        <w:t>www.virtualshareholdermeeting.com/SWBI2023</w:t>
      </w:r>
      <w:r>
        <w:rPr>
          <w:rFonts w:ascii="Times New Roman" w:hAnsi="Times New Roman"/>
          <w:sz w:val="20"/>
        </w:rPr>
        <w:t xml:space="preserve"> </w:t>
      </w:r>
      <w:r>
        <w:rPr>
          <w:rFonts w:ascii="Arial;sans-serif" w:hAnsi="Arial;sans-serif"/>
          <w:b w:val="false"/>
          <w:sz w:val="20"/>
        </w:rPr>
        <w:t>and entering the 16-digit control number included on your proxy card or in the instructions that accompanied your proxy materials.</w:t>
      </w:r>
      <w:r>
        <w:rPr>
          <w:rFonts w:ascii="Times New Roman" w:hAnsi="Times New Roman"/>
          <w:sz w:val="20"/>
        </w:rPr>
        <w:t xml:space="preserve"> </w:t>
      </w:r>
    </w:p>
    <w:p>
      <w:pPr>
        <w:pStyle w:val="TextBody"/>
        <w:bidi w:val="0"/>
        <w:spacing w:before="0" w:after="0"/>
        <w:jc w:val="both"/>
        <w:rPr/>
      </w:pPr>
      <w:r>
        <w:rPr/>
        <w:t> </w:t>
      </w:r>
    </w:p>
    <w:p>
      <w:pPr>
        <w:pStyle w:val="TextBody"/>
        <w:bidi w:val="0"/>
        <w:spacing w:before="40" w:after="0"/>
        <w:jc w:val="both"/>
        <w:rPr>
          <w:rFonts w:ascii="Times New Roman" w:hAnsi="Times New Roman"/>
          <w:sz w:val="20"/>
        </w:rPr>
      </w:pPr>
      <w:r>
        <w:rPr>
          <w:rFonts w:ascii="Arial;sans-serif" w:hAnsi="Arial;sans-serif"/>
          <w:b w:val="false"/>
          <w:sz w:val="20"/>
        </w:rPr>
        <w:t>The 2023 Annual Meeting will be held for the following purposes:</w:t>
      </w:r>
      <w:r>
        <w:rPr>
          <w:rFonts w:ascii="Times New Roman" w:hAnsi="Times New Roman"/>
          <w:sz w:val="20"/>
        </w:rPr>
        <w:t xml:space="preserve"> </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525"/>
        <w:gridCol w:w="9680"/>
      </w:tblGrid>
      <w:tr>
        <w:trPr/>
        <w:tc>
          <w:tcPr>
            <w:tcW w:w="525" w:type="dxa"/>
            <w:tcBorders/>
            <w:vAlign w:val="center"/>
          </w:tcPr>
          <w:p>
            <w:pPr>
              <w:pStyle w:val="TableContents"/>
              <w:bidi w:val="0"/>
              <w:spacing w:before="0" w:after="283"/>
              <w:jc w:val="left"/>
              <w:rPr>
                <w:sz w:val="4"/>
                <w:szCs w:val="4"/>
              </w:rPr>
            </w:pPr>
            <w:r>
              <w:rPr>
                <w:sz w:val="4"/>
                <w:szCs w:val="4"/>
              </w:rPr>
            </w:r>
          </w:p>
        </w:tc>
        <w:tc>
          <w:tcPr>
            <w:tcW w:w="9680" w:type="dxa"/>
            <w:tcBorders/>
            <w:vAlign w:val="center"/>
          </w:tcPr>
          <w:p>
            <w:pPr>
              <w:pStyle w:val="TableContents"/>
              <w:bidi w:val="0"/>
              <w:spacing w:before="0" w:after="283"/>
              <w:ind w:left="0" w:right="0" w:firstLine="144"/>
              <w:jc w:val="left"/>
              <w:rPr>
                <w:sz w:val="4"/>
                <w:szCs w:val="4"/>
              </w:rPr>
            </w:pPr>
            <w:r>
              <w:rPr>
                <w:sz w:val="4"/>
                <w:szCs w:val="4"/>
              </w:rPr>
            </w:r>
          </w:p>
        </w:tc>
      </w:tr>
      <w:tr>
        <w:trPr/>
        <w:tc>
          <w:tcPr>
            <w:tcW w:w="10205" w:type="dxa"/>
            <w:gridSpan w:val="2"/>
            <w:tcBorders/>
            <w:tcMar>
              <w:top w:w="0" w:type="dxa"/>
              <w:left w:w="0" w:type="dxa"/>
              <w:bottom w:w="0" w:type="dxa"/>
              <w:right w:w="0" w:type="dxa"/>
            </w:tcMar>
            <w:vAlign w:val="center"/>
          </w:tcPr>
          <w:p>
            <w:pPr>
              <w:pStyle w:val="TableContents"/>
              <w:bidi w:val="0"/>
              <w:spacing w:before="78" w:after="0"/>
              <w:ind w:left="0" w:right="0" w:firstLine="144"/>
              <w:jc w:val="both"/>
              <w:rPr>
                <w:rFonts w:ascii="Arial;sans-serif" w:hAnsi="Arial;sans-serif"/>
                <w:b/>
                <w:sz w:val="20"/>
              </w:rPr>
            </w:pPr>
            <w:r>
              <w:rPr>
                <w:rFonts w:ascii="Arial;sans-serif" w:hAnsi="Arial;sans-serif"/>
                <w:b/>
                <w:sz w:val="20"/>
              </w:rPr>
              <w:t>ITEMS OF BUSINESS</w:t>
            </w:r>
          </w:p>
        </w:tc>
      </w:tr>
      <w:tr>
        <w:trPr/>
        <w:tc>
          <w:tcPr>
            <w:tcW w:w="525" w:type="dxa"/>
            <w:tcBorders>
              <w:bottom w:val="single" w:sz="8" w:space="0" w:color="000000"/>
            </w:tcBorders>
            <w:tcMar>
              <w:top w:w="0" w:type="dxa"/>
              <w:left w:w="0" w:type="dxa"/>
              <w:right w:w="0" w:type="dxa"/>
            </w:tcMar>
            <w:vAlign w:val="center"/>
          </w:tcPr>
          <w:p>
            <w:pPr>
              <w:pStyle w:val="TableContents"/>
              <w:bidi w:val="0"/>
              <w:spacing w:before="40" w:after="40"/>
              <w:ind w:left="0" w:right="0" w:firstLine="120"/>
              <w:jc w:val="both"/>
              <w:rPr>
                <w:rFonts w:ascii="Arial;sans-serif" w:hAnsi="Arial;sans-serif"/>
                <w:b w:val="false"/>
                <w:sz w:val="18"/>
              </w:rPr>
            </w:pPr>
            <w:r>
              <w:rPr>
                <w:rFonts w:ascii="Arial;sans-serif" w:hAnsi="Arial;sans-serif"/>
                <w:b w:val="false"/>
                <w:sz w:val="18"/>
              </w:rPr>
              <w:t>1</w:t>
            </w:r>
          </w:p>
        </w:tc>
        <w:tc>
          <w:tcPr>
            <w:tcW w:w="9680" w:type="dxa"/>
            <w:tcBorders>
              <w:bottom w:val="single" w:sz="8" w:space="0" w:color="000000"/>
            </w:tcBorders>
            <w:tcMar>
              <w:top w:w="0" w:type="dxa"/>
              <w:left w:w="0" w:type="dxa"/>
              <w:right w:w="0" w:type="dxa"/>
            </w:tcMar>
            <w:vAlign w:val="center"/>
          </w:tcPr>
          <w:p>
            <w:pPr>
              <w:pStyle w:val="TableContents"/>
              <w:bidi w:val="0"/>
              <w:spacing w:before="40" w:after="40"/>
              <w:ind w:left="0" w:right="0" w:firstLine="144"/>
              <w:jc w:val="both"/>
              <w:rPr>
                <w:rFonts w:ascii="Arial;sans-serif" w:hAnsi="Arial;sans-serif"/>
                <w:b w:val="false"/>
                <w:sz w:val="18"/>
              </w:rPr>
            </w:pPr>
            <w:r>
              <w:rPr>
                <w:rFonts w:ascii="Arial;sans-serif" w:hAnsi="Arial;sans-serif"/>
                <w:b w:val="false"/>
                <w:sz w:val="18"/>
              </w:rPr>
              <w:t>Election of directors</w:t>
            </w:r>
          </w:p>
        </w:tc>
      </w:tr>
      <w:tr>
        <w:trPr/>
        <w:tc>
          <w:tcPr>
            <w:tcW w:w="525" w:type="dxa"/>
            <w:tcBorders>
              <w:bottom w:val="single" w:sz="8" w:space="0" w:color="000000"/>
            </w:tcBorders>
            <w:tcMar>
              <w:top w:w="0" w:type="dxa"/>
              <w:left w:w="0" w:type="dxa"/>
              <w:right w:w="0" w:type="dxa"/>
            </w:tcMar>
            <w:vAlign w:val="center"/>
          </w:tcPr>
          <w:p>
            <w:pPr>
              <w:pStyle w:val="TableContents"/>
              <w:bidi w:val="0"/>
              <w:spacing w:before="40" w:after="40"/>
              <w:ind w:left="0" w:right="0" w:firstLine="120"/>
              <w:jc w:val="both"/>
              <w:rPr>
                <w:rFonts w:ascii="Arial;sans-serif" w:hAnsi="Arial;sans-serif"/>
                <w:b w:val="false"/>
                <w:sz w:val="18"/>
              </w:rPr>
            </w:pPr>
            <w:r>
              <w:rPr>
                <w:rFonts w:ascii="Arial;sans-serif" w:hAnsi="Arial;sans-serif"/>
                <w:b w:val="false"/>
                <w:sz w:val="18"/>
              </w:rPr>
              <w:t>2</w:t>
            </w:r>
          </w:p>
        </w:tc>
        <w:tc>
          <w:tcPr>
            <w:tcW w:w="9680" w:type="dxa"/>
            <w:tcBorders>
              <w:bottom w:val="single" w:sz="8" w:space="0" w:color="000000"/>
            </w:tcBorders>
            <w:tcMar>
              <w:top w:w="0" w:type="dxa"/>
              <w:left w:w="0" w:type="dxa"/>
              <w:right w:w="0" w:type="dxa"/>
            </w:tcMar>
            <w:vAlign w:val="center"/>
          </w:tcPr>
          <w:p>
            <w:pPr>
              <w:pStyle w:val="TableContents"/>
              <w:bidi w:val="0"/>
              <w:spacing w:before="40" w:after="40"/>
              <w:ind w:left="0" w:right="0" w:firstLine="143"/>
              <w:jc w:val="both"/>
              <w:rPr>
                <w:rFonts w:ascii="Arial;sans-serif" w:hAnsi="Arial;sans-serif"/>
                <w:b w:val="false"/>
                <w:sz w:val="18"/>
              </w:rPr>
            </w:pPr>
            <w:r>
              <w:rPr>
                <w:rFonts w:ascii="Arial;sans-serif" w:hAnsi="Arial;sans-serif"/>
                <w:b w:val="false"/>
                <w:sz w:val="18"/>
              </w:rPr>
              <w:t>Advisory vote to approve executive compensation ("say-on-pay")</w:t>
            </w:r>
          </w:p>
        </w:tc>
      </w:tr>
      <w:tr>
        <w:trPr/>
        <w:tc>
          <w:tcPr>
            <w:tcW w:w="525" w:type="dxa"/>
            <w:tcBorders>
              <w:bottom w:val="single" w:sz="8" w:space="0" w:color="000000"/>
            </w:tcBorders>
            <w:tcMar>
              <w:top w:w="0" w:type="dxa"/>
              <w:left w:w="0" w:type="dxa"/>
              <w:right w:w="0" w:type="dxa"/>
            </w:tcMar>
            <w:vAlign w:val="center"/>
          </w:tcPr>
          <w:p>
            <w:pPr>
              <w:pStyle w:val="TableContents"/>
              <w:bidi w:val="0"/>
              <w:spacing w:before="40" w:after="40"/>
              <w:ind w:left="0" w:right="0" w:firstLine="120"/>
              <w:jc w:val="both"/>
              <w:rPr>
                <w:rFonts w:ascii="Arial;sans-serif" w:hAnsi="Arial;sans-serif"/>
                <w:b w:val="false"/>
                <w:sz w:val="18"/>
              </w:rPr>
            </w:pPr>
            <w:r>
              <w:rPr>
                <w:rFonts w:ascii="Arial;sans-serif" w:hAnsi="Arial;sans-serif"/>
                <w:b w:val="false"/>
                <w:sz w:val="18"/>
              </w:rPr>
              <w:t>3</w:t>
            </w:r>
          </w:p>
        </w:tc>
        <w:tc>
          <w:tcPr>
            <w:tcW w:w="9680" w:type="dxa"/>
            <w:tcBorders>
              <w:bottom w:val="single" w:sz="8" w:space="0" w:color="000000"/>
            </w:tcBorders>
            <w:tcMar>
              <w:top w:w="0" w:type="dxa"/>
              <w:left w:w="0" w:type="dxa"/>
              <w:right w:w="0" w:type="dxa"/>
            </w:tcMar>
            <w:vAlign w:val="center"/>
          </w:tcPr>
          <w:p>
            <w:pPr>
              <w:pStyle w:val="TableContents"/>
              <w:bidi w:val="0"/>
              <w:spacing w:before="40" w:after="40"/>
              <w:ind w:left="0" w:right="0" w:firstLine="143"/>
              <w:jc w:val="both"/>
              <w:rPr>
                <w:rFonts w:ascii="Arial;sans-serif" w:hAnsi="Arial;sans-serif"/>
                <w:b w:val="false"/>
                <w:sz w:val="18"/>
              </w:rPr>
            </w:pPr>
            <w:r>
              <w:rPr>
                <w:rFonts w:ascii="Arial;sans-serif" w:hAnsi="Arial;sans-serif"/>
                <w:b w:val="false"/>
                <w:sz w:val="18"/>
              </w:rPr>
              <w:t>Advisory vote on the frequency of future say-on-pay votes</w:t>
            </w:r>
          </w:p>
        </w:tc>
      </w:tr>
      <w:tr>
        <w:trPr/>
        <w:tc>
          <w:tcPr>
            <w:tcW w:w="525" w:type="dxa"/>
            <w:tcBorders>
              <w:bottom w:val="single" w:sz="8" w:space="0" w:color="000000"/>
            </w:tcBorders>
            <w:tcMar>
              <w:top w:w="0" w:type="dxa"/>
              <w:left w:w="0" w:type="dxa"/>
              <w:right w:w="0" w:type="dxa"/>
            </w:tcMar>
            <w:vAlign w:val="center"/>
          </w:tcPr>
          <w:p>
            <w:pPr>
              <w:pStyle w:val="TableContents"/>
              <w:bidi w:val="0"/>
              <w:spacing w:before="40" w:after="40"/>
              <w:ind w:left="0" w:right="0" w:firstLine="120"/>
              <w:jc w:val="both"/>
              <w:rPr>
                <w:rFonts w:ascii="Arial;sans-serif" w:hAnsi="Arial;sans-serif"/>
                <w:b w:val="false"/>
                <w:sz w:val="18"/>
              </w:rPr>
            </w:pPr>
            <w:r>
              <w:rPr>
                <w:rFonts w:ascii="Arial;sans-serif" w:hAnsi="Arial;sans-serif"/>
                <w:b w:val="false"/>
                <w:sz w:val="18"/>
              </w:rPr>
              <w:t>4</w:t>
            </w:r>
          </w:p>
        </w:tc>
        <w:tc>
          <w:tcPr>
            <w:tcW w:w="9680" w:type="dxa"/>
            <w:tcBorders>
              <w:bottom w:val="single" w:sz="8" w:space="0" w:color="000000"/>
            </w:tcBorders>
            <w:tcMar>
              <w:top w:w="0" w:type="dxa"/>
              <w:left w:w="0" w:type="dxa"/>
              <w:right w:w="0" w:type="dxa"/>
            </w:tcMar>
            <w:vAlign w:val="center"/>
          </w:tcPr>
          <w:p>
            <w:pPr>
              <w:pStyle w:val="TableContents"/>
              <w:bidi w:val="0"/>
              <w:spacing w:before="40" w:after="40"/>
              <w:ind w:left="0" w:right="0" w:firstLine="143"/>
              <w:jc w:val="both"/>
              <w:rPr>
                <w:rFonts w:ascii="Arial;sans-serif" w:hAnsi="Arial;sans-serif"/>
                <w:b w:val="false"/>
                <w:sz w:val="18"/>
              </w:rPr>
            </w:pPr>
            <w:r>
              <w:rPr>
                <w:rFonts w:ascii="Arial;sans-serif" w:hAnsi="Arial;sans-serif"/>
                <w:b w:val="false"/>
                <w:sz w:val="18"/>
              </w:rPr>
              <w:t>Ratification of appointment of independent registered public accounting firm</w:t>
            </w:r>
          </w:p>
        </w:tc>
      </w:tr>
      <w:tr>
        <w:trPr/>
        <w:tc>
          <w:tcPr>
            <w:tcW w:w="525" w:type="dxa"/>
            <w:tcBorders>
              <w:bottom w:val="single" w:sz="8" w:space="0" w:color="000000"/>
            </w:tcBorders>
            <w:tcMar>
              <w:top w:w="0" w:type="dxa"/>
              <w:left w:w="0" w:type="dxa"/>
              <w:right w:w="0" w:type="dxa"/>
            </w:tcMar>
            <w:vAlign w:val="center"/>
          </w:tcPr>
          <w:p>
            <w:pPr>
              <w:pStyle w:val="TableContents"/>
              <w:bidi w:val="0"/>
              <w:spacing w:before="40" w:after="40"/>
              <w:ind w:left="0" w:right="0" w:firstLine="120"/>
              <w:jc w:val="both"/>
              <w:rPr>
                <w:rFonts w:ascii="Arial;sans-serif" w:hAnsi="Arial;sans-serif"/>
                <w:b w:val="false"/>
                <w:sz w:val="18"/>
              </w:rPr>
            </w:pPr>
            <w:r>
              <w:rPr>
                <w:rFonts w:ascii="Arial;sans-serif" w:hAnsi="Arial;sans-serif"/>
                <w:b w:val="false"/>
                <w:sz w:val="18"/>
              </w:rPr>
              <w:t>5</w:t>
            </w:r>
          </w:p>
        </w:tc>
        <w:tc>
          <w:tcPr>
            <w:tcW w:w="9680" w:type="dxa"/>
            <w:tcBorders>
              <w:bottom w:val="single" w:sz="8" w:space="0" w:color="000000"/>
            </w:tcBorders>
            <w:tcMar>
              <w:top w:w="0" w:type="dxa"/>
              <w:left w:w="0" w:type="dxa"/>
              <w:right w:w="0" w:type="dxa"/>
            </w:tcMar>
            <w:vAlign w:val="center"/>
          </w:tcPr>
          <w:p>
            <w:pPr>
              <w:pStyle w:val="TableContents"/>
              <w:bidi w:val="0"/>
              <w:spacing w:before="40" w:after="40"/>
              <w:ind w:left="0" w:right="0" w:firstLine="143"/>
              <w:jc w:val="both"/>
              <w:rPr>
                <w:rFonts w:ascii="Arial;sans-serif" w:hAnsi="Arial;sans-serif"/>
                <w:b w:val="false"/>
                <w:sz w:val="18"/>
              </w:rPr>
            </w:pPr>
            <w:r>
              <w:rPr>
                <w:rFonts w:ascii="Arial;sans-serif" w:hAnsi="Arial;sans-serif"/>
                <w:b w:val="false"/>
                <w:sz w:val="18"/>
              </w:rPr>
              <w:t>Advisory vote to call special stockholder meeting</w:t>
            </w:r>
          </w:p>
        </w:tc>
      </w:tr>
      <w:tr>
        <w:trPr/>
        <w:tc>
          <w:tcPr>
            <w:tcW w:w="525" w:type="dxa"/>
            <w:tcBorders>
              <w:bottom w:val="single" w:sz="8" w:space="0" w:color="000000"/>
            </w:tcBorders>
            <w:tcMar>
              <w:top w:w="0" w:type="dxa"/>
              <w:left w:w="0" w:type="dxa"/>
              <w:right w:w="0" w:type="dxa"/>
            </w:tcMar>
            <w:vAlign w:val="center"/>
          </w:tcPr>
          <w:p>
            <w:pPr>
              <w:pStyle w:val="TableContents"/>
              <w:bidi w:val="0"/>
              <w:spacing w:before="40" w:after="40"/>
              <w:ind w:left="0" w:right="0" w:firstLine="120"/>
              <w:jc w:val="both"/>
              <w:rPr>
                <w:rFonts w:ascii="Arial;sans-serif" w:hAnsi="Arial;sans-serif"/>
                <w:b w:val="false"/>
                <w:sz w:val="18"/>
              </w:rPr>
            </w:pPr>
            <w:r>
              <w:rPr>
                <w:rFonts w:ascii="Arial;sans-serif" w:hAnsi="Arial;sans-serif"/>
                <w:b w:val="false"/>
                <w:sz w:val="18"/>
              </w:rPr>
              <w:t>6</w:t>
            </w:r>
          </w:p>
        </w:tc>
        <w:tc>
          <w:tcPr>
            <w:tcW w:w="9680" w:type="dxa"/>
            <w:tcBorders>
              <w:bottom w:val="single" w:sz="8" w:space="0" w:color="000000"/>
            </w:tcBorders>
            <w:tcMar>
              <w:top w:w="0" w:type="dxa"/>
              <w:left w:w="0" w:type="dxa"/>
              <w:right w:w="0" w:type="dxa"/>
            </w:tcMar>
            <w:vAlign w:val="center"/>
          </w:tcPr>
          <w:p>
            <w:pPr>
              <w:pStyle w:val="TableContents"/>
              <w:bidi w:val="0"/>
              <w:spacing w:before="40" w:after="40"/>
              <w:ind w:left="0" w:right="0" w:firstLine="143"/>
              <w:jc w:val="both"/>
              <w:rPr>
                <w:rFonts w:ascii="Arial;sans-serif" w:hAnsi="Arial;sans-serif"/>
                <w:b w:val="false"/>
                <w:sz w:val="18"/>
              </w:rPr>
            </w:pPr>
            <w:r>
              <w:rPr>
                <w:rFonts w:ascii="Arial;sans-serif" w:hAnsi="Arial;sans-serif"/>
                <w:b w:val="false"/>
                <w:sz w:val="18"/>
              </w:rPr>
              <w:t>Ratification of Nevada exclusive forum provision</w:t>
            </w:r>
          </w:p>
        </w:tc>
      </w:tr>
      <w:tr>
        <w:trPr/>
        <w:tc>
          <w:tcPr>
            <w:tcW w:w="525" w:type="dxa"/>
            <w:tcBorders>
              <w:bottom w:val="single" w:sz="8" w:space="0" w:color="000000"/>
            </w:tcBorders>
            <w:tcMar>
              <w:top w:w="0" w:type="dxa"/>
              <w:left w:w="0" w:type="dxa"/>
              <w:right w:w="0" w:type="dxa"/>
            </w:tcMar>
            <w:vAlign w:val="center"/>
          </w:tcPr>
          <w:p>
            <w:pPr>
              <w:pStyle w:val="TableContents"/>
              <w:bidi w:val="0"/>
              <w:spacing w:before="40" w:after="40"/>
              <w:ind w:left="0" w:right="0" w:firstLine="120"/>
              <w:jc w:val="both"/>
              <w:rPr>
                <w:rFonts w:ascii="Arial;sans-serif" w:hAnsi="Arial;sans-serif"/>
                <w:b w:val="false"/>
                <w:sz w:val="18"/>
              </w:rPr>
            </w:pPr>
            <w:r>
              <w:rPr>
                <w:rFonts w:ascii="Arial;sans-serif" w:hAnsi="Arial;sans-serif"/>
                <w:b w:val="false"/>
                <w:sz w:val="18"/>
              </w:rPr>
              <w:t>7</w:t>
            </w:r>
          </w:p>
        </w:tc>
        <w:tc>
          <w:tcPr>
            <w:tcW w:w="9680" w:type="dxa"/>
            <w:tcBorders>
              <w:bottom w:val="single" w:sz="8" w:space="0" w:color="000000"/>
            </w:tcBorders>
            <w:tcMar>
              <w:top w:w="0" w:type="dxa"/>
              <w:left w:w="0" w:type="dxa"/>
              <w:right w:w="0" w:type="dxa"/>
            </w:tcMar>
            <w:vAlign w:val="center"/>
          </w:tcPr>
          <w:p>
            <w:pPr>
              <w:pStyle w:val="TableContents"/>
              <w:bidi w:val="0"/>
              <w:spacing w:before="40" w:after="40"/>
              <w:ind w:left="0" w:right="0" w:firstLine="120"/>
              <w:jc w:val="both"/>
              <w:rPr>
                <w:rFonts w:ascii="Arial;sans-serif" w:hAnsi="Arial;sans-serif"/>
                <w:b w:val="false"/>
                <w:sz w:val="18"/>
              </w:rPr>
            </w:pPr>
            <w:r>
              <w:rPr>
                <w:rFonts w:ascii="Arial;sans-serif" w:hAnsi="Arial;sans-serif"/>
                <w:b w:val="false"/>
                <w:sz w:val="18"/>
              </w:rPr>
              <w:t>Stockholder proposals, if properly presented</w:t>
            </w:r>
          </w:p>
        </w:tc>
      </w:tr>
      <w:tr>
        <w:trPr/>
        <w:tc>
          <w:tcPr>
            <w:tcW w:w="10205" w:type="dxa"/>
            <w:gridSpan w:val="2"/>
            <w:tcBorders>
              <w:bottom w:val="single" w:sz="8" w:space="0" w:color="000000"/>
            </w:tcBorders>
            <w:tcMar>
              <w:top w:w="0" w:type="dxa"/>
              <w:left w:w="0" w:type="dxa"/>
              <w:right w:w="0" w:type="dxa"/>
            </w:tcMar>
            <w:vAlign w:val="center"/>
          </w:tcPr>
          <w:p>
            <w:pPr>
              <w:pStyle w:val="TableContents"/>
              <w:bidi w:val="0"/>
              <w:spacing w:before="40" w:after="40"/>
              <w:ind w:left="120" w:right="0" w:hanging="0"/>
              <w:jc w:val="both"/>
              <w:rPr>
                <w:rFonts w:ascii="Arial;sans-serif" w:hAnsi="Arial;sans-serif"/>
                <w:b w:val="false"/>
                <w:sz w:val="18"/>
              </w:rPr>
            </w:pPr>
            <w:r>
              <w:rPr>
                <w:rFonts w:ascii="Arial;sans-serif" w:hAnsi="Arial;sans-serif"/>
                <w:b w:val="false"/>
                <w:sz w:val="18"/>
              </w:rPr>
              <w:t>And such other business as may properly come before the 2023 Annual Meeting or any adjournment or postponement thereof.</w:t>
            </w:r>
          </w:p>
        </w:tc>
      </w:tr>
    </w:tbl>
    <w:p>
      <w:pPr>
        <w:pStyle w:val="TextBody"/>
        <w:bidi w:val="0"/>
        <w:spacing w:before="0" w:after="0"/>
        <w:jc w:val="both"/>
        <w:rPr/>
      </w:pPr>
      <w:r>
        <w:rPr/>
        <w:t> </w:t>
      </w:r>
    </w:p>
    <w:p>
      <w:pPr>
        <w:pStyle w:val="TextBody"/>
        <w:bidi w:val="0"/>
        <w:spacing w:before="40" w:after="0"/>
        <w:jc w:val="both"/>
        <w:rPr>
          <w:rFonts w:ascii="Arial;sans-serif" w:hAnsi="Arial;sans-serif"/>
          <w:b w:val="false"/>
          <w:sz w:val="20"/>
        </w:rPr>
      </w:pPr>
      <w:r>
        <w:rPr>
          <w:rFonts w:ascii="Arial;sans-serif" w:hAnsi="Arial;sans-serif"/>
          <w:b w:val="false"/>
          <w:sz w:val="20"/>
        </w:rPr>
        <w:t>Stockholders of record at the close of business on July 28, 2023 may vote at the 2023 Annual Meeting.</w:t>
      </w:r>
    </w:p>
    <w:p>
      <w:pPr>
        <w:pStyle w:val="TextBody"/>
        <w:bidi w:val="0"/>
        <w:spacing w:before="0" w:after="0"/>
        <w:jc w:val="both"/>
        <w:rPr/>
      </w:pPr>
      <w:r>
        <w:rPr/>
        <w:t> </w:t>
      </w:r>
    </w:p>
    <w:p>
      <w:pPr>
        <w:pStyle w:val="TextBody"/>
        <w:bidi w:val="0"/>
        <w:spacing w:before="40" w:after="0"/>
        <w:jc w:val="both"/>
        <w:rPr>
          <w:rFonts w:ascii="Arial;sans-serif" w:hAnsi="Arial;sans-serif"/>
          <w:b w:val="false"/>
          <w:sz w:val="20"/>
        </w:rPr>
      </w:pPr>
      <w:r>
        <w:rPr>
          <w:rFonts w:ascii="Arial;sans-serif" w:hAnsi="Arial;sans-serif"/>
          <w:b w:val="false"/>
          <w:sz w:val="20"/>
        </w:rPr>
        <w:t>These proxy materials were first made available to our stockholders on the internet on [ ], 2023.</w:t>
      </w:r>
    </w:p>
    <w:p>
      <w:pPr>
        <w:pStyle w:val="TextBody"/>
        <w:bidi w:val="0"/>
        <w:spacing w:before="0" w:after="0"/>
        <w:jc w:val="both"/>
        <w:rPr/>
      </w:pPr>
      <w:r>
        <w:rPr/>
        <w:t> </w:t>
      </w:r>
    </w:p>
    <w:p>
      <w:pPr>
        <w:pStyle w:val="TextBody"/>
        <w:bidi w:val="0"/>
        <w:spacing w:before="40" w:after="0"/>
        <w:jc w:val="both"/>
        <w:rPr>
          <w:rFonts w:ascii="Arial;sans-serif" w:hAnsi="Arial;sans-serif"/>
          <w:b w:val="false"/>
          <w:sz w:val="20"/>
        </w:rPr>
      </w:pPr>
      <w:r>
        <w:rPr>
          <w:rFonts w:ascii="Arial;sans-serif" w:hAnsi="Arial;sans-serif"/>
          <w:b w:val="false"/>
          <w:sz w:val="20"/>
        </w:rPr>
        <w:t>Sincerely,</w:t>
      </w:r>
    </w:p>
    <w:p>
      <w:pPr>
        <w:pStyle w:val="TextBody"/>
        <w:bidi w:val="0"/>
        <w:spacing w:before="0" w:after="0"/>
        <w:jc w:val="left"/>
        <w:rPr/>
      </w:pPr>
      <w:r>
        <w:rPr/>
        <w:t> </w:t>
      </w:r>
    </w:p>
    <w:p>
      <w:pPr>
        <w:pStyle w:val="TextBody"/>
        <w:bidi w:val="0"/>
        <w:spacing w:before="0" w:after="0"/>
        <w:jc w:val="left"/>
        <w:rPr/>
      </w:pPr>
      <w:r>
        <w:rPr/>
        <w:drawing>
          <wp:inline distT="0" distB="0" distL="0" distR="0">
            <wp:extent cx="1428750" cy="4667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28750" cy="466725"/>
                    </a:xfrm>
                    <a:prstGeom prst="rect">
                      <a:avLst/>
                    </a:prstGeom>
                  </pic:spPr>
                </pic:pic>
              </a:graphicData>
            </a:graphic>
          </wp:inline>
        </w:drawing>
      </w:r>
      <w:r>
        <w:rPr/>
        <w:t> </w:t>
      </w:r>
    </w:p>
    <w:p>
      <w:pPr>
        <w:pStyle w:val="TextBody"/>
        <w:bidi w:val="0"/>
        <w:spacing w:before="0" w:after="0"/>
        <w:jc w:val="left"/>
        <w:rPr/>
      </w:pPr>
      <w:r>
        <w:rPr/>
        <w:t> </w:t>
      </w:r>
    </w:p>
    <w:p>
      <w:pPr>
        <w:pStyle w:val="TextBody"/>
        <w:bidi w:val="0"/>
        <w:spacing w:before="40" w:after="0"/>
        <w:jc w:val="both"/>
        <w:rPr>
          <w:rFonts w:ascii="Arial;sans-serif" w:hAnsi="Arial;sans-serif"/>
          <w:b w:val="false"/>
          <w:sz w:val="20"/>
        </w:rPr>
      </w:pPr>
      <w:r>
        <w:rPr>
          <w:rFonts w:ascii="Arial;sans-serif" w:hAnsi="Arial;sans-serif"/>
          <w:b w:val="false"/>
          <w:sz w:val="20"/>
        </w:rPr>
        <w:t>Kevin A. Maxwell</w:t>
      </w:r>
    </w:p>
    <w:p>
      <w:pPr>
        <w:pStyle w:val="TextBody"/>
        <w:bidi w:val="0"/>
        <w:spacing w:before="0" w:after="0"/>
        <w:jc w:val="both"/>
        <w:rPr>
          <w:rFonts w:ascii="Arial;sans-serif" w:hAnsi="Arial;sans-serif"/>
          <w:b w:val="false"/>
          <w:i/>
          <w:sz w:val="20"/>
        </w:rPr>
      </w:pPr>
      <w:r>
        <w:rPr>
          <w:rFonts w:ascii="Arial;sans-serif" w:hAnsi="Arial;sans-serif"/>
          <w:b w:val="false"/>
          <w:i/>
          <w:sz w:val="20"/>
        </w:rPr>
        <w:t>Senior Vice President,</w:t>
      </w:r>
    </w:p>
    <w:p>
      <w:pPr>
        <w:pStyle w:val="TextBody"/>
        <w:bidi w:val="0"/>
        <w:spacing w:before="0" w:after="0"/>
        <w:jc w:val="both"/>
        <w:rPr>
          <w:rFonts w:ascii="Arial;sans-serif" w:hAnsi="Arial;sans-serif"/>
          <w:b w:val="false"/>
          <w:i/>
          <w:sz w:val="20"/>
        </w:rPr>
      </w:pPr>
      <w:r>
        <w:rPr>
          <w:rFonts w:ascii="Arial;sans-serif" w:hAnsi="Arial;sans-serif"/>
          <w:b w:val="false"/>
          <w:i/>
          <w:sz w:val="20"/>
        </w:rPr>
        <w:t>General Counsel, Chief Compliance Officer, and Secretary</w:t>
      </w:r>
    </w:p>
    <w:p>
      <w:pPr>
        <w:pStyle w:val="TextBody"/>
        <w:bidi w:val="0"/>
        <w:spacing w:before="0" w:after="0"/>
        <w:jc w:val="both"/>
        <w:rPr>
          <w:rFonts w:ascii="Arial;sans-serif" w:hAnsi="Arial;sans-serif"/>
          <w:b w:val="false"/>
          <w:sz w:val="20"/>
        </w:rPr>
      </w:pPr>
      <w:r>
        <w:rPr>
          <w:rFonts w:ascii="Arial;sans-serif" w:hAnsi="Arial;sans-serif"/>
          <w:b w:val="false"/>
          <w:sz w:val="20"/>
        </w:rPr>
        <w:t>[ ], 2023</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pPr>
      <w:r>
        <w:rPr/>
        <w:t> </w:t>
      </w:r>
    </w:p>
    <w:p>
      <w:pPr>
        <w:pStyle w:val="TextBody"/>
        <w:bidi w:val="0"/>
        <w:spacing w:before="0" w:after="240"/>
        <w:jc w:val="both"/>
        <w:rPr>
          <w:rFonts w:ascii="Arial;sans-serif" w:hAnsi="Arial;sans-serif"/>
          <w:b/>
          <w:caps/>
          <w:sz w:val="44"/>
        </w:rPr>
      </w:pPr>
      <w:r>
        <w:rPr>
          <w:rFonts w:ascii="Arial;sans-serif" w:hAnsi="Arial;sans-serif"/>
          <w:b/>
          <w:caps/>
          <w:sz w:val="44"/>
        </w:rPr>
        <w:t>Table of Contents</w:t>
      </w:r>
    </w:p>
    <w:p>
      <w:pPr>
        <w:pStyle w:val="TextBody"/>
        <w:bidi w:val="0"/>
        <w:spacing w:before="0" w:after="0"/>
        <w:jc w:val="both"/>
        <w:rPr/>
      </w:pPr>
      <w:r>
        <w:rPr/>
        <w:t> </w:t>
      </w:r>
    </w:p>
    <w:tbl>
      <w:tblPr>
        <w:tblW w:w="8576" w:type="dxa"/>
        <w:jc w:val="left"/>
        <w:tblInd w:w="0" w:type="dxa"/>
        <w:tblLayout w:type="fixed"/>
        <w:tblCellMar>
          <w:top w:w="28" w:type="dxa"/>
          <w:left w:w="28" w:type="dxa"/>
          <w:bottom w:w="28" w:type="dxa"/>
          <w:right w:w="28" w:type="dxa"/>
        </w:tblCellMar>
      </w:tblPr>
      <w:tblGrid>
        <w:gridCol w:w="8071"/>
        <w:gridCol w:w="505"/>
      </w:tblGrid>
      <w:tr>
        <w:trPr/>
        <w:tc>
          <w:tcPr>
            <w:tcW w:w="807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8071" w:type="dxa"/>
            <w:tcBorders/>
            <w:vAlign w:val="center"/>
          </w:tcPr>
          <w:p>
            <w:pPr>
              <w:pStyle w:val="TableContents"/>
              <w:bidi w:val="0"/>
              <w:spacing w:before="0" w:after="0"/>
              <w:ind w:left="0" w:right="0" w:hanging="0"/>
              <w:jc w:val="left"/>
              <w:rPr/>
            </w:pPr>
            <w:hyperlink w:anchor="proxy_statement_summary">
              <w:r>
                <w:rPr>
                  <w:rStyle w:val="InternetLink"/>
                  <w:rFonts w:ascii="Arial;sans-serif" w:hAnsi="Arial;sans-serif"/>
                  <w:b w:val="false"/>
                  <w:sz w:val="20"/>
                </w:rPr>
                <w:t>Proxy Statement Summary</w:t>
              </w:r>
            </w:hyperlink>
          </w:p>
        </w:tc>
        <w:tc>
          <w:tcPr>
            <w:tcW w:w="50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w:t>
            </w:r>
          </w:p>
        </w:tc>
      </w:tr>
      <w:tr>
        <w:trPr/>
        <w:tc>
          <w:tcPr>
            <w:tcW w:w="8071" w:type="dxa"/>
            <w:tcBorders/>
            <w:vAlign w:val="center"/>
          </w:tcPr>
          <w:p>
            <w:pPr>
              <w:pStyle w:val="TableContents"/>
              <w:bidi w:val="0"/>
              <w:spacing w:before="120" w:after="0"/>
              <w:ind w:left="0" w:right="0" w:hanging="0"/>
              <w:jc w:val="left"/>
              <w:rPr/>
            </w:pPr>
            <w:hyperlink w:anchor="board_and_governance_matters">
              <w:r>
                <w:rPr>
                  <w:rStyle w:val="InternetLink"/>
                  <w:rFonts w:ascii="Arial;sans-serif" w:hAnsi="Arial;sans-serif"/>
                  <w:b w:val="false"/>
                  <w:sz w:val="20"/>
                </w:rPr>
                <w:t>Board And Governance Matters</w:t>
              </w:r>
            </w:hyperlink>
          </w:p>
        </w:tc>
        <w:tc>
          <w:tcPr>
            <w:tcW w:w="505" w:type="dxa"/>
            <w:tcBorders/>
            <w:vAlign w:val="center"/>
          </w:tcPr>
          <w:p>
            <w:pPr>
              <w:pStyle w:val="TableContents"/>
              <w:bidi w:val="0"/>
              <w:spacing w:before="120" w:after="0"/>
              <w:ind w:left="0" w:right="0" w:hanging="0"/>
              <w:jc w:val="right"/>
              <w:rPr>
                <w:rFonts w:ascii="Arial;sans-serif" w:hAnsi="Arial;sans-serif"/>
                <w:b w:val="false"/>
                <w:sz w:val="20"/>
              </w:rPr>
            </w:pPr>
            <w:r>
              <w:rPr>
                <w:rFonts w:ascii="Arial;sans-serif" w:hAnsi="Arial;sans-serif"/>
                <w:b w:val="false"/>
                <w:sz w:val="20"/>
              </w:rPr>
              <w:t>3</w:t>
            </w:r>
          </w:p>
        </w:tc>
      </w:tr>
      <w:tr>
        <w:trPr/>
        <w:tc>
          <w:tcPr>
            <w:tcW w:w="8071" w:type="dxa"/>
            <w:tcBorders/>
            <w:vAlign w:val="center"/>
          </w:tcPr>
          <w:p>
            <w:pPr>
              <w:pStyle w:val="TableContents"/>
              <w:bidi w:val="0"/>
              <w:spacing w:before="120" w:after="0"/>
              <w:ind w:left="0" w:right="0" w:firstLine="144"/>
              <w:jc w:val="both"/>
              <w:rPr/>
            </w:pPr>
            <w:hyperlink w:anchor="board_and_governance_matters">
              <w:r>
                <w:rPr>
                  <w:rStyle w:val="InternetLink"/>
                  <w:rFonts w:ascii="Arial;sans-serif" w:hAnsi="Arial;sans-serif"/>
                  <w:b w:val="false"/>
                  <w:sz w:val="20"/>
                </w:rPr>
                <w:t>Proposal One – Election of Directors</w:t>
              </w:r>
            </w:hyperlink>
          </w:p>
        </w:tc>
        <w:tc>
          <w:tcPr>
            <w:tcW w:w="505" w:type="dxa"/>
            <w:tcBorders/>
            <w:vAlign w:val="center"/>
          </w:tcPr>
          <w:p>
            <w:pPr>
              <w:pStyle w:val="TableContents"/>
              <w:bidi w:val="0"/>
              <w:spacing w:before="120" w:after="0"/>
              <w:ind w:left="0" w:right="0" w:hanging="0"/>
              <w:jc w:val="right"/>
              <w:rPr>
                <w:rFonts w:ascii="Arial;sans-serif" w:hAnsi="Arial;sans-serif"/>
                <w:b w:val="false"/>
                <w:sz w:val="20"/>
              </w:rPr>
            </w:pPr>
            <w:r>
              <w:rPr>
                <w:rFonts w:ascii="Arial;sans-serif" w:hAnsi="Arial;sans-serif"/>
                <w:b w:val="false"/>
                <w:sz w:val="20"/>
              </w:rPr>
              <w:t>3</w:t>
            </w:r>
          </w:p>
        </w:tc>
      </w:tr>
      <w:tr>
        <w:trPr/>
        <w:tc>
          <w:tcPr>
            <w:tcW w:w="8071" w:type="dxa"/>
            <w:tcBorders/>
            <w:vAlign w:val="center"/>
          </w:tcPr>
          <w:p>
            <w:pPr>
              <w:pStyle w:val="TableContents"/>
              <w:bidi w:val="0"/>
              <w:spacing w:before="120" w:after="0"/>
              <w:ind w:left="0" w:right="0" w:hanging="0"/>
              <w:jc w:val="left"/>
              <w:rPr/>
            </w:pPr>
            <w:hyperlink w:anchor="compensation_matters">
              <w:r>
                <w:rPr>
                  <w:rStyle w:val="InternetLink"/>
                  <w:rFonts w:ascii="Arial;sans-serif" w:hAnsi="Arial;sans-serif"/>
                  <w:b w:val="false"/>
                  <w:sz w:val="20"/>
                </w:rPr>
                <w:t>Compensation Matters</w:t>
              </w:r>
            </w:hyperlink>
          </w:p>
        </w:tc>
        <w:tc>
          <w:tcPr>
            <w:tcW w:w="505" w:type="dxa"/>
            <w:tcBorders/>
            <w:vAlign w:val="center"/>
          </w:tcPr>
          <w:p>
            <w:pPr>
              <w:pStyle w:val="TableContents"/>
              <w:bidi w:val="0"/>
              <w:spacing w:before="120" w:after="0"/>
              <w:ind w:left="0" w:right="0" w:hanging="0"/>
              <w:jc w:val="right"/>
              <w:rPr>
                <w:rFonts w:ascii="Arial;sans-serif" w:hAnsi="Arial;sans-serif"/>
                <w:b w:val="false"/>
                <w:sz w:val="20"/>
              </w:rPr>
            </w:pPr>
            <w:r>
              <w:rPr>
                <w:rFonts w:ascii="Arial;sans-serif" w:hAnsi="Arial;sans-serif"/>
                <w:b w:val="false"/>
                <w:sz w:val="20"/>
              </w:rPr>
              <w:t>16</w:t>
            </w:r>
          </w:p>
        </w:tc>
      </w:tr>
      <w:tr>
        <w:trPr/>
        <w:tc>
          <w:tcPr>
            <w:tcW w:w="8071" w:type="dxa"/>
            <w:tcBorders/>
            <w:vAlign w:val="center"/>
          </w:tcPr>
          <w:p>
            <w:pPr>
              <w:pStyle w:val="TableContents"/>
              <w:bidi w:val="0"/>
              <w:spacing w:before="120" w:after="0"/>
              <w:ind w:left="0" w:right="0" w:firstLine="144"/>
              <w:jc w:val="both"/>
              <w:rPr/>
            </w:pPr>
            <w:hyperlink w:anchor="praposal_2">
              <w:r>
                <w:rPr>
                  <w:rStyle w:val="InternetLink"/>
                  <w:rFonts w:ascii="Arial;sans-serif" w:hAnsi="Arial;sans-serif"/>
                  <w:b w:val="false"/>
                  <w:sz w:val="20"/>
                </w:rPr>
                <w:t>Proposal Two – Advisory Vote on Executive Compensation</w:t>
              </w:r>
            </w:hyperlink>
          </w:p>
        </w:tc>
        <w:tc>
          <w:tcPr>
            <w:tcW w:w="505" w:type="dxa"/>
            <w:tcBorders/>
            <w:vAlign w:val="center"/>
          </w:tcPr>
          <w:p>
            <w:pPr>
              <w:pStyle w:val="TableContents"/>
              <w:bidi w:val="0"/>
              <w:spacing w:before="120" w:after="0"/>
              <w:ind w:left="0" w:right="0" w:hanging="0"/>
              <w:jc w:val="right"/>
              <w:rPr>
                <w:rFonts w:ascii="Arial;sans-serif" w:hAnsi="Arial;sans-serif"/>
                <w:b w:val="false"/>
                <w:sz w:val="20"/>
              </w:rPr>
            </w:pPr>
            <w:r>
              <w:rPr>
                <w:rFonts w:ascii="Arial;sans-serif" w:hAnsi="Arial;sans-serif"/>
                <w:b w:val="false"/>
                <w:sz w:val="20"/>
              </w:rPr>
              <w:t>16</w:t>
            </w:r>
          </w:p>
        </w:tc>
      </w:tr>
      <w:tr>
        <w:trPr/>
        <w:tc>
          <w:tcPr>
            <w:tcW w:w="8071" w:type="dxa"/>
            <w:tcBorders/>
            <w:vAlign w:val="center"/>
          </w:tcPr>
          <w:p>
            <w:pPr>
              <w:pStyle w:val="TableContents"/>
              <w:bidi w:val="0"/>
              <w:spacing w:before="120" w:after="0"/>
              <w:ind w:left="0" w:right="0" w:firstLine="144"/>
              <w:jc w:val="both"/>
              <w:rPr/>
            </w:pPr>
            <w:hyperlink w:anchor="proposal_3">
              <w:r>
                <w:rPr>
                  <w:rStyle w:val="InternetLink"/>
                  <w:rFonts w:ascii="Arial;sans-serif" w:hAnsi="Arial;sans-serif"/>
                  <w:b w:val="false"/>
                  <w:sz w:val="20"/>
                </w:rPr>
                <w:t>Proposal Three – Advisory Vote on Frequency of Future Say-on-Pay Votes</w:t>
              </w:r>
            </w:hyperlink>
          </w:p>
        </w:tc>
        <w:tc>
          <w:tcPr>
            <w:tcW w:w="505" w:type="dxa"/>
            <w:tcBorders/>
            <w:vAlign w:val="center"/>
          </w:tcPr>
          <w:p>
            <w:pPr>
              <w:pStyle w:val="TableContents"/>
              <w:bidi w:val="0"/>
              <w:spacing w:before="120" w:after="0"/>
              <w:ind w:left="0" w:right="0" w:hanging="0"/>
              <w:jc w:val="right"/>
              <w:rPr>
                <w:rFonts w:ascii="Arial;sans-serif" w:hAnsi="Arial;sans-serif"/>
                <w:b w:val="false"/>
                <w:sz w:val="20"/>
              </w:rPr>
            </w:pPr>
            <w:r>
              <w:rPr>
                <w:rFonts w:ascii="Arial;sans-serif" w:hAnsi="Arial;sans-serif"/>
                <w:b w:val="false"/>
                <w:sz w:val="20"/>
              </w:rPr>
              <w:t>17</w:t>
            </w:r>
          </w:p>
        </w:tc>
      </w:tr>
      <w:tr>
        <w:trPr/>
        <w:tc>
          <w:tcPr>
            <w:tcW w:w="8071" w:type="dxa"/>
            <w:tcBorders/>
            <w:vAlign w:val="center"/>
          </w:tcPr>
          <w:p>
            <w:pPr>
              <w:pStyle w:val="TableContents"/>
              <w:bidi w:val="0"/>
              <w:spacing w:before="120" w:after="0"/>
              <w:ind w:left="0" w:right="0" w:firstLine="144"/>
              <w:jc w:val="both"/>
              <w:rPr/>
            </w:pPr>
            <w:hyperlink w:anchor="compensation_discussion_analysis">
              <w:r>
                <w:rPr>
                  <w:rStyle w:val="InternetLink"/>
                  <w:rFonts w:ascii="Arial;sans-serif" w:hAnsi="Arial;sans-serif"/>
                  <w:b w:val="false"/>
                  <w:sz w:val="20"/>
                </w:rPr>
                <w:t>Compensation Discussion And Analysis</w:t>
              </w:r>
            </w:hyperlink>
          </w:p>
        </w:tc>
        <w:tc>
          <w:tcPr>
            <w:tcW w:w="505" w:type="dxa"/>
            <w:tcBorders/>
            <w:vAlign w:val="center"/>
          </w:tcPr>
          <w:p>
            <w:pPr>
              <w:pStyle w:val="TableContents"/>
              <w:bidi w:val="0"/>
              <w:spacing w:before="120" w:after="0"/>
              <w:ind w:left="0" w:right="0" w:hanging="0"/>
              <w:jc w:val="right"/>
              <w:rPr>
                <w:rFonts w:ascii="Arial;sans-serif" w:hAnsi="Arial;sans-serif"/>
                <w:b w:val="false"/>
                <w:sz w:val="20"/>
              </w:rPr>
            </w:pPr>
            <w:r>
              <w:rPr>
                <w:rFonts w:ascii="Arial;sans-serif" w:hAnsi="Arial;sans-serif"/>
                <w:b w:val="false"/>
                <w:sz w:val="20"/>
              </w:rPr>
              <w:t>18</w:t>
            </w:r>
          </w:p>
        </w:tc>
      </w:tr>
      <w:tr>
        <w:trPr/>
        <w:tc>
          <w:tcPr>
            <w:tcW w:w="8071" w:type="dxa"/>
            <w:tcBorders/>
            <w:vAlign w:val="center"/>
          </w:tcPr>
          <w:p>
            <w:pPr>
              <w:pStyle w:val="TableContents"/>
              <w:bidi w:val="0"/>
              <w:spacing w:before="120" w:after="0"/>
              <w:ind w:left="0" w:right="0" w:hanging="0"/>
              <w:jc w:val="both"/>
              <w:rPr/>
            </w:pPr>
            <w:hyperlink w:anchor="executive_compensation">
              <w:r>
                <w:rPr>
                  <w:rStyle w:val="InternetLink"/>
                  <w:rFonts w:ascii="Arial;sans-serif" w:hAnsi="Arial;sans-serif"/>
                  <w:b w:val="false"/>
                  <w:sz w:val="20"/>
                </w:rPr>
                <w:t>Executive Compensation</w:t>
              </w:r>
            </w:hyperlink>
          </w:p>
        </w:tc>
        <w:tc>
          <w:tcPr>
            <w:tcW w:w="505" w:type="dxa"/>
            <w:tcBorders/>
            <w:vAlign w:val="center"/>
          </w:tcPr>
          <w:p>
            <w:pPr>
              <w:pStyle w:val="TableContents"/>
              <w:bidi w:val="0"/>
              <w:spacing w:before="120" w:after="0"/>
              <w:ind w:left="0" w:right="0" w:hanging="0"/>
              <w:jc w:val="right"/>
              <w:rPr>
                <w:rFonts w:ascii="Arial;sans-serif" w:hAnsi="Arial;sans-serif"/>
                <w:b w:val="false"/>
                <w:sz w:val="20"/>
              </w:rPr>
            </w:pPr>
            <w:r>
              <w:rPr>
                <w:rFonts w:ascii="Arial;sans-serif" w:hAnsi="Arial;sans-serif"/>
                <w:b w:val="false"/>
                <w:sz w:val="20"/>
              </w:rPr>
              <w:t>31</w:t>
            </w:r>
          </w:p>
        </w:tc>
      </w:tr>
      <w:tr>
        <w:trPr/>
        <w:tc>
          <w:tcPr>
            <w:tcW w:w="8071" w:type="dxa"/>
            <w:tcBorders/>
            <w:vAlign w:val="center"/>
          </w:tcPr>
          <w:p>
            <w:pPr>
              <w:pStyle w:val="TableContents"/>
              <w:bidi w:val="0"/>
              <w:spacing w:before="120" w:after="0"/>
              <w:ind w:left="0" w:right="0" w:hanging="0"/>
              <w:jc w:val="both"/>
              <w:rPr/>
            </w:pPr>
            <w:hyperlink w:anchor="audit_matters">
              <w:r>
                <w:rPr>
                  <w:rStyle w:val="InternetLink"/>
                  <w:rFonts w:ascii="Arial;sans-serif" w:hAnsi="Arial;sans-serif"/>
                  <w:b w:val="false"/>
                  <w:sz w:val="20"/>
                </w:rPr>
                <w:t>Audit Matters</w:t>
              </w:r>
            </w:hyperlink>
          </w:p>
        </w:tc>
        <w:tc>
          <w:tcPr>
            <w:tcW w:w="505" w:type="dxa"/>
            <w:tcBorders/>
            <w:vAlign w:val="center"/>
          </w:tcPr>
          <w:p>
            <w:pPr>
              <w:pStyle w:val="TableContents"/>
              <w:bidi w:val="0"/>
              <w:spacing w:before="120" w:after="0"/>
              <w:ind w:left="0" w:right="0" w:firstLine="144"/>
              <w:jc w:val="right"/>
              <w:rPr>
                <w:rFonts w:ascii="Arial;sans-serif" w:hAnsi="Arial;sans-serif"/>
                <w:b w:val="false"/>
                <w:sz w:val="20"/>
              </w:rPr>
            </w:pPr>
            <w:r>
              <w:rPr>
                <w:rFonts w:ascii="Arial;sans-serif" w:hAnsi="Arial;sans-serif"/>
                <w:b w:val="false"/>
                <w:sz w:val="20"/>
              </w:rPr>
              <w:t>44</w:t>
            </w:r>
          </w:p>
        </w:tc>
      </w:tr>
      <w:tr>
        <w:trPr/>
        <w:tc>
          <w:tcPr>
            <w:tcW w:w="8071" w:type="dxa"/>
            <w:tcBorders/>
            <w:vAlign w:val="center"/>
          </w:tcPr>
          <w:p>
            <w:pPr>
              <w:pStyle w:val="TableContents"/>
              <w:bidi w:val="0"/>
              <w:spacing w:before="120" w:after="0"/>
              <w:ind w:left="144" w:right="0" w:hanging="0"/>
              <w:jc w:val="both"/>
              <w:rPr/>
            </w:pPr>
            <w:hyperlink w:anchor="proposal_four_ratification_appointment_i">
              <w:r>
                <w:rPr>
                  <w:rStyle w:val="InternetLink"/>
                  <w:rFonts w:ascii="Arial;sans-serif" w:hAnsi="Arial;sans-serif"/>
                  <w:b w:val="false"/>
                  <w:sz w:val="20"/>
                </w:rPr>
                <w:t>Proposal Four – Ratification Of Appointment Of Independent Registered Public Accountant</w:t>
              </w:r>
            </w:hyperlink>
          </w:p>
        </w:tc>
        <w:tc>
          <w:tcPr>
            <w:tcW w:w="505" w:type="dxa"/>
            <w:tcBorders/>
            <w:vAlign w:val="center"/>
          </w:tcPr>
          <w:p>
            <w:pPr>
              <w:pStyle w:val="TableContents"/>
              <w:bidi w:val="0"/>
              <w:spacing w:before="120" w:after="0"/>
              <w:ind w:left="0" w:right="0" w:hanging="0"/>
              <w:jc w:val="right"/>
              <w:rPr>
                <w:rFonts w:ascii="Arial;sans-serif" w:hAnsi="Arial;sans-serif"/>
                <w:b w:val="false"/>
                <w:sz w:val="20"/>
              </w:rPr>
            </w:pPr>
            <w:r>
              <w:rPr>
                <w:rFonts w:ascii="Arial;sans-serif" w:hAnsi="Arial;sans-serif"/>
                <w:b w:val="false"/>
                <w:sz w:val="20"/>
              </w:rPr>
              <w:t>44</w:t>
            </w:r>
          </w:p>
        </w:tc>
      </w:tr>
      <w:tr>
        <w:trPr/>
        <w:tc>
          <w:tcPr>
            <w:tcW w:w="8071" w:type="dxa"/>
            <w:tcBorders/>
            <w:vAlign w:val="center"/>
          </w:tcPr>
          <w:p>
            <w:pPr>
              <w:pStyle w:val="TableContents"/>
              <w:bidi w:val="0"/>
              <w:spacing w:before="120" w:after="0"/>
              <w:ind w:left="0" w:right="0" w:hanging="0"/>
              <w:jc w:val="both"/>
              <w:rPr/>
            </w:pPr>
            <w:hyperlink w:anchor="management_proposal">
              <w:r>
                <w:rPr>
                  <w:rStyle w:val="InternetLink"/>
                  <w:rFonts w:ascii="Arial;sans-serif" w:hAnsi="Arial;sans-serif"/>
                  <w:b w:val="false"/>
                  <w:sz w:val="20"/>
                </w:rPr>
                <w:t>Management Proposals</w:t>
              </w:r>
            </w:hyperlink>
          </w:p>
        </w:tc>
        <w:tc>
          <w:tcPr>
            <w:tcW w:w="505" w:type="dxa"/>
            <w:tcBorders/>
            <w:vAlign w:val="center"/>
          </w:tcPr>
          <w:p>
            <w:pPr>
              <w:pStyle w:val="TableContents"/>
              <w:bidi w:val="0"/>
              <w:spacing w:before="120" w:after="0"/>
              <w:ind w:left="0" w:right="0" w:firstLine="144"/>
              <w:jc w:val="right"/>
              <w:rPr>
                <w:rFonts w:ascii="Arial;sans-serif" w:hAnsi="Arial;sans-serif"/>
                <w:b w:val="false"/>
                <w:sz w:val="20"/>
              </w:rPr>
            </w:pPr>
            <w:r>
              <w:rPr>
                <w:rFonts w:ascii="Arial;sans-serif" w:hAnsi="Arial;sans-serif"/>
                <w:b w:val="false"/>
                <w:sz w:val="20"/>
              </w:rPr>
              <w:t>46</w:t>
            </w:r>
          </w:p>
        </w:tc>
      </w:tr>
      <w:tr>
        <w:trPr/>
        <w:tc>
          <w:tcPr>
            <w:tcW w:w="8071" w:type="dxa"/>
            <w:tcBorders/>
            <w:vAlign w:val="center"/>
          </w:tcPr>
          <w:p>
            <w:pPr>
              <w:pStyle w:val="TableContents"/>
              <w:bidi w:val="0"/>
              <w:spacing w:before="120" w:after="0"/>
              <w:ind w:left="144" w:right="0" w:hanging="0"/>
              <w:jc w:val="both"/>
              <w:rPr/>
            </w:pPr>
            <w:hyperlink w:anchor="proposal_5">
              <w:r>
                <w:rPr>
                  <w:rStyle w:val="InternetLink"/>
                  <w:rFonts w:ascii="Arial;sans-serif" w:hAnsi="Arial;sans-serif"/>
                  <w:b w:val="false"/>
                  <w:sz w:val="20"/>
                </w:rPr>
                <w:t>Proposal Five – Management Proposal (Advisory Vote to Call Special Stockholder Meeting)</w:t>
              </w:r>
            </w:hyperlink>
          </w:p>
        </w:tc>
        <w:tc>
          <w:tcPr>
            <w:tcW w:w="505" w:type="dxa"/>
            <w:tcBorders/>
            <w:vAlign w:val="center"/>
          </w:tcPr>
          <w:p>
            <w:pPr>
              <w:pStyle w:val="TableContents"/>
              <w:bidi w:val="0"/>
              <w:spacing w:before="120" w:after="0"/>
              <w:ind w:left="0" w:right="0" w:firstLine="144"/>
              <w:jc w:val="right"/>
              <w:rPr>
                <w:rFonts w:ascii="Arial;sans-serif" w:hAnsi="Arial;sans-serif"/>
                <w:b w:val="false"/>
                <w:sz w:val="20"/>
              </w:rPr>
            </w:pPr>
            <w:r>
              <w:rPr>
                <w:rFonts w:ascii="Arial;sans-serif" w:hAnsi="Arial;sans-serif"/>
                <w:b w:val="false"/>
                <w:sz w:val="20"/>
              </w:rPr>
              <w:t>46</w:t>
            </w:r>
          </w:p>
        </w:tc>
      </w:tr>
      <w:tr>
        <w:trPr/>
        <w:tc>
          <w:tcPr>
            <w:tcW w:w="8071" w:type="dxa"/>
            <w:tcBorders/>
            <w:vAlign w:val="center"/>
          </w:tcPr>
          <w:p>
            <w:pPr>
              <w:pStyle w:val="TableContents"/>
              <w:bidi w:val="0"/>
              <w:spacing w:before="120" w:after="0"/>
              <w:ind w:left="144" w:right="0" w:hanging="0"/>
              <w:jc w:val="both"/>
              <w:rPr/>
            </w:pPr>
            <w:hyperlink w:anchor="proposal_6">
              <w:r>
                <w:rPr>
                  <w:rStyle w:val="InternetLink"/>
                  <w:rFonts w:ascii="Arial;sans-serif" w:hAnsi="Arial;sans-serif"/>
                  <w:b w:val="false"/>
                  <w:sz w:val="20"/>
                </w:rPr>
                <w:t>Proposal Six – Management Proposal (Ratification of Nevada Exclusive Forum Provision)</w:t>
              </w:r>
            </w:hyperlink>
          </w:p>
        </w:tc>
        <w:tc>
          <w:tcPr>
            <w:tcW w:w="505" w:type="dxa"/>
            <w:tcBorders/>
            <w:vAlign w:val="center"/>
          </w:tcPr>
          <w:p>
            <w:pPr>
              <w:pStyle w:val="TableContents"/>
              <w:bidi w:val="0"/>
              <w:spacing w:before="120" w:after="0"/>
              <w:ind w:left="0" w:right="0" w:hanging="0"/>
              <w:jc w:val="right"/>
              <w:rPr>
                <w:rFonts w:ascii="Arial;sans-serif" w:hAnsi="Arial;sans-serif"/>
                <w:b w:val="false"/>
                <w:sz w:val="20"/>
              </w:rPr>
            </w:pPr>
            <w:r>
              <w:rPr>
                <w:rFonts w:ascii="Arial;sans-serif" w:hAnsi="Arial;sans-serif"/>
                <w:b w:val="false"/>
                <w:sz w:val="20"/>
              </w:rPr>
              <w:t>48</w:t>
            </w:r>
          </w:p>
        </w:tc>
      </w:tr>
      <w:tr>
        <w:trPr/>
        <w:tc>
          <w:tcPr>
            <w:tcW w:w="8071" w:type="dxa"/>
            <w:tcBorders/>
            <w:vAlign w:val="center"/>
          </w:tcPr>
          <w:p>
            <w:pPr>
              <w:pStyle w:val="TableContents"/>
              <w:bidi w:val="0"/>
              <w:spacing w:before="120" w:after="0"/>
              <w:ind w:left="0" w:right="0" w:hanging="0"/>
              <w:jc w:val="both"/>
              <w:rPr/>
            </w:pPr>
            <w:hyperlink w:anchor="stockholder_proposals">
              <w:r>
                <w:rPr>
                  <w:rStyle w:val="InternetLink"/>
                  <w:rFonts w:ascii="Arial;sans-serif" w:hAnsi="Arial;sans-serif"/>
                  <w:b w:val="false"/>
                  <w:sz w:val="20"/>
                </w:rPr>
                <w:t>Stockholder Proposals</w:t>
              </w:r>
            </w:hyperlink>
          </w:p>
        </w:tc>
        <w:tc>
          <w:tcPr>
            <w:tcW w:w="505" w:type="dxa"/>
            <w:tcBorders/>
            <w:vAlign w:val="center"/>
          </w:tcPr>
          <w:p>
            <w:pPr>
              <w:pStyle w:val="TableContents"/>
              <w:bidi w:val="0"/>
              <w:spacing w:before="120" w:after="0"/>
              <w:ind w:left="0" w:right="0" w:firstLine="144"/>
              <w:jc w:val="right"/>
              <w:rPr>
                <w:rFonts w:ascii="Arial;sans-serif" w:hAnsi="Arial;sans-serif"/>
                <w:b w:val="false"/>
                <w:sz w:val="20"/>
              </w:rPr>
            </w:pPr>
            <w:r>
              <w:rPr>
                <w:rFonts w:ascii="Arial;sans-serif" w:hAnsi="Arial;sans-serif"/>
                <w:b w:val="false"/>
                <w:sz w:val="20"/>
              </w:rPr>
              <w:t>50</w:t>
            </w:r>
          </w:p>
        </w:tc>
      </w:tr>
      <w:tr>
        <w:trPr/>
        <w:tc>
          <w:tcPr>
            <w:tcW w:w="8071" w:type="dxa"/>
            <w:tcBorders/>
            <w:vAlign w:val="center"/>
          </w:tcPr>
          <w:p>
            <w:pPr>
              <w:pStyle w:val="TableContents"/>
              <w:bidi w:val="0"/>
              <w:spacing w:before="120" w:after="0"/>
              <w:ind w:left="144" w:right="0" w:hanging="0"/>
              <w:jc w:val="both"/>
              <w:rPr/>
            </w:pPr>
            <w:hyperlink w:anchor="proposal_7">
              <w:r>
                <w:rPr>
                  <w:rStyle w:val="InternetLink"/>
                  <w:rFonts w:ascii="Arial;sans-serif" w:hAnsi="Arial;sans-serif"/>
                  <w:b w:val="false"/>
                  <w:sz w:val="20"/>
                </w:rPr>
                <w:t>Proposal Seven – Stockholder Proposal (Right to Call A Special Shareholder Meeting)</w:t>
              </w:r>
            </w:hyperlink>
          </w:p>
        </w:tc>
        <w:tc>
          <w:tcPr>
            <w:tcW w:w="505" w:type="dxa"/>
            <w:tcBorders/>
            <w:vAlign w:val="center"/>
          </w:tcPr>
          <w:p>
            <w:pPr>
              <w:pStyle w:val="TableContents"/>
              <w:bidi w:val="0"/>
              <w:spacing w:before="120" w:after="0"/>
              <w:ind w:left="0" w:right="0" w:firstLine="144"/>
              <w:jc w:val="right"/>
              <w:rPr>
                <w:rFonts w:ascii="Arial;sans-serif" w:hAnsi="Arial;sans-serif"/>
                <w:b w:val="false"/>
                <w:sz w:val="20"/>
              </w:rPr>
            </w:pPr>
            <w:r>
              <w:rPr>
                <w:rFonts w:ascii="Arial;sans-serif" w:hAnsi="Arial;sans-serif"/>
                <w:b w:val="false"/>
                <w:sz w:val="20"/>
              </w:rPr>
              <w:t>50</w:t>
            </w:r>
          </w:p>
        </w:tc>
      </w:tr>
      <w:tr>
        <w:trPr/>
        <w:tc>
          <w:tcPr>
            <w:tcW w:w="8071" w:type="dxa"/>
            <w:tcBorders/>
            <w:vAlign w:val="center"/>
          </w:tcPr>
          <w:p>
            <w:pPr>
              <w:pStyle w:val="TableContents"/>
              <w:bidi w:val="0"/>
              <w:spacing w:before="120" w:after="0"/>
              <w:ind w:left="144" w:right="0" w:hanging="0"/>
              <w:jc w:val="both"/>
              <w:rPr/>
            </w:pPr>
            <w:hyperlink w:anchor="proposal_8">
              <w:r>
                <w:rPr>
                  <w:rStyle w:val="InternetLink"/>
                  <w:rFonts w:ascii="Arial;sans-serif" w:hAnsi="Arial;sans-serif"/>
                  <w:b w:val="false"/>
                  <w:sz w:val="20"/>
                </w:rPr>
                <w:t>Proposal Eight – Stockholder Proposal (Human Rights Impact Assessment)</w:t>
              </w:r>
            </w:hyperlink>
          </w:p>
        </w:tc>
        <w:tc>
          <w:tcPr>
            <w:tcW w:w="505" w:type="dxa"/>
            <w:tcBorders/>
            <w:vAlign w:val="center"/>
          </w:tcPr>
          <w:p>
            <w:pPr>
              <w:pStyle w:val="TableContents"/>
              <w:bidi w:val="0"/>
              <w:spacing w:before="120" w:after="0"/>
              <w:ind w:left="0" w:right="0" w:hanging="0"/>
              <w:jc w:val="right"/>
              <w:rPr>
                <w:rFonts w:ascii="Arial;sans-serif" w:hAnsi="Arial;sans-serif"/>
                <w:b w:val="false"/>
                <w:sz w:val="20"/>
              </w:rPr>
            </w:pPr>
            <w:r>
              <w:rPr>
                <w:rFonts w:ascii="Arial;sans-serif" w:hAnsi="Arial;sans-serif"/>
                <w:b w:val="false"/>
                <w:sz w:val="20"/>
              </w:rPr>
              <w:t>52</w:t>
            </w:r>
          </w:p>
        </w:tc>
      </w:tr>
      <w:tr>
        <w:trPr/>
        <w:tc>
          <w:tcPr>
            <w:tcW w:w="8071" w:type="dxa"/>
            <w:tcBorders/>
            <w:vAlign w:val="center"/>
          </w:tcPr>
          <w:p>
            <w:pPr>
              <w:pStyle w:val="TableContents"/>
              <w:bidi w:val="0"/>
              <w:spacing w:before="120" w:after="0"/>
              <w:ind w:left="0" w:right="0" w:hanging="0"/>
              <w:jc w:val="both"/>
              <w:rPr/>
            </w:pPr>
            <w:hyperlink w:anchor="or_important_information">
              <w:r>
                <w:rPr>
                  <w:rStyle w:val="InternetLink"/>
                  <w:rFonts w:ascii="Arial;sans-serif" w:hAnsi="Arial;sans-serif"/>
                  <w:b w:val="false"/>
                  <w:sz w:val="20"/>
                </w:rPr>
                <w:t>Other Important Information</w:t>
              </w:r>
            </w:hyperlink>
          </w:p>
        </w:tc>
        <w:tc>
          <w:tcPr>
            <w:tcW w:w="505" w:type="dxa"/>
            <w:tcBorders/>
            <w:vAlign w:val="center"/>
          </w:tcPr>
          <w:p>
            <w:pPr>
              <w:pStyle w:val="TableContents"/>
              <w:bidi w:val="0"/>
              <w:spacing w:before="120" w:after="0"/>
              <w:ind w:left="0" w:right="0" w:hanging="0"/>
              <w:jc w:val="right"/>
              <w:rPr>
                <w:rFonts w:ascii="Arial;sans-serif" w:hAnsi="Arial;sans-serif"/>
                <w:b w:val="false"/>
                <w:sz w:val="20"/>
              </w:rPr>
            </w:pPr>
            <w:r>
              <w:rPr>
                <w:rFonts w:ascii="Arial;sans-serif" w:hAnsi="Arial;sans-serif"/>
                <w:b w:val="false"/>
                <w:sz w:val="20"/>
              </w:rPr>
              <w:t>57</w:t>
            </w:r>
          </w:p>
        </w:tc>
      </w:tr>
      <w:tr>
        <w:trPr/>
        <w:tc>
          <w:tcPr>
            <w:tcW w:w="8071" w:type="dxa"/>
            <w:tcBorders/>
            <w:vAlign w:val="center"/>
          </w:tcPr>
          <w:p>
            <w:pPr>
              <w:pStyle w:val="TableContents"/>
              <w:bidi w:val="0"/>
              <w:spacing w:before="120" w:after="0"/>
              <w:ind w:left="0" w:right="0" w:firstLine="144"/>
              <w:jc w:val="both"/>
              <w:rPr/>
            </w:pPr>
            <w:hyperlink w:anchor="beneficial_ownership_of_common_stock">
              <w:r>
                <w:rPr>
                  <w:rStyle w:val="InternetLink"/>
                  <w:rFonts w:ascii="Arial;sans-serif" w:hAnsi="Arial;sans-serif"/>
                  <w:b w:val="false"/>
                  <w:sz w:val="20"/>
                </w:rPr>
                <w:t>Beneficial Ownership of Common Stock</w:t>
              </w:r>
            </w:hyperlink>
          </w:p>
        </w:tc>
        <w:tc>
          <w:tcPr>
            <w:tcW w:w="505" w:type="dxa"/>
            <w:tcBorders/>
            <w:vAlign w:val="center"/>
          </w:tcPr>
          <w:p>
            <w:pPr>
              <w:pStyle w:val="TableContents"/>
              <w:bidi w:val="0"/>
              <w:spacing w:before="120" w:after="0"/>
              <w:ind w:left="0" w:right="0" w:hanging="0"/>
              <w:jc w:val="right"/>
              <w:rPr>
                <w:rFonts w:ascii="Arial;sans-serif" w:hAnsi="Arial;sans-serif"/>
                <w:b w:val="false"/>
                <w:sz w:val="20"/>
              </w:rPr>
            </w:pPr>
            <w:r>
              <w:rPr>
                <w:rFonts w:ascii="Arial;sans-serif" w:hAnsi="Arial;sans-serif"/>
                <w:b w:val="false"/>
                <w:sz w:val="20"/>
              </w:rPr>
              <w:t>57</w:t>
            </w:r>
          </w:p>
        </w:tc>
      </w:tr>
      <w:tr>
        <w:trPr/>
        <w:tc>
          <w:tcPr>
            <w:tcW w:w="8071" w:type="dxa"/>
            <w:tcBorders/>
            <w:vAlign w:val="center"/>
          </w:tcPr>
          <w:p>
            <w:pPr>
              <w:pStyle w:val="TableContents"/>
              <w:bidi w:val="0"/>
              <w:spacing w:before="120" w:after="0"/>
              <w:ind w:left="0" w:right="0" w:firstLine="144"/>
              <w:jc w:val="both"/>
              <w:rPr/>
            </w:pPr>
            <w:hyperlink w:anchor="annual_report_on_form_10k">
              <w:r>
                <w:rPr>
                  <w:rStyle w:val="InternetLink"/>
                  <w:rFonts w:ascii="Arial;sans-serif" w:hAnsi="Arial;sans-serif"/>
                  <w:b w:val="false"/>
                  <w:sz w:val="20"/>
                </w:rPr>
                <w:t>Annual Report on Form 10-K</w:t>
              </w:r>
            </w:hyperlink>
          </w:p>
        </w:tc>
        <w:tc>
          <w:tcPr>
            <w:tcW w:w="505" w:type="dxa"/>
            <w:tcBorders/>
            <w:vAlign w:val="center"/>
          </w:tcPr>
          <w:p>
            <w:pPr>
              <w:pStyle w:val="TableContents"/>
              <w:bidi w:val="0"/>
              <w:spacing w:before="120" w:after="0"/>
              <w:ind w:left="0" w:right="0" w:hanging="0"/>
              <w:jc w:val="right"/>
              <w:rPr>
                <w:rFonts w:ascii="Arial;sans-serif" w:hAnsi="Arial;sans-serif"/>
                <w:b w:val="false"/>
                <w:sz w:val="20"/>
              </w:rPr>
            </w:pPr>
            <w:r>
              <w:rPr>
                <w:rFonts w:ascii="Arial;sans-serif" w:hAnsi="Arial;sans-serif"/>
                <w:b w:val="false"/>
                <w:sz w:val="20"/>
              </w:rPr>
              <w:t>58</w:t>
            </w:r>
          </w:p>
        </w:tc>
      </w:tr>
      <w:tr>
        <w:trPr/>
        <w:tc>
          <w:tcPr>
            <w:tcW w:w="8071" w:type="dxa"/>
            <w:tcBorders/>
            <w:vAlign w:val="center"/>
          </w:tcPr>
          <w:p>
            <w:pPr>
              <w:pStyle w:val="TableContents"/>
              <w:bidi w:val="0"/>
              <w:spacing w:before="120" w:after="0"/>
              <w:ind w:left="0" w:right="0" w:firstLine="144"/>
              <w:jc w:val="both"/>
              <w:rPr/>
            </w:pPr>
            <w:hyperlink w:anchor="delinquent_section_16a_reports">
              <w:r>
                <w:rPr>
                  <w:rStyle w:val="InternetLink"/>
                  <w:rFonts w:ascii="Arial;sans-serif" w:hAnsi="Arial;sans-serif"/>
                  <w:b w:val="false"/>
                  <w:sz w:val="20"/>
                </w:rPr>
                <w:t>Delinquent Section 16(a) Reports</w:t>
              </w:r>
            </w:hyperlink>
          </w:p>
        </w:tc>
        <w:tc>
          <w:tcPr>
            <w:tcW w:w="505" w:type="dxa"/>
            <w:tcBorders/>
            <w:vAlign w:val="center"/>
          </w:tcPr>
          <w:p>
            <w:pPr>
              <w:pStyle w:val="TableContents"/>
              <w:bidi w:val="0"/>
              <w:spacing w:before="120" w:after="0"/>
              <w:ind w:left="0" w:right="0" w:hanging="0"/>
              <w:jc w:val="right"/>
              <w:rPr>
                <w:rFonts w:ascii="Arial;sans-serif" w:hAnsi="Arial;sans-serif"/>
                <w:b w:val="false"/>
                <w:sz w:val="20"/>
              </w:rPr>
            </w:pPr>
            <w:r>
              <w:rPr>
                <w:rFonts w:ascii="Arial;sans-serif" w:hAnsi="Arial;sans-serif"/>
                <w:b w:val="false"/>
                <w:sz w:val="20"/>
              </w:rPr>
              <w:t>58</w:t>
            </w:r>
          </w:p>
        </w:tc>
      </w:tr>
      <w:tr>
        <w:trPr/>
        <w:tc>
          <w:tcPr>
            <w:tcW w:w="8071" w:type="dxa"/>
            <w:tcBorders/>
            <w:vAlign w:val="center"/>
          </w:tcPr>
          <w:p>
            <w:pPr>
              <w:pStyle w:val="TableContents"/>
              <w:bidi w:val="0"/>
              <w:spacing w:before="120" w:after="0"/>
              <w:ind w:left="0" w:right="0" w:firstLine="144"/>
              <w:jc w:val="both"/>
              <w:rPr/>
            </w:pPr>
            <w:hyperlink w:anchor="frequently_asked_questions">
              <w:r>
                <w:rPr>
                  <w:rStyle w:val="InternetLink"/>
                  <w:rFonts w:ascii="Arial;sans-serif" w:hAnsi="Arial;sans-serif"/>
                  <w:b w:val="false"/>
                  <w:sz w:val="20"/>
                </w:rPr>
                <w:t>Frequently Asked Questions Regarding the 2023 Annual Meeting and Voting</w:t>
              </w:r>
            </w:hyperlink>
          </w:p>
        </w:tc>
        <w:tc>
          <w:tcPr>
            <w:tcW w:w="505" w:type="dxa"/>
            <w:tcBorders/>
            <w:vAlign w:val="center"/>
          </w:tcPr>
          <w:p>
            <w:pPr>
              <w:pStyle w:val="TableContents"/>
              <w:bidi w:val="0"/>
              <w:spacing w:before="120" w:after="0"/>
              <w:ind w:left="0" w:right="0" w:hanging="0"/>
              <w:jc w:val="right"/>
              <w:rPr>
                <w:rFonts w:ascii="Arial;sans-serif" w:hAnsi="Arial;sans-serif"/>
                <w:b w:val="false"/>
                <w:sz w:val="20"/>
              </w:rPr>
            </w:pPr>
            <w:r>
              <w:rPr>
                <w:rFonts w:ascii="Arial;sans-serif" w:hAnsi="Arial;sans-serif"/>
                <w:b w:val="false"/>
                <w:sz w:val="20"/>
              </w:rPr>
              <w:t>58</w:t>
            </w:r>
          </w:p>
        </w:tc>
      </w:tr>
    </w:tbl>
    <w:p>
      <w:pPr>
        <w:pStyle w:val="TextBody"/>
        <w:bidi w:val="0"/>
        <w:spacing w:before="0" w:after="0"/>
        <w:jc w:val="both"/>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Arial;sans-serif" w:hAnsi="Arial;sans-serif"/>
          <w:b/>
          <w:caps/>
          <w:sz w:val="44"/>
        </w:rPr>
      </w:pPr>
      <w:bookmarkStart w:id="2" w:name="proxy_statement_summary"/>
      <w:bookmarkEnd w:id="2"/>
      <w:r>
        <w:rPr>
          <w:rFonts w:ascii="Arial;sans-serif" w:hAnsi="Arial;sans-serif"/>
          <w:b/>
          <w:caps/>
          <w:sz w:val="44"/>
        </w:rPr>
        <w:t>PROXY STATEMENT SUMMARY</w:t>
      </w:r>
    </w:p>
    <w:p>
      <w:pPr>
        <w:pStyle w:val="TextBody"/>
        <w:bidi w:val="0"/>
        <w:spacing w:before="0" w:after="240"/>
        <w:jc w:val="both"/>
        <w:rPr>
          <w:rFonts w:ascii="Arial;sans-serif" w:hAnsi="Arial;sans-serif"/>
          <w:b w:val="false"/>
          <w:sz w:val="20"/>
        </w:rPr>
      </w:pPr>
      <w:r>
        <w:rPr>
          <w:rFonts w:ascii="Arial;sans-serif" w:hAnsi="Arial;sans-serif"/>
          <w:b w:val="false"/>
          <w:sz w:val="20"/>
        </w:rPr>
        <w:t>This summary highlights information contained elsewhere in this Proxy Statement. You should read this entire Proxy Statement carefully before voting.</w:t>
      </w:r>
    </w:p>
    <w:tbl>
      <w:tblPr>
        <w:tblW w:w="8175" w:type="dxa"/>
        <w:jc w:val="left"/>
        <w:tblInd w:w="0" w:type="dxa"/>
        <w:tblLayout w:type="fixed"/>
        <w:tblCellMar>
          <w:top w:w="28" w:type="dxa"/>
          <w:left w:w="28" w:type="dxa"/>
          <w:bottom w:w="28" w:type="dxa"/>
          <w:right w:w="28" w:type="dxa"/>
        </w:tblCellMar>
      </w:tblPr>
      <w:tblGrid>
        <w:gridCol w:w="2182"/>
        <w:gridCol w:w="161"/>
        <w:gridCol w:w="750"/>
        <w:gridCol w:w="750"/>
        <w:gridCol w:w="1005"/>
        <w:gridCol w:w="1005"/>
        <w:gridCol w:w="1005"/>
        <w:gridCol w:w="1317"/>
      </w:tblGrid>
      <w:tr>
        <w:trPr/>
        <w:tc>
          <w:tcPr>
            <w:tcW w:w="218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2182" w:type="dxa"/>
            <w:tcBorders/>
            <w:vAlign w:val="center"/>
          </w:tcPr>
          <w:p>
            <w:pPr>
              <w:pStyle w:val="TableContents"/>
              <w:bidi w:val="0"/>
              <w:spacing w:before="0" w:after="0"/>
              <w:ind w:left="0" w:right="0" w:hanging="0"/>
              <w:jc w:val="both"/>
              <w:rPr/>
            </w:pPr>
            <w:r>
              <w:rPr/>
              <w:t> </w:t>
            </w:r>
          </w:p>
        </w:tc>
        <w:tc>
          <w:tcPr>
            <w:tcW w:w="911" w:type="dxa"/>
            <w:gridSpan w:val="2"/>
            <w:tcBorders/>
            <w:vAlign w:val="center"/>
          </w:tcPr>
          <w:p>
            <w:pPr>
              <w:pStyle w:val="TableContents"/>
              <w:bidi w:val="0"/>
              <w:spacing w:before="0" w:after="0"/>
              <w:ind w:left="0" w:right="0" w:hanging="0"/>
              <w:jc w:val="both"/>
              <w:rPr/>
            </w:pPr>
            <w:r>
              <w:rPr/>
              <w:t> </w:t>
            </w:r>
          </w:p>
        </w:tc>
        <w:tc>
          <w:tcPr>
            <w:tcW w:w="5082" w:type="dxa"/>
            <w:gridSpan w:val="5"/>
            <w:tcBorders/>
            <w:vAlign w:val="center"/>
          </w:tcPr>
          <w:p>
            <w:pPr>
              <w:pStyle w:val="TableContents"/>
              <w:bidi w:val="0"/>
              <w:spacing w:before="0" w:after="0"/>
              <w:ind w:left="0" w:right="0" w:hanging="0"/>
              <w:jc w:val="both"/>
              <w:rPr/>
            </w:pPr>
            <w:r>
              <w:rPr/>
              <w:t> </w:t>
            </w:r>
          </w:p>
        </w:tc>
      </w:tr>
      <w:tr>
        <w:trPr/>
        <w:tc>
          <w:tcPr>
            <w:tcW w:w="8175" w:type="dxa"/>
            <w:gridSpan w:val="8"/>
            <w:tcBorders/>
            <w:vAlign w:val="center"/>
          </w:tcPr>
          <w:p>
            <w:pPr>
              <w:pStyle w:val="TableContents"/>
              <w:bidi w:val="0"/>
              <w:spacing w:before="0" w:after="0"/>
              <w:ind w:left="0" w:right="0" w:hanging="0"/>
              <w:jc w:val="both"/>
              <w:rPr>
                <w:rFonts w:ascii="Arial;sans-serif" w:hAnsi="Arial;sans-serif"/>
                <w:b/>
                <w:sz w:val="28"/>
              </w:rPr>
            </w:pPr>
            <w:r>
              <w:rPr>
                <w:rFonts w:ascii="Arial;sans-serif" w:hAnsi="Arial;sans-serif"/>
                <w:b/>
                <w:sz w:val="28"/>
              </w:rPr>
              <w:t>MEETING INFORMATION</w:t>
            </w:r>
          </w:p>
        </w:tc>
      </w:tr>
      <w:tr>
        <w:trPr/>
        <w:tc>
          <w:tcPr>
            <w:tcW w:w="2182" w:type="dxa"/>
            <w:tcBorders/>
            <w:vAlign w:val="center"/>
          </w:tcPr>
          <w:p>
            <w:pPr>
              <w:pStyle w:val="TableContents"/>
              <w:bidi w:val="0"/>
              <w:spacing w:before="0" w:after="0"/>
              <w:ind w:left="0" w:right="0" w:hanging="0"/>
              <w:jc w:val="both"/>
              <w:rPr/>
            </w:pPr>
            <w:r>
              <w:rPr/>
              <w:t> </w:t>
            </w:r>
          </w:p>
        </w:tc>
        <w:tc>
          <w:tcPr>
            <w:tcW w:w="5993" w:type="dxa"/>
            <w:gridSpan w:val="7"/>
            <w:tcBorders/>
            <w:vAlign w:val="center"/>
          </w:tcPr>
          <w:p>
            <w:pPr>
              <w:pStyle w:val="TableContents"/>
              <w:bidi w:val="0"/>
              <w:spacing w:before="0" w:after="0"/>
              <w:ind w:left="0" w:right="0" w:hanging="0"/>
              <w:jc w:val="both"/>
              <w:rPr/>
            </w:pPr>
            <w:r>
              <w:rPr/>
              <w:t> </w:t>
            </w:r>
          </w:p>
        </w:tc>
      </w:tr>
      <w:tr>
        <w:trPr/>
        <w:tc>
          <w:tcPr>
            <w:tcW w:w="2182" w:type="dxa"/>
            <w:tcBorders/>
            <w:vAlign w:val="center"/>
          </w:tcPr>
          <w:p>
            <w:pPr>
              <w:pStyle w:val="TableContents"/>
              <w:bidi w:val="0"/>
              <w:spacing w:before="0" w:after="0"/>
              <w:ind w:left="0" w:right="0" w:hanging="0"/>
              <w:jc w:val="both"/>
              <w:rPr/>
            </w:pPr>
            <w:r>
              <w:rPr/>
              <w:t>  </w:t>
            </w:r>
            <w:r>
              <w:rPr>
                <w:rFonts w:ascii="Arial;sans-serif" w:hAnsi="Arial;sans-serif"/>
                <w:b/>
                <w:sz w:val="18"/>
              </w:rPr>
              <w:t>Time and Date</w:t>
            </w:r>
          </w:p>
        </w:tc>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5832" w:type="dxa"/>
            <w:gridSpan w:val="6"/>
            <w:tcBorders/>
            <w:vAlign w:val="center"/>
          </w:tcPr>
          <w:p>
            <w:pPr>
              <w:pStyle w:val="TableContents"/>
              <w:bidi w:val="0"/>
              <w:spacing w:before="0" w:after="0"/>
              <w:ind w:left="0" w:right="0" w:hanging="0"/>
              <w:jc w:val="both"/>
              <w:rPr>
                <w:rFonts w:ascii="Arial;sans-serif" w:hAnsi="Arial;sans-serif"/>
                <w:b w:val="false"/>
                <w:sz w:val="18"/>
              </w:rPr>
            </w:pPr>
            <w:r>
              <w:rPr>
                <w:rFonts w:ascii="Arial;sans-serif" w:hAnsi="Arial;sans-serif"/>
                <w:b w:val="false"/>
                <w:sz w:val="18"/>
              </w:rPr>
              <w:t>10:00 a.m., Eastern Time, on Tuesday, September 19, 2023</w:t>
            </w:r>
          </w:p>
        </w:tc>
      </w:tr>
      <w:tr>
        <w:trPr/>
        <w:tc>
          <w:tcPr>
            <w:tcW w:w="2182" w:type="dxa"/>
            <w:tcBorders/>
            <w:vAlign w:val="center"/>
          </w:tcPr>
          <w:p>
            <w:pPr>
              <w:pStyle w:val="TableContents"/>
              <w:bidi w:val="0"/>
              <w:spacing w:before="0" w:after="0"/>
              <w:ind w:left="0" w:right="0" w:hanging="0"/>
              <w:jc w:val="both"/>
              <w:rPr/>
            </w:pPr>
            <w:r>
              <w:rPr/>
              <w:t> </w:t>
            </w:r>
          </w:p>
        </w:tc>
        <w:tc>
          <w:tcPr>
            <w:tcW w:w="5993" w:type="dxa"/>
            <w:gridSpan w:val="7"/>
            <w:tcBorders/>
            <w:vAlign w:val="center"/>
          </w:tcPr>
          <w:p>
            <w:pPr>
              <w:pStyle w:val="TableContents"/>
              <w:bidi w:val="0"/>
              <w:spacing w:before="0" w:after="0"/>
              <w:ind w:left="0" w:right="0" w:hanging="0"/>
              <w:jc w:val="both"/>
              <w:rPr/>
            </w:pPr>
            <w:r>
              <w:rPr/>
              <w:t> </w:t>
            </w:r>
          </w:p>
        </w:tc>
      </w:tr>
      <w:tr>
        <w:trPr/>
        <w:tc>
          <w:tcPr>
            <w:tcW w:w="2182" w:type="dxa"/>
            <w:tcBorders/>
            <w:vAlign w:val="center"/>
          </w:tcPr>
          <w:p>
            <w:pPr>
              <w:pStyle w:val="TableContents"/>
              <w:bidi w:val="0"/>
              <w:spacing w:before="0" w:after="0"/>
              <w:ind w:left="0" w:right="0" w:hanging="0"/>
              <w:jc w:val="both"/>
              <w:rPr/>
            </w:pPr>
            <w:r>
              <w:rPr/>
              <w:t>  </w:t>
            </w:r>
            <w:r>
              <w:rPr>
                <w:rFonts w:ascii="Arial;sans-serif" w:hAnsi="Arial;sans-serif"/>
                <w:b/>
                <w:sz w:val="18"/>
              </w:rPr>
              <w:t>Location</w:t>
            </w:r>
          </w:p>
        </w:tc>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5832" w:type="dxa"/>
            <w:gridSpan w:val="6"/>
            <w:tcBorders/>
            <w:vAlign w:val="center"/>
          </w:tcPr>
          <w:p>
            <w:pPr>
              <w:pStyle w:val="TableContents"/>
              <w:bidi w:val="0"/>
              <w:spacing w:before="0" w:after="0"/>
              <w:ind w:left="0" w:right="0" w:hanging="0"/>
              <w:jc w:val="both"/>
              <w:rPr>
                <w:rFonts w:ascii="Arial;sans-serif" w:hAnsi="Arial;sans-serif"/>
                <w:b w:val="false"/>
                <w:sz w:val="18"/>
              </w:rPr>
            </w:pPr>
            <w:r>
              <w:rPr>
                <w:rFonts w:ascii="Arial;sans-serif" w:hAnsi="Arial;sans-serif"/>
                <w:b w:val="false"/>
                <w:sz w:val="18"/>
              </w:rPr>
              <w:t>Online via webcast at www.virtualshareholdermeeting.com/SWBI2023</w:t>
            </w:r>
          </w:p>
        </w:tc>
      </w:tr>
      <w:tr>
        <w:trPr/>
        <w:tc>
          <w:tcPr>
            <w:tcW w:w="2182" w:type="dxa"/>
            <w:tcBorders/>
            <w:vAlign w:val="center"/>
          </w:tcPr>
          <w:p>
            <w:pPr>
              <w:pStyle w:val="TableContents"/>
              <w:bidi w:val="0"/>
              <w:spacing w:before="0" w:after="0"/>
              <w:ind w:left="0" w:right="0" w:hanging="0"/>
              <w:jc w:val="both"/>
              <w:rPr/>
            </w:pPr>
            <w:r>
              <w:rPr/>
              <w:t> </w:t>
            </w:r>
          </w:p>
        </w:tc>
        <w:tc>
          <w:tcPr>
            <w:tcW w:w="5993" w:type="dxa"/>
            <w:gridSpan w:val="7"/>
            <w:tcBorders/>
            <w:vAlign w:val="center"/>
          </w:tcPr>
          <w:p>
            <w:pPr>
              <w:pStyle w:val="TableContents"/>
              <w:bidi w:val="0"/>
              <w:spacing w:before="0" w:after="0"/>
              <w:ind w:left="0" w:right="0" w:hanging="0"/>
              <w:jc w:val="both"/>
              <w:rPr/>
            </w:pPr>
            <w:r>
              <w:rPr/>
              <w:t> </w:t>
            </w:r>
          </w:p>
        </w:tc>
      </w:tr>
      <w:tr>
        <w:trPr/>
        <w:tc>
          <w:tcPr>
            <w:tcW w:w="2182" w:type="dxa"/>
            <w:tcBorders/>
            <w:vAlign w:val="center"/>
          </w:tcPr>
          <w:p>
            <w:pPr>
              <w:pStyle w:val="TableContents"/>
              <w:bidi w:val="0"/>
              <w:spacing w:before="0" w:after="0"/>
              <w:ind w:left="0" w:right="0" w:hanging="0"/>
              <w:jc w:val="both"/>
              <w:rPr/>
            </w:pPr>
            <w:r>
              <w:rPr/>
              <w:t>  </w:t>
            </w:r>
            <w:r>
              <w:rPr>
                <w:rFonts w:ascii="Arial;sans-serif" w:hAnsi="Arial;sans-serif"/>
                <w:b/>
                <w:sz w:val="18"/>
              </w:rPr>
              <w:t>Record Date</w:t>
            </w:r>
          </w:p>
        </w:tc>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5832" w:type="dxa"/>
            <w:gridSpan w:val="6"/>
            <w:tcBorders/>
            <w:vAlign w:val="center"/>
          </w:tcPr>
          <w:p>
            <w:pPr>
              <w:pStyle w:val="TableContents"/>
              <w:bidi w:val="0"/>
              <w:spacing w:before="0" w:after="0"/>
              <w:ind w:left="0" w:right="0" w:hanging="0"/>
              <w:jc w:val="both"/>
              <w:rPr>
                <w:rFonts w:ascii="Arial;sans-serif" w:hAnsi="Arial;sans-serif"/>
                <w:b w:val="false"/>
                <w:sz w:val="18"/>
              </w:rPr>
            </w:pPr>
            <w:r>
              <w:rPr>
                <w:rFonts w:ascii="Arial;sans-serif" w:hAnsi="Arial;sans-serif"/>
                <w:b w:val="false"/>
                <w:sz w:val="18"/>
              </w:rPr>
              <w:t>July 28, 2023</w:t>
            </w:r>
          </w:p>
        </w:tc>
      </w:tr>
      <w:tr>
        <w:trPr/>
        <w:tc>
          <w:tcPr>
            <w:tcW w:w="3843" w:type="dxa"/>
            <w:gridSpan w:val="4"/>
            <w:tcBorders/>
            <w:vAlign w:val="center"/>
          </w:tcPr>
          <w:p>
            <w:pPr>
              <w:pStyle w:val="TableContents"/>
              <w:bidi w:val="0"/>
              <w:spacing w:before="0" w:after="0"/>
              <w:ind w:left="0" w:right="0" w:hanging="0"/>
              <w:jc w:val="both"/>
              <w:rPr/>
            </w:pPr>
            <w:r>
              <w:rPr/>
              <w:t> </w:t>
            </w:r>
          </w:p>
        </w:tc>
        <w:tc>
          <w:tcPr>
            <w:tcW w:w="1005" w:type="dxa"/>
            <w:tcBorders/>
            <w:vAlign w:val="center"/>
          </w:tcPr>
          <w:p>
            <w:pPr>
              <w:pStyle w:val="TableContents"/>
              <w:bidi w:val="0"/>
              <w:spacing w:before="0" w:after="0"/>
              <w:ind w:left="0" w:right="0" w:hanging="0"/>
              <w:jc w:val="both"/>
              <w:rPr/>
            </w:pPr>
            <w:r>
              <w:rPr/>
              <w:t> </w:t>
            </w:r>
          </w:p>
        </w:tc>
        <w:tc>
          <w:tcPr>
            <w:tcW w:w="1005" w:type="dxa"/>
            <w:tcBorders/>
            <w:vAlign w:val="center"/>
          </w:tcPr>
          <w:p>
            <w:pPr>
              <w:pStyle w:val="TableContents"/>
              <w:bidi w:val="0"/>
              <w:spacing w:before="0" w:after="0"/>
              <w:ind w:left="0" w:right="0" w:hanging="0"/>
              <w:jc w:val="both"/>
              <w:rPr/>
            </w:pPr>
            <w:r>
              <w:rPr/>
              <w:t> </w:t>
            </w:r>
          </w:p>
        </w:tc>
        <w:tc>
          <w:tcPr>
            <w:tcW w:w="1005" w:type="dxa"/>
            <w:tcBorders/>
            <w:vAlign w:val="center"/>
          </w:tcPr>
          <w:p>
            <w:pPr>
              <w:pStyle w:val="TableContents"/>
              <w:bidi w:val="0"/>
              <w:spacing w:before="0" w:after="0"/>
              <w:ind w:left="0" w:right="0" w:hanging="0"/>
              <w:jc w:val="both"/>
              <w:rPr/>
            </w:pPr>
            <w:r>
              <w:rPr/>
              <w:t> </w:t>
            </w:r>
          </w:p>
        </w:tc>
        <w:tc>
          <w:tcPr>
            <w:tcW w:w="1317" w:type="dxa"/>
            <w:tcBorders/>
            <w:vAlign w:val="center"/>
          </w:tcPr>
          <w:p>
            <w:pPr>
              <w:pStyle w:val="TableContents"/>
              <w:bidi w:val="0"/>
              <w:spacing w:before="0" w:after="0"/>
              <w:ind w:left="0" w:right="0" w:hanging="0"/>
              <w:jc w:val="both"/>
              <w:rPr/>
            </w:pPr>
            <w:r>
              <w:rPr/>
              <w:t> </w:t>
            </w:r>
          </w:p>
        </w:tc>
      </w:tr>
      <w:tr>
        <w:trPr/>
        <w:tc>
          <w:tcPr>
            <w:tcW w:w="3843" w:type="dxa"/>
            <w:gridSpan w:val="4"/>
            <w:tcBorders/>
            <w:vAlign w:val="center"/>
          </w:tcPr>
          <w:p>
            <w:pPr>
              <w:pStyle w:val="TableContents"/>
              <w:bidi w:val="0"/>
              <w:spacing w:before="0" w:after="0"/>
              <w:ind w:left="0" w:right="0" w:hanging="0"/>
              <w:jc w:val="both"/>
              <w:rPr>
                <w:rFonts w:ascii="Arial;sans-serif" w:hAnsi="Arial;sans-serif"/>
                <w:b/>
                <w:sz w:val="28"/>
              </w:rPr>
            </w:pPr>
            <w:r>
              <w:rPr>
                <w:rFonts w:ascii="Arial;sans-serif" w:hAnsi="Arial;sans-serif"/>
                <w:b/>
                <w:sz w:val="28"/>
              </w:rPr>
              <w:t>MEETING AGENDA</w:t>
            </w:r>
          </w:p>
        </w:tc>
        <w:tc>
          <w:tcPr>
            <w:tcW w:w="1005" w:type="dxa"/>
            <w:tcBorders/>
            <w:vAlign w:val="center"/>
          </w:tcPr>
          <w:p>
            <w:pPr>
              <w:pStyle w:val="TableContents"/>
              <w:bidi w:val="0"/>
              <w:spacing w:before="0" w:after="283"/>
              <w:ind w:left="0" w:right="0" w:hanging="0"/>
              <w:jc w:val="left"/>
              <w:rPr>
                <w:sz w:val="4"/>
                <w:szCs w:val="4"/>
              </w:rPr>
            </w:pPr>
            <w:r>
              <w:rPr>
                <w:sz w:val="4"/>
                <w:szCs w:val="4"/>
              </w:rPr>
            </w:r>
          </w:p>
        </w:tc>
        <w:tc>
          <w:tcPr>
            <w:tcW w:w="1005" w:type="dxa"/>
            <w:tcBorders/>
            <w:vAlign w:val="center"/>
          </w:tcPr>
          <w:p>
            <w:pPr>
              <w:pStyle w:val="TableContents"/>
              <w:bidi w:val="0"/>
              <w:spacing w:before="0" w:after="0"/>
              <w:ind w:left="0" w:right="0" w:hanging="0"/>
              <w:jc w:val="both"/>
              <w:rPr/>
            </w:pPr>
            <w:r>
              <w:rPr/>
              <w:t> </w:t>
            </w:r>
          </w:p>
        </w:tc>
        <w:tc>
          <w:tcPr>
            <w:tcW w:w="1005" w:type="dxa"/>
            <w:tcBorders/>
            <w:vAlign w:val="center"/>
          </w:tcPr>
          <w:p>
            <w:pPr>
              <w:pStyle w:val="TableContents"/>
              <w:bidi w:val="0"/>
              <w:spacing w:before="0" w:after="283"/>
              <w:ind w:left="0" w:right="0" w:hanging="0"/>
              <w:jc w:val="left"/>
              <w:rPr>
                <w:sz w:val="4"/>
                <w:szCs w:val="4"/>
              </w:rPr>
            </w:pPr>
            <w:r>
              <w:rPr>
                <w:sz w:val="4"/>
                <w:szCs w:val="4"/>
              </w:rPr>
            </w:r>
          </w:p>
        </w:tc>
        <w:tc>
          <w:tcPr>
            <w:tcW w:w="1317" w:type="dxa"/>
            <w:tcBorders/>
            <w:vAlign w:val="center"/>
          </w:tcPr>
          <w:p>
            <w:pPr>
              <w:pStyle w:val="TableContents"/>
              <w:bidi w:val="0"/>
              <w:spacing w:before="0" w:after="0"/>
              <w:ind w:left="0" w:right="0" w:hanging="0"/>
              <w:jc w:val="both"/>
              <w:rPr/>
            </w:pPr>
            <w:r>
              <w:rPr/>
              <w:t> </w:t>
            </w:r>
          </w:p>
        </w:tc>
      </w:tr>
    </w:tbl>
    <w:p>
      <w:pPr>
        <w:pStyle w:val="TextBody"/>
        <w:bidi w:val="0"/>
        <w:spacing w:before="0" w:after="0"/>
        <w:jc w:val="left"/>
        <w:rPr/>
      </w:pPr>
      <w:r>
        <w:rPr/>
        <w:t> </w:t>
      </w:r>
    </w:p>
    <w:tbl>
      <w:tblPr>
        <w:tblW w:w="10051" w:type="dxa"/>
        <w:jc w:val="left"/>
        <w:tblInd w:w="0" w:type="dxa"/>
        <w:tblLayout w:type="fixed"/>
        <w:tblCellMar>
          <w:top w:w="28" w:type="dxa"/>
          <w:left w:w="28" w:type="dxa"/>
          <w:bottom w:w="28" w:type="dxa"/>
          <w:right w:w="28" w:type="dxa"/>
        </w:tblCellMar>
      </w:tblPr>
      <w:tblGrid>
        <w:gridCol w:w="286"/>
        <w:gridCol w:w="6631"/>
        <w:gridCol w:w="146"/>
        <w:gridCol w:w="1786"/>
        <w:gridCol w:w="196"/>
        <w:gridCol w:w="1006"/>
      </w:tblGrid>
      <w:tr>
        <w:trPr/>
        <w:tc>
          <w:tcPr>
            <w:tcW w:w="286" w:type="dxa"/>
            <w:tcBorders/>
            <w:vAlign w:val="center"/>
          </w:tcPr>
          <w:p>
            <w:pPr>
              <w:pStyle w:val="TableContents"/>
              <w:bidi w:val="0"/>
              <w:spacing w:before="0" w:after="283"/>
              <w:jc w:val="left"/>
              <w:rPr>
                <w:sz w:val="4"/>
                <w:szCs w:val="4"/>
              </w:rPr>
            </w:pPr>
            <w:r>
              <w:rPr>
                <w:sz w:val="4"/>
                <w:szCs w:val="4"/>
              </w:rPr>
            </w:r>
          </w:p>
        </w:tc>
        <w:tc>
          <w:tcPr>
            <w:tcW w:w="6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6917" w:type="dxa"/>
            <w:gridSpan w:val="2"/>
            <w:tcBorders/>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Proposals</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786" w:type="dxa"/>
            <w:tcBorders/>
            <w:vAlign w:val="center"/>
          </w:tcPr>
          <w:p>
            <w:pPr>
              <w:pStyle w:val="TableContents"/>
              <w:bidi w:val="0"/>
              <w:spacing w:before="0" w:after="0"/>
              <w:ind w:left="0" w:right="0" w:hanging="0"/>
              <w:jc w:val="both"/>
              <w:rPr>
                <w:rFonts w:ascii="Arial;sans-serif" w:hAnsi="Arial;sans-serif"/>
                <w:b/>
                <w:sz w:val="20"/>
              </w:rPr>
            </w:pPr>
            <w:r>
              <w:rPr>
                <w:rFonts w:ascii="Arial;sans-serif" w:hAnsi="Arial;sans-serif"/>
                <w:b/>
                <w:sz w:val="20"/>
              </w:rPr>
              <w:t>Board</w:t>
            </w:r>
          </w:p>
          <w:p>
            <w:pPr>
              <w:pStyle w:val="TableContents"/>
              <w:bidi w:val="0"/>
              <w:spacing w:before="0" w:after="0"/>
              <w:ind w:left="0" w:right="0" w:hanging="0"/>
              <w:jc w:val="both"/>
              <w:rPr>
                <w:rFonts w:ascii="Arial;sans-serif" w:hAnsi="Arial;sans-serif"/>
                <w:b/>
                <w:sz w:val="20"/>
              </w:rPr>
            </w:pPr>
            <w:r>
              <w:rPr>
                <w:rFonts w:ascii="Arial;sans-serif" w:hAnsi="Arial;sans-serif"/>
                <w:b/>
                <w:sz w:val="20"/>
              </w:rPr>
              <w:t>Recommendation</w:t>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1006" w:type="dxa"/>
            <w:tcBorders/>
            <w:vAlign w:val="center"/>
          </w:tcPr>
          <w:p>
            <w:pPr>
              <w:pStyle w:val="TableContents"/>
              <w:bidi w:val="0"/>
              <w:spacing w:before="0" w:after="0"/>
              <w:ind w:left="0" w:right="0" w:hanging="0"/>
              <w:jc w:val="both"/>
              <w:rPr>
                <w:rFonts w:ascii="Arial;sans-serif" w:hAnsi="Arial;sans-serif"/>
                <w:b/>
                <w:sz w:val="20"/>
              </w:rPr>
            </w:pPr>
            <w:r>
              <w:rPr>
                <w:rFonts w:ascii="Arial;sans-serif" w:hAnsi="Arial;sans-serif"/>
                <w:b/>
                <w:sz w:val="20"/>
              </w:rPr>
              <w:t>Page</w:t>
            </w:r>
          </w:p>
        </w:tc>
      </w:tr>
      <w:tr>
        <w:trPr/>
        <w:tc>
          <w:tcPr>
            <w:tcW w:w="286" w:type="dxa"/>
            <w:tcBorders/>
            <w:vAlign w:val="center"/>
          </w:tcPr>
          <w:p>
            <w:pPr>
              <w:pStyle w:val="TableContents"/>
              <w:bidi w:val="0"/>
              <w:spacing w:before="0" w:after="0"/>
              <w:ind w:left="0" w:right="0" w:hanging="0"/>
              <w:jc w:val="both"/>
              <w:rPr/>
            </w:pPr>
            <w:r>
              <w:rPr/>
              <w:t> </w:t>
            </w:r>
          </w:p>
        </w:tc>
        <w:tc>
          <w:tcPr>
            <w:tcW w:w="6631" w:type="dxa"/>
            <w:tcBorders/>
            <w:vAlign w:val="center"/>
          </w:tcPr>
          <w:p>
            <w:pPr>
              <w:pStyle w:val="TableContents"/>
              <w:bidi w:val="0"/>
              <w:spacing w:before="0" w:after="0"/>
              <w:ind w:left="0" w:right="0" w:hanging="0"/>
              <w:jc w:val="both"/>
              <w:rPr/>
            </w:pPr>
            <w:r>
              <w:rPr/>
              <w:t> </w:t>
            </w:r>
          </w:p>
        </w:tc>
        <w:tc>
          <w:tcPr>
            <w:tcW w:w="1932" w:type="dxa"/>
            <w:gridSpan w:val="2"/>
            <w:tcBorders/>
            <w:vAlign w:val="center"/>
          </w:tcPr>
          <w:p>
            <w:pPr>
              <w:pStyle w:val="TableContents"/>
              <w:bidi w:val="0"/>
              <w:spacing w:before="0" w:after="0"/>
              <w:ind w:left="0" w:right="0" w:hanging="0"/>
              <w:jc w:val="both"/>
              <w:rPr/>
            </w:pPr>
            <w:r>
              <w:rPr/>
              <w:t> </w:t>
            </w:r>
          </w:p>
        </w:tc>
        <w:tc>
          <w:tcPr>
            <w:tcW w:w="1202" w:type="dxa"/>
            <w:gridSpan w:val="2"/>
            <w:tcBorders/>
            <w:vAlign w:val="center"/>
          </w:tcPr>
          <w:p>
            <w:pPr>
              <w:pStyle w:val="TableContents"/>
              <w:bidi w:val="0"/>
              <w:spacing w:before="0" w:after="0"/>
              <w:ind w:left="0" w:right="0" w:firstLine="60"/>
              <w:jc w:val="both"/>
              <w:rPr/>
            </w:pPr>
            <w:r>
              <w:rPr/>
              <w:t> </w:t>
            </w:r>
          </w:p>
        </w:tc>
      </w:tr>
      <w:tr>
        <w:trPr/>
        <w:tc>
          <w:tcPr>
            <w:tcW w:w="286" w:type="dxa"/>
            <w:tcBorders/>
            <w:vAlign w:val="center"/>
          </w:tcPr>
          <w:p>
            <w:pPr>
              <w:pStyle w:val="TableContents"/>
              <w:bidi w:val="0"/>
              <w:spacing w:before="0" w:after="0"/>
              <w:ind w:left="60" w:right="0" w:hanging="0"/>
              <w:jc w:val="both"/>
              <w:rPr>
                <w:rFonts w:ascii="Arial;sans-serif" w:hAnsi="Arial;sans-serif"/>
                <w:b w:val="false"/>
                <w:sz w:val="20"/>
              </w:rPr>
            </w:pPr>
            <w:r>
              <w:rPr>
                <w:rFonts w:ascii="Arial;sans-serif" w:hAnsi="Arial;sans-serif"/>
                <w:b w:val="false"/>
                <w:sz w:val="20"/>
              </w:rPr>
              <w:t>1.</w:t>
            </w:r>
          </w:p>
        </w:tc>
        <w:tc>
          <w:tcPr>
            <w:tcW w:w="6631" w:type="dxa"/>
            <w:tcBorders/>
            <w:tcMar>
              <w:top w:w="0" w:type="dxa"/>
              <w:left w:w="0" w:type="dxa"/>
              <w:bottom w:w="0" w:type="dxa"/>
              <w:right w:w="0" w:type="dxa"/>
            </w:tcMar>
            <w:vAlign w:val="center"/>
          </w:tcPr>
          <w:p>
            <w:pPr>
              <w:pStyle w:val="TableContents"/>
              <w:bidi w:val="0"/>
              <w:spacing w:before="0" w:after="0"/>
              <w:ind w:left="0" w:right="0" w:hanging="0"/>
              <w:jc w:val="both"/>
              <w:rPr>
                <w:rFonts w:ascii="Arial;sans-serif" w:hAnsi="Arial;sans-serif"/>
                <w:b w:val="false"/>
                <w:sz w:val="20"/>
              </w:rPr>
            </w:pPr>
            <w:r>
              <w:rPr>
                <w:rFonts w:ascii="Arial;sans-serif" w:hAnsi="Arial;sans-serif"/>
                <w:b w:val="false"/>
                <w:sz w:val="20"/>
              </w:rPr>
              <w:t>Election of Seven Directors</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786" w:type="dxa"/>
            <w:tcBorders/>
            <w:tcMar>
              <w:top w:w="0" w:type="dxa"/>
              <w:left w:w="0" w:type="dxa"/>
              <w:bottom w:w="0" w:type="dxa"/>
              <w:right w:w="0" w:type="dxa"/>
            </w:tcMar>
            <w:vAlign w:val="center"/>
          </w:tcPr>
          <w:p>
            <w:pPr>
              <w:pStyle w:val="TableContents"/>
              <w:bidi w:val="0"/>
              <w:spacing w:before="0" w:after="0"/>
              <w:ind w:left="0" w:right="0" w:hanging="0"/>
              <w:jc w:val="both"/>
              <w:rPr>
                <w:rFonts w:ascii="Arial;sans-serif" w:hAnsi="Arial;sans-serif"/>
                <w:b w:val="false"/>
                <w:sz w:val="20"/>
              </w:rPr>
            </w:pPr>
            <w:r>
              <w:rPr>
                <w:rFonts w:ascii="Arial;sans-serif" w:hAnsi="Arial;sans-serif"/>
                <w:b w:val="false"/>
                <w:sz w:val="20"/>
              </w:rPr>
              <w:t>FOR each nominee</w:t>
            </w:r>
          </w:p>
        </w:tc>
        <w:tc>
          <w:tcPr>
            <w:tcW w:w="196" w:type="dxa"/>
            <w:tcBorders/>
            <w:tcMar>
              <w:top w:w="0" w:type="dxa"/>
              <w:left w:w="0" w:type="dxa"/>
              <w:bottom w:w="0" w:type="dxa"/>
              <w:right w:w="0" w:type="dxa"/>
            </w:tcMar>
            <w:vAlign w:val="center"/>
          </w:tcPr>
          <w:p>
            <w:pPr>
              <w:pStyle w:val="TableContents"/>
              <w:bidi w:val="0"/>
              <w:spacing w:before="0" w:after="283"/>
              <w:ind w:left="0" w:right="0" w:firstLine="50"/>
              <w:jc w:val="left"/>
              <w:rPr>
                <w:sz w:val="4"/>
                <w:szCs w:val="4"/>
              </w:rPr>
            </w:pPr>
            <w:r>
              <w:rPr>
                <w:sz w:val="4"/>
                <w:szCs w:val="4"/>
              </w:rPr>
            </w:r>
          </w:p>
        </w:tc>
        <w:tc>
          <w:tcPr>
            <w:tcW w:w="1006" w:type="dxa"/>
            <w:tcBorders/>
            <w:tcMar>
              <w:top w:w="0" w:type="dxa"/>
              <w:left w:w="0" w:type="dxa"/>
              <w:bottom w:w="0" w:type="dxa"/>
              <w:right w:w="0" w:type="dxa"/>
            </w:tcMar>
            <w:vAlign w:val="center"/>
          </w:tcPr>
          <w:p>
            <w:pPr>
              <w:pStyle w:val="TableContents"/>
              <w:bidi w:val="0"/>
              <w:spacing w:before="0" w:after="0"/>
              <w:ind w:left="0" w:right="0" w:firstLine="60"/>
              <w:jc w:val="both"/>
              <w:rPr>
                <w:rFonts w:ascii="Times New Roman" w:hAnsi="Times New Roman"/>
                <w:sz w:val="20"/>
              </w:rPr>
            </w:pPr>
            <w:r>
              <w:rPr>
                <w:rFonts w:ascii="Arial;sans-serif" w:hAnsi="Arial;sans-serif"/>
                <w:b w:val="false"/>
                <w:sz w:val="20"/>
              </w:rPr>
              <w:t>3</w:t>
            </w:r>
            <w:r>
              <w:rPr>
                <w:rFonts w:ascii="Times New Roman" w:hAnsi="Times New Roman"/>
                <w:sz w:val="20"/>
              </w:rPr>
              <w:t xml:space="preserve"> </w:t>
            </w:r>
          </w:p>
        </w:tc>
      </w:tr>
      <w:tr>
        <w:trPr/>
        <w:tc>
          <w:tcPr>
            <w:tcW w:w="286" w:type="dxa"/>
            <w:tcBorders/>
            <w:vAlign w:val="center"/>
          </w:tcPr>
          <w:p>
            <w:pPr>
              <w:pStyle w:val="TableContents"/>
              <w:bidi w:val="0"/>
              <w:spacing w:before="0" w:after="0"/>
              <w:ind w:left="60" w:right="0" w:hanging="0"/>
              <w:jc w:val="both"/>
              <w:rPr>
                <w:rFonts w:ascii="Arial;sans-serif" w:hAnsi="Arial;sans-serif"/>
                <w:b w:val="false"/>
                <w:sz w:val="20"/>
              </w:rPr>
            </w:pPr>
            <w:r>
              <w:rPr>
                <w:rFonts w:ascii="Arial;sans-serif" w:hAnsi="Arial;sans-serif"/>
                <w:b w:val="false"/>
                <w:sz w:val="20"/>
              </w:rPr>
              <w:t>2.</w:t>
            </w:r>
          </w:p>
        </w:tc>
        <w:tc>
          <w:tcPr>
            <w:tcW w:w="6631" w:type="dxa"/>
            <w:tcBorders/>
            <w:tcMar>
              <w:top w:w="0" w:type="dxa"/>
              <w:left w:w="0" w:type="dxa"/>
              <w:bottom w:w="0" w:type="dxa"/>
              <w:right w:w="0" w:type="dxa"/>
            </w:tcMar>
            <w:vAlign w:val="center"/>
          </w:tcPr>
          <w:p>
            <w:pPr>
              <w:pStyle w:val="TableContents"/>
              <w:bidi w:val="0"/>
              <w:spacing w:before="0" w:after="0"/>
              <w:ind w:left="0" w:right="0" w:hanging="0"/>
              <w:jc w:val="both"/>
              <w:rPr>
                <w:rFonts w:ascii="Arial;sans-serif" w:hAnsi="Arial;sans-serif"/>
                <w:b w:val="false"/>
                <w:sz w:val="20"/>
              </w:rPr>
            </w:pPr>
            <w:r>
              <w:rPr>
                <w:rFonts w:ascii="Arial;sans-serif" w:hAnsi="Arial;sans-serif"/>
                <w:b w:val="false"/>
                <w:sz w:val="20"/>
              </w:rPr>
              <w:t>Advisory Vote to Approve Executive Compensation</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786" w:type="dxa"/>
            <w:tcBorders/>
            <w:tcMar>
              <w:top w:w="0" w:type="dxa"/>
              <w:left w:w="0" w:type="dxa"/>
              <w:bottom w:w="0" w:type="dxa"/>
              <w:right w:w="0" w:type="dxa"/>
            </w:tcMar>
            <w:vAlign w:val="center"/>
          </w:tcPr>
          <w:p>
            <w:pPr>
              <w:pStyle w:val="TableContents"/>
              <w:bidi w:val="0"/>
              <w:spacing w:before="0" w:after="0"/>
              <w:ind w:left="0" w:right="0" w:hanging="0"/>
              <w:jc w:val="both"/>
              <w:rPr>
                <w:rFonts w:ascii="Arial;sans-serif" w:hAnsi="Arial;sans-serif"/>
                <w:b w:val="false"/>
                <w:sz w:val="20"/>
              </w:rPr>
            </w:pPr>
            <w:r>
              <w:rPr>
                <w:rFonts w:ascii="Arial;sans-serif" w:hAnsi="Arial;sans-serif"/>
                <w:b w:val="false"/>
                <w:sz w:val="20"/>
              </w:rPr>
              <w:t>FOR</w:t>
            </w:r>
          </w:p>
        </w:tc>
        <w:tc>
          <w:tcPr>
            <w:tcW w:w="196" w:type="dxa"/>
            <w:tcBorders/>
            <w:tcMar>
              <w:top w:w="0" w:type="dxa"/>
              <w:left w:w="0" w:type="dxa"/>
              <w:bottom w:w="0" w:type="dxa"/>
              <w:right w:w="0" w:type="dxa"/>
            </w:tcMar>
            <w:vAlign w:val="center"/>
          </w:tcPr>
          <w:p>
            <w:pPr>
              <w:pStyle w:val="TableContents"/>
              <w:bidi w:val="0"/>
              <w:spacing w:before="0" w:after="283"/>
              <w:ind w:left="0" w:right="0" w:firstLine="50"/>
              <w:jc w:val="left"/>
              <w:rPr>
                <w:sz w:val="4"/>
                <w:szCs w:val="4"/>
              </w:rPr>
            </w:pPr>
            <w:r>
              <w:rPr>
                <w:sz w:val="4"/>
                <w:szCs w:val="4"/>
              </w:rPr>
            </w:r>
          </w:p>
        </w:tc>
        <w:tc>
          <w:tcPr>
            <w:tcW w:w="1006" w:type="dxa"/>
            <w:tcBorders/>
            <w:tcMar>
              <w:top w:w="0" w:type="dxa"/>
              <w:left w:w="0" w:type="dxa"/>
              <w:bottom w:w="0" w:type="dxa"/>
              <w:right w:w="0" w:type="dxa"/>
            </w:tcMar>
            <w:vAlign w:val="center"/>
          </w:tcPr>
          <w:p>
            <w:pPr>
              <w:pStyle w:val="TableContents"/>
              <w:bidi w:val="0"/>
              <w:spacing w:before="0" w:after="0"/>
              <w:ind w:left="0" w:right="0" w:firstLine="60"/>
              <w:jc w:val="both"/>
              <w:rPr>
                <w:rFonts w:ascii="Arial;sans-serif" w:hAnsi="Arial;sans-serif"/>
                <w:b w:val="false"/>
                <w:sz w:val="20"/>
              </w:rPr>
            </w:pPr>
            <w:r>
              <w:rPr>
                <w:rFonts w:ascii="Arial;sans-serif" w:hAnsi="Arial;sans-serif"/>
                <w:b w:val="false"/>
                <w:sz w:val="20"/>
              </w:rPr>
              <w:t>16</w:t>
            </w:r>
          </w:p>
        </w:tc>
      </w:tr>
      <w:tr>
        <w:trPr/>
        <w:tc>
          <w:tcPr>
            <w:tcW w:w="286" w:type="dxa"/>
            <w:tcBorders/>
            <w:vAlign w:val="center"/>
          </w:tcPr>
          <w:p>
            <w:pPr>
              <w:pStyle w:val="TableContents"/>
              <w:bidi w:val="0"/>
              <w:spacing w:before="0" w:after="0"/>
              <w:ind w:left="60" w:right="0" w:hanging="0"/>
              <w:jc w:val="both"/>
              <w:rPr>
                <w:rFonts w:ascii="Arial;sans-serif" w:hAnsi="Arial;sans-serif"/>
                <w:b w:val="false"/>
                <w:sz w:val="20"/>
              </w:rPr>
            </w:pPr>
            <w:r>
              <w:rPr>
                <w:rFonts w:ascii="Arial;sans-serif" w:hAnsi="Arial;sans-serif"/>
                <w:b w:val="false"/>
                <w:sz w:val="20"/>
              </w:rPr>
              <w:t>3.</w:t>
            </w:r>
          </w:p>
        </w:tc>
        <w:tc>
          <w:tcPr>
            <w:tcW w:w="6631" w:type="dxa"/>
            <w:tcBorders/>
            <w:tcMar>
              <w:top w:w="0" w:type="dxa"/>
              <w:left w:w="0" w:type="dxa"/>
              <w:bottom w:w="0" w:type="dxa"/>
              <w:right w:w="0" w:type="dxa"/>
            </w:tcMar>
            <w:vAlign w:val="center"/>
          </w:tcPr>
          <w:p>
            <w:pPr>
              <w:pStyle w:val="TableContents"/>
              <w:bidi w:val="0"/>
              <w:spacing w:before="0" w:after="0"/>
              <w:ind w:left="0" w:right="0" w:hanging="0"/>
              <w:jc w:val="both"/>
              <w:rPr>
                <w:rFonts w:ascii="Arial;sans-serif" w:hAnsi="Arial;sans-serif"/>
                <w:b w:val="false"/>
                <w:sz w:val="20"/>
              </w:rPr>
            </w:pPr>
            <w:r>
              <w:rPr>
                <w:rFonts w:ascii="Arial;sans-serif" w:hAnsi="Arial;sans-serif"/>
                <w:b w:val="false"/>
                <w:sz w:val="20"/>
              </w:rPr>
              <w:t>Advisory Vote on Frequency of Future Say-on-Pay Votes</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both"/>
              <w:rPr/>
            </w:pPr>
            <w:r>
              <w:rPr/>
              <w:t> </w:t>
            </w:r>
          </w:p>
        </w:tc>
        <w:tc>
          <w:tcPr>
            <w:tcW w:w="1786" w:type="dxa"/>
            <w:tcBorders/>
            <w:tcMar>
              <w:top w:w="0" w:type="dxa"/>
              <w:left w:w="0" w:type="dxa"/>
              <w:bottom w:w="0" w:type="dxa"/>
              <w:right w:w="0" w:type="dxa"/>
            </w:tcMar>
            <w:vAlign w:val="center"/>
          </w:tcPr>
          <w:p>
            <w:pPr>
              <w:pStyle w:val="TableContents"/>
              <w:bidi w:val="0"/>
              <w:spacing w:before="0" w:after="0"/>
              <w:ind w:left="0" w:right="0" w:hanging="0"/>
              <w:jc w:val="both"/>
              <w:rPr>
                <w:rFonts w:ascii="Arial;sans-serif" w:hAnsi="Arial;sans-serif"/>
                <w:b w:val="false"/>
                <w:sz w:val="20"/>
              </w:rPr>
            </w:pPr>
            <w:r>
              <w:rPr>
                <w:rFonts w:ascii="Arial;sans-serif" w:hAnsi="Arial;sans-serif"/>
                <w:b w:val="false"/>
                <w:sz w:val="20"/>
              </w:rPr>
              <w:t>ONE YEAR</w:t>
            </w:r>
          </w:p>
        </w:tc>
        <w:tc>
          <w:tcPr>
            <w:tcW w:w="196" w:type="dxa"/>
            <w:tcBorders/>
            <w:tcMar>
              <w:top w:w="0" w:type="dxa"/>
              <w:left w:w="0" w:type="dxa"/>
              <w:bottom w:w="0" w:type="dxa"/>
              <w:right w:w="0" w:type="dxa"/>
            </w:tcMar>
            <w:vAlign w:val="center"/>
          </w:tcPr>
          <w:p>
            <w:pPr>
              <w:pStyle w:val="TableContents"/>
              <w:bidi w:val="0"/>
              <w:spacing w:before="0" w:after="0"/>
              <w:ind w:left="0" w:right="0" w:firstLine="50"/>
              <w:jc w:val="both"/>
              <w:rPr/>
            </w:pPr>
            <w:r>
              <w:rPr/>
              <w:t> </w:t>
            </w:r>
          </w:p>
        </w:tc>
        <w:tc>
          <w:tcPr>
            <w:tcW w:w="1006" w:type="dxa"/>
            <w:tcBorders/>
            <w:tcMar>
              <w:top w:w="0" w:type="dxa"/>
              <w:left w:w="0" w:type="dxa"/>
              <w:bottom w:w="0" w:type="dxa"/>
              <w:right w:w="0" w:type="dxa"/>
            </w:tcMar>
            <w:vAlign w:val="center"/>
          </w:tcPr>
          <w:p>
            <w:pPr>
              <w:pStyle w:val="TableContents"/>
              <w:bidi w:val="0"/>
              <w:spacing w:before="0" w:after="0"/>
              <w:ind w:left="0" w:right="0" w:firstLine="60"/>
              <w:jc w:val="both"/>
              <w:rPr>
                <w:rFonts w:ascii="Arial;sans-serif" w:hAnsi="Arial;sans-serif"/>
                <w:b w:val="false"/>
                <w:sz w:val="20"/>
              </w:rPr>
            </w:pPr>
            <w:r>
              <w:rPr>
                <w:rFonts w:ascii="Arial;sans-serif" w:hAnsi="Arial;sans-serif"/>
                <w:b w:val="false"/>
                <w:sz w:val="20"/>
              </w:rPr>
              <w:t>17</w:t>
            </w:r>
          </w:p>
        </w:tc>
      </w:tr>
      <w:tr>
        <w:trPr/>
        <w:tc>
          <w:tcPr>
            <w:tcW w:w="286" w:type="dxa"/>
            <w:tcBorders/>
            <w:vAlign w:val="center"/>
          </w:tcPr>
          <w:p>
            <w:pPr>
              <w:pStyle w:val="TableContents"/>
              <w:bidi w:val="0"/>
              <w:spacing w:before="0" w:after="0"/>
              <w:ind w:left="60" w:right="0" w:hanging="0"/>
              <w:jc w:val="both"/>
              <w:rPr>
                <w:rFonts w:ascii="Arial;sans-serif" w:hAnsi="Arial;sans-serif"/>
                <w:b w:val="false"/>
                <w:sz w:val="20"/>
              </w:rPr>
            </w:pPr>
            <w:r>
              <w:rPr>
                <w:rFonts w:ascii="Arial;sans-serif" w:hAnsi="Arial;sans-serif"/>
                <w:b w:val="false"/>
                <w:sz w:val="20"/>
              </w:rPr>
              <w:t>4.</w:t>
            </w:r>
          </w:p>
        </w:tc>
        <w:tc>
          <w:tcPr>
            <w:tcW w:w="6631" w:type="dxa"/>
            <w:tcBorders/>
            <w:tcMar>
              <w:top w:w="0" w:type="dxa"/>
              <w:left w:w="0" w:type="dxa"/>
              <w:bottom w:w="0" w:type="dxa"/>
              <w:right w:w="0" w:type="dxa"/>
            </w:tcMar>
            <w:vAlign w:val="center"/>
          </w:tcPr>
          <w:p>
            <w:pPr>
              <w:pStyle w:val="TableContents"/>
              <w:bidi w:val="0"/>
              <w:spacing w:before="0" w:after="0"/>
              <w:ind w:left="0" w:right="0" w:hanging="0"/>
              <w:jc w:val="both"/>
              <w:rPr>
                <w:rFonts w:ascii="Arial;sans-serif" w:hAnsi="Arial;sans-serif"/>
                <w:b w:val="false"/>
                <w:sz w:val="20"/>
              </w:rPr>
            </w:pPr>
            <w:r>
              <w:rPr>
                <w:rFonts w:ascii="Arial;sans-serif" w:hAnsi="Arial;sans-serif"/>
                <w:b w:val="false"/>
                <w:sz w:val="20"/>
              </w:rPr>
              <w:t>Ratification of Appointment of Deloitte &amp; Touche, LLP</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786" w:type="dxa"/>
            <w:tcBorders/>
            <w:tcMar>
              <w:top w:w="0" w:type="dxa"/>
              <w:left w:w="0" w:type="dxa"/>
              <w:bottom w:w="0" w:type="dxa"/>
              <w:right w:w="0" w:type="dxa"/>
            </w:tcMar>
            <w:vAlign w:val="center"/>
          </w:tcPr>
          <w:p>
            <w:pPr>
              <w:pStyle w:val="TableContents"/>
              <w:bidi w:val="0"/>
              <w:spacing w:before="0" w:after="0"/>
              <w:ind w:left="0" w:right="0" w:hanging="0"/>
              <w:jc w:val="both"/>
              <w:rPr>
                <w:rFonts w:ascii="Arial;sans-serif" w:hAnsi="Arial;sans-serif"/>
                <w:b w:val="false"/>
                <w:sz w:val="20"/>
              </w:rPr>
            </w:pPr>
            <w:r>
              <w:rPr>
                <w:rFonts w:ascii="Arial;sans-serif" w:hAnsi="Arial;sans-serif"/>
                <w:b w:val="false"/>
                <w:sz w:val="20"/>
              </w:rPr>
              <w:t>FOR</w:t>
            </w:r>
          </w:p>
        </w:tc>
        <w:tc>
          <w:tcPr>
            <w:tcW w:w="196" w:type="dxa"/>
            <w:tcBorders/>
            <w:tcMar>
              <w:top w:w="0" w:type="dxa"/>
              <w:left w:w="0" w:type="dxa"/>
              <w:bottom w:w="0" w:type="dxa"/>
              <w:right w:w="0" w:type="dxa"/>
            </w:tcMar>
            <w:vAlign w:val="center"/>
          </w:tcPr>
          <w:p>
            <w:pPr>
              <w:pStyle w:val="TableContents"/>
              <w:bidi w:val="0"/>
              <w:spacing w:before="0" w:after="283"/>
              <w:ind w:left="0" w:right="0" w:firstLine="50"/>
              <w:jc w:val="left"/>
              <w:rPr>
                <w:sz w:val="4"/>
                <w:szCs w:val="4"/>
              </w:rPr>
            </w:pPr>
            <w:r>
              <w:rPr>
                <w:sz w:val="4"/>
                <w:szCs w:val="4"/>
              </w:rPr>
            </w:r>
          </w:p>
        </w:tc>
        <w:tc>
          <w:tcPr>
            <w:tcW w:w="1006" w:type="dxa"/>
            <w:tcBorders/>
            <w:tcMar>
              <w:top w:w="0" w:type="dxa"/>
              <w:left w:w="0" w:type="dxa"/>
              <w:bottom w:w="0" w:type="dxa"/>
              <w:right w:w="0" w:type="dxa"/>
            </w:tcMar>
            <w:vAlign w:val="center"/>
          </w:tcPr>
          <w:p>
            <w:pPr>
              <w:pStyle w:val="TableContents"/>
              <w:bidi w:val="0"/>
              <w:spacing w:before="0" w:after="0"/>
              <w:ind w:left="0" w:right="0" w:firstLine="600"/>
              <w:jc w:val="both"/>
              <w:rPr>
                <w:rFonts w:ascii="Arial;sans-serif" w:hAnsi="Arial;sans-serif"/>
                <w:b w:val="false"/>
                <w:sz w:val="20"/>
              </w:rPr>
            </w:pPr>
            <w:r>
              <w:rPr>
                <w:rFonts w:ascii="Arial;sans-serif" w:hAnsi="Arial;sans-serif"/>
                <w:b w:val="false"/>
                <w:sz w:val="20"/>
              </w:rPr>
              <w:t>44</w:t>
            </w:r>
          </w:p>
        </w:tc>
      </w:tr>
      <w:tr>
        <w:trPr/>
        <w:tc>
          <w:tcPr>
            <w:tcW w:w="286" w:type="dxa"/>
            <w:tcBorders/>
            <w:vAlign w:val="center"/>
          </w:tcPr>
          <w:p>
            <w:pPr>
              <w:pStyle w:val="TableContents"/>
              <w:pBdr/>
              <w:bidi w:val="0"/>
              <w:spacing w:before="0" w:after="0"/>
              <w:ind w:left="60" w:right="0" w:hanging="540"/>
              <w:jc w:val="both"/>
              <w:rPr>
                <w:rFonts w:ascii="Arial;sans-serif" w:hAnsi="Arial;sans-serif"/>
                <w:b w:val="false"/>
                <w:sz w:val="20"/>
              </w:rPr>
            </w:pPr>
            <w:r>
              <w:rPr>
                <w:rFonts w:ascii="Arial;sans-serif" w:hAnsi="Arial;sans-serif"/>
                <w:b w:val="false"/>
                <w:sz w:val="20"/>
              </w:rPr>
              <w:t>5.</w:t>
            </w:r>
          </w:p>
        </w:tc>
        <w:tc>
          <w:tcPr>
            <w:tcW w:w="663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Management Proposal - Advisory Vote to Call Special Stockholder Meeting</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786" w:type="dxa"/>
            <w:tcBorders/>
            <w:tcMar>
              <w:top w:w="0" w:type="dxa"/>
              <w:left w:w="0" w:type="dxa"/>
              <w:bottom w:w="0" w:type="dxa"/>
              <w:right w:w="0" w:type="dxa"/>
            </w:tcMar>
            <w:vAlign w:val="center"/>
          </w:tcPr>
          <w:p>
            <w:pPr>
              <w:pStyle w:val="TableContents"/>
              <w:bidi w:val="0"/>
              <w:spacing w:before="0" w:after="0"/>
              <w:ind w:left="0" w:right="0" w:hanging="0"/>
              <w:jc w:val="both"/>
              <w:rPr>
                <w:rFonts w:ascii="Arial;sans-serif" w:hAnsi="Arial;sans-serif"/>
                <w:b w:val="false"/>
                <w:sz w:val="20"/>
              </w:rPr>
            </w:pPr>
            <w:r>
              <w:rPr>
                <w:rFonts w:ascii="Arial;sans-serif" w:hAnsi="Arial;sans-serif"/>
                <w:b w:val="false"/>
                <w:sz w:val="20"/>
              </w:rPr>
              <w:t>FOR</w:t>
            </w:r>
          </w:p>
        </w:tc>
        <w:tc>
          <w:tcPr>
            <w:tcW w:w="196" w:type="dxa"/>
            <w:tcBorders/>
            <w:tcMar>
              <w:top w:w="0" w:type="dxa"/>
              <w:left w:w="0" w:type="dxa"/>
              <w:bottom w:w="0" w:type="dxa"/>
              <w:right w:w="0" w:type="dxa"/>
            </w:tcMar>
            <w:vAlign w:val="center"/>
          </w:tcPr>
          <w:p>
            <w:pPr>
              <w:pStyle w:val="TableContents"/>
              <w:bidi w:val="0"/>
              <w:spacing w:before="0" w:after="283"/>
              <w:ind w:left="0" w:right="0" w:firstLine="50"/>
              <w:jc w:val="left"/>
              <w:rPr>
                <w:sz w:val="4"/>
                <w:szCs w:val="4"/>
              </w:rPr>
            </w:pPr>
            <w:r>
              <w:rPr>
                <w:sz w:val="4"/>
                <w:szCs w:val="4"/>
              </w:rPr>
            </w:r>
          </w:p>
        </w:tc>
        <w:tc>
          <w:tcPr>
            <w:tcW w:w="1006" w:type="dxa"/>
            <w:tcBorders/>
            <w:tcMar>
              <w:top w:w="0" w:type="dxa"/>
              <w:left w:w="0" w:type="dxa"/>
              <w:bottom w:w="0" w:type="dxa"/>
              <w:right w:w="0" w:type="dxa"/>
            </w:tcMar>
            <w:vAlign w:val="center"/>
          </w:tcPr>
          <w:p>
            <w:pPr>
              <w:pStyle w:val="TableContents"/>
              <w:bidi w:val="0"/>
              <w:spacing w:before="0" w:after="0"/>
              <w:ind w:left="0" w:right="0" w:firstLine="600"/>
              <w:jc w:val="both"/>
              <w:rPr>
                <w:rFonts w:ascii="Times New Roman" w:hAnsi="Times New Roman"/>
                <w:sz w:val="20"/>
              </w:rPr>
            </w:pPr>
            <w:r>
              <w:rPr>
                <w:rFonts w:ascii="Arial;sans-serif" w:hAnsi="Arial;sans-serif"/>
                <w:b w:val="false"/>
                <w:sz w:val="20"/>
              </w:rPr>
              <w:t>46</w:t>
            </w:r>
            <w:r>
              <w:rPr>
                <w:rFonts w:ascii="Times New Roman" w:hAnsi="Times New Roman"/>
                <w:sz w:val="20"/>
              </w:rPr>
              <w:t xml:space="preserve"> </w:t>
            </w:r>
          </w:p>
        </w:tc>
      </w:tr>
      <w:tr>
        <w:trPr/>
        <w:tc>
          <w:tcPr>
            <w:tcW w:w="286" w:type="dxa"/>
            <w:tcBorders/>
            <w:vAlign w:val="center"/>
          </w:tcPr>
          <w:p>
            <w:pPr>
              <w:pStyle w:val="TableContents"/>
              <w:pBdr/>
              <w:bidi w:val="0"/>
              <w:spacing w:before="0" w:after="0"/>
              <w:ind w:left="60" w:right="0" w:hanging="540"/>
              <w:jc w:val="both"/>
              <w:rPr>
                <w:rFonts w:ascii="Arial;sans-serif" w:hAnsi="Arial;sans-serif"/>
                <w:b w:val="false"/>
                <w:sz w:val="20"/>
              </w:rPr>
            </w:pPr>
            <w:r>
              <w:rPr>
                <w:rFonts w:ascii="Arial;sans-serif" w:hAnsi="Arial;sans-serif"/>
                <w:b w:val="false"/>
                <w:sz w:val="20"/>
              </w:rPr>
              <w:t>6.</w:t>
            </w:r>
          </w:p>
        </w:tc>
        <w:tc>
          <w:tcPr>
            <w:tcW w:w="663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Management Proposal - Ratification of Nevada Exclusive Forum Provision</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both"/>
              <w:rPr/>
            </w:pPr>
            <w:r>
              <w:rPr/>
              <w:t> </w:t>
            </w:r>
          </w:p>
        </w:tc>
        <w:tc>
          <w:tcPr>
            <w:tcW w:w="1786" w:type="dxa"/>
            <w:tcBorders/>
            <w:tcMar>
              <w:top w:w="0" w:type="dxa"/>
              <w:left w:w="0" w:type="dxa"/>
              <w:bottom w:w="0" w:type="dxa"/>
              <w:right w:w="0" w:type="dxa"/>
            </w:tcMar>
            <w:vAlign w:val="center"/>
          </w:tcPr>
          <w:p>
            <w:pPr>
              <w:pStyle w:val="TableContents"/>
              <w:bidi w:val="0"/>
              <w:spacing w:before="0" w:after="0"/>
              <w:ind w:left="0" w:right="0" w:hanging="0"/>
              <w:jc w:val="both"/>
              <w:rPr>
                <w:rFonts w:ascii="Arial;sans-serif" w:hAnsi="Arial;sans-serif"/>
                <w:b w:val="false"/>
                <w:sz w:val="20"/>
              </w:rPr>
            </w:pPr>
            <w:r>
              <w:rPr>
                <w:rFonts w:ascii="Arial;sans-serif" w:hAnsi="Arial;sans-serif"/>
                <w:b w:val="false"/>
                <w:sz w:val="20"/>
              </w:rPr>
              <w:t>FOR</w:t>
            </w:r>
          </w:p>
        </w:tc>
        <w:tc>
          <w:tcPr>
            <w:tcW w:w="196" w:type="dxa"/>
            <w:tcBorders/>
            <w:tcMar>
              <w:top w:w="0" w:type="dxa"/>
              <w:left w:w="0" w:type="dxa"/>
              <w:bottom w:w="0" w:type="dxa"/>
              <w:right w:w="0" w:type="dxa"/>
            </w:tcMar>
            <w:vAlign w:val="center"/>
          </w:tcPr>
          <w:p>
            <w:pPr>
              <w:pStyle w:val="TableContents"/>
              <w:bidi w:val="0"/>
              <w:spacing w:before="0" w:after="0"/>
              <w:ind w:left="0" w:right="0" w:firstLine="50"/>
              <w:jc w:val="both"/>
              <w:rPr/>
            </w:pPr>
            <w:r>
              <w:rPr/>
              <w:t> </w:t>
            </w:r>
          </w:p>
        </w:tc>
        <w:tc>
          <w:tcPr>
            <w:tcW w:w="1006" w:type="dxa"/>
            <w:tcBorders/>
            <w:tcMar>
              <w:top w:w="0" w:type="dxa"/>
              <w:left w:w="0" w:type="dxa"/>
              <w:bottom w:w="0" w:type="dxa"/>
              <w:right w:w="0" w:type="dxa"/>
            </w:tcMar>
            <w:vAlign w:val="center"/>
          </w:tcPr>
          <w:p>
            <w:pPr>
              <w:pStyle w:val="TableContents"/>
              <w:bidi w:val="0"/>
              <w:spacing w:before="0" w:after="0"/>
              <w:ind w:left="0" w:right="0" w:firstLine="600"/>
              <w:jc w:val="both"/>
              <w:rPr>
                <w:rFonts w:ascii="Arial;sans-serif" w:hAnsi="Arial;sans-serif"/>
                <w:b w:val="false"/>
                <w:sz w:val="20"/>
              </w:rPr>
            </w:pPr>
            <w:r>
              <w:rPr>
                <w:rFonts w:ascii="Arial;sans-serif" w:hAnsi="Arial;sans-serif"/>
                <w:b w:val="false"/>
                <w:sz w:val="20"/>
              </w:rPr>
              <w:t>48</w:t>
            </w:r>
          </w:p>
        </w:tc>
      </w:tr>
      <w:tr>
        <w:trPr/>
        <w:tc>
          <w:tcPr>
            <w:tcW w:w="286" w:type="dxa"/>
            <w:tcBorders/>
            <w:vAlign w:val="center"/>
          </w:tcPr>
          <w:p>
            <w:pPr>
              <w:pStyle w:val="TableContents"/>
              <w:pBdr/>
              <w:bidi w:val="0"/>
              <w:spacing w:before="0" w:after="0"/>
              <w:ind w:left="60" w:right="0" w:hanging="540"/>
              <w:jc w:val="both"/>
              <w:rPr>
                <w:rFonts w:ascii="Arial;sans-serif" w:hAnsi="Arial;sans-serif"/>
                <w:b w:val="false"/>
                <w:sz w:val="20"/>
              </w:rPr>
            </w:pPr>
            <w:r>
              <w:rPr>
                <w:rFonts w:ascii="Arial;sans-serif" w:hAnsi="Arial;sans-serif"/>
                <w:b w:val="false"/>
                <w:sz w:val="20"/>
              </w:rPr>
              <w:t>7.</w:t>
            </w:r>
          </w:p>
        </w:tc>
        <w:tc>
          <w:tcPr>
            <w:tcW w:w="6631" w:type="dxa"/>
            <w:tcBorders/>
            <w:tcMar>
              <w:top w:w="0" w:type="dxa"/>
              <w:left w:w="0" w:type="dxa"/>
              <w:bottom w:w="0" w:type="dxa"/>
              <w:right w:w="0" w:type="dxa"/>
            </w:tcMar>
            <w:vAlign w:val="center"/>
          </w:tcPr>
          <w:p>
            <w:pPr>
              <w:pStyle w:val="TableContents"/>
              <w:bidi w:val="0"/>
              <w:spacing w:before="0" w:after="0"/>
              <w:ind w:left="0" w:right="0" w:hanging="0"/>
              <w:jc w:val="both"/>
              <w:rPr>
                <w:rFonts w:ascii="Arial;sans-serif" w:hAnsi="Arial;sans-serif"/>
                <w:b w:val="false"/>
                <w:sz w:val="20"/>
              </w:rPr>
            </w:pPr>
            <w:r>
              <w:rPr>
                <w:rFonts w:ascii="Arial;sans-serif" w:hAnsi="Arial;sans-serif"/>
                <w:b w:val="false"/>
                <w:sz w:val="20"/>
              </w:rPr>
              <w:t>Stockholder Proposal - Right to Call Special Shareholder Meeting</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both"/>
              <w:rPr/>
            </w:pPr>
            <w:r>
              <w:rPr/>
              <w:t> </w:t>
            </w:r>
          </w:p>
        </w:tc>
        <w:tc>
          <w:tcPr>
            <w:tcW w:w="1786" w:type="dxa"/>
            <w:tcBorders/>
            <w:tcMar>
              <w:top w:w="0" w:type="dxa"/>
              <w:left w:w="0" w:type="dxa"/>
              <w:bottom w:w="0" w:type="dxa"/>
              <w:right w:w="0" w:type="dxa"/>
            </w:tcMar>
            <w:vAlign w:val="center"/>
          </w:tcPr>
          <w:p>
            <w:pPr>
              <w:pStyle w:val="TableContents"/>
              <w:bidi w:val="0"/>
              <w:spacing w:before="0" w:after="0"/>
              <w:ind w:left="0" w:right="0" w:hanging="0"/>
              <w:jc w:val="both"/>
              <w:rPr>
                <w:rFonts w:ascii="Arial;sans-serif" w:hAnsi="Arial;sans-serif"/>
                <w:b w:val="false"/>
                <w:sz w:val="20"/>
                <w:u w:val="single"/>
              </w:rPr>
            </w:pPr>
            <w:r>
              <w:rPr>
                <w:rFonts w:ascii="Arial;sans-serif" w:hAnsi="Arial;sans-serif"/>
                <w:b w:val="false"/>
                <w:sz w:val="20"/>
                <w:u w:val="single"/>
              </w:rPr>
              <w:t>AGAINST</w:t>
            </w:r>
          </w:p>
        </w:tc>
        <w:tc>
          <w:tcPr>
            <w:tcW w:w="196" w:type="dxa"/>
            <w:tcBorders/>
            <w:tcMar>
              <w:top w:w="0" w:type="dxa"/>
              <w:left w:w="0" w:type="dxa"/>
              <w:bottom w:w="0" w:type="dxa"/>
              <w:right w:w="0" w:type="dxa"/>
            </w:tcMar>
            <w:vAlign w:val="center"/>
          </w:tcPr>
          <w:p>
            <w:pPr>
              <w:pStyle w:val="TableContents"/>
              <w:bidi w:val="0"/>
              <w:spacing w:before="0" w:after="0"/>
              <w:ind w:left="0" w:right="0" w:firstLine="50"/>
              <w:jc w:val="both"/>
              <w:rPr/>
            </w:pPr>
            <w:r>
              <w:rPr/>
              <w:t> </w:t>
            </w:r>
          </w:p>
        </w:tc>
        <w:tc>
          <w:tcPr>
            <w:tcW w:w="1006" w:type="dxa"/>
            <w:tcBorders/>
            <w:tcMar>
              <w:top w:w="0" w:type="dxa"/>
              <w:left w:w="0" w:type="dxa"/>
              <w:bottom w:w="0" w:type="dxa"/>
              <w:right w:w="0" w:type="dxa"/>
            </w:tcMar>
            <w:vAlign w:val="center"/>
          </w:tcPr>
          <w:p>
            <w:pPr>
              <w:pStyle w:val="TableContents"/>
              <w:bidi w:val="0"/>
              <w:spacing w:before="0" w:after="0"/>
              <w:ind w:left="0" w:right="0" w:firstLine="600"/>
              <w:jc w:val="both"/>
              <w:rPr>
                <w:rFonts w:ascii="Arial;sans-serif" w:hAnsi="Arial;sans-serif"/>
                <w:b w:val="false"/>
                <w:sz w:val="20"/>
              </w:rPr>
            </w:pPr>
            <w:r>
              <w:rPr>
                <w:rFonts w:ascii="Arial;sans-serif" w:hAnsi="Arial;sans-serif"/>
                <w:b w:val="false"/>
                <w:sz w:val="20"/>
              </w:rPr>
              <w:t>50</w:t>
            </w:r>
          </w:p>
        </w:tc>
      </w:tr>
      <w:tr>
        <w:trPr/>
        <w:tc>
          <w:tcPr>
            <w:tcW w:w="286" w:type="dxa"/>
            <w:tcBorders/>
            <w:vAlign w:val="center"/>
          </w:tcPr>
          <w:p>
            <w:pPr>
              <w:pStyle w:val="TableContents"/>
              <w:pBdr/>
              <w:bidi w:val="0"/>
              <w:spacing w:before="0" w:after="0"/>
              <w:ind w:left="60" w:right="0" w:hanging="540"/>
              <w:jc w:val="both"/>
              <w:rPr>
                <w:rFonts w:ascii="Arial;sans-serif" w:hAnsi="Arial;sans-serif"/>
                <w:b w:val="false"/>
                <w:sz w:val="20"/>
              </w:rPr>
            </w:pPr>
            <w:r>
              <w:rPr>
                <w:rFonts w:ascii="Arial;sans-serif" w:hAnsi="Arial;sans-serif"/>
                <w:b w:val="false"/>
                <w:sz w:val="20"/>
              </w:rPr>
              <w:t>8.</w:t>
            </w:r>
          </w:p>
        </w:tc>
        <w:tc>
          <w:tcPr>
            <w:tcW w:w="6631" w:type="dxa"/>
            <w:tcBorders/>
            <w:tcMar>
              <w:top w:w="0" w:type="dxa"/>
              <w:left w:w="0" w:type="dxa"/>
              <w:bottom w:w="0" w:type="dxa"/>
              <w:right w:w="0" w:type="dxa"/>
            </w:tcMar>
            <w:vAlign w:val="center"/>
          </w:tcPr>
          <w:p>
            <w:pPr>
              <w:pStyle w:val="TableContents"/>
              <w:bidi w:val="0"/>
              <w:spacing w:before="0" w:after="0"/>
              <w:ind w:left="0" w:right="0" w:hanging="0"/>
              <w:jc w:val="both"/>
              <w:rPr>
                <w:rFonts w:ascii="Arial;sans-serif" w:hAnsi="Arial;sans-serif"/>
                <w:b w:val="false"/>
                <w:sz w:val="20"/>
              </w:rPr>
            </w:pPr>
            <w:r>
              <w:rPr>
                <w:rFonts w:ascii="Arial;sans-serif" w:hAnsi="Arial;sans-serif"/>
                <w:b w:val="false"/>
                <w:sz w:val="20"/>
              </w:rPr>
              <w:t>Stockholder Proposal - Human Rights Impact Assessment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both"/>
              <w:rPr/>
            </w:pPr>
            <w:r>
              <w:rPr/>
              <w:t> </w:t>
            </w:r>
          </w:p>
        </w:tc>
        <w:tc>
          <w:tcPr>
            <w:tcW w:w="1786" w:type="dxa"/>
            <w:tcBorders/>
            <w:tcMar>
              <w:top w:w="0" w:type="dxa"/>
              <w:left w:w="0" w:type="dxa"/>
              <w:bottom w:w="0" w:type="dxa"/>
              <w:right w:w="0" w:type="dxa"/>
            </w:tcMar>
            <w:vAlign w:val="center"/>
          </w:tcPr>
          <w:p>
            <w:pPr>
              <w:pStyle w:val="TableContents"/>
              <w:bidi w:val="0"/>
              <w:spacing w:before="0" w:after="0"/>
              <w:ind w:left="0" w:right="0" w:hanging="0"/>
              <w:jc w:val="both"/>
              <w:rPr>
                <w:rFonts w:ascii="Arial;sans-serif" w:hAnsi="Arial;sans-serif"/>
                <w:b w:val="false"/>
                <w:sz w:val="20"/>
                <w:u w:val="single"/>
              </w:rPr>
            </w:pPr>
            <w:r>
              <w:rPr>
                <w:rFonts w:ascii="Arial;sans-serif" w:hAnsi="Arial;sans-serif"/>
                <w:b w:val="false"/>
                <w:sz w:val="20"/>
                <w:u w:val="single"/>
              </w:rPr>
              <w:t>AGAINST</w:t>
            </w:r>
          </w:p>
        </w:tc>
        <w:tc>
          <w:tcPr>
            <w:tcW w:w="196" w:type="dxa"/>
            <w:tcBorders/>
            <w:tcMar>
              <w:top w:w="0" w:type="dxa"/>
              <w:left w:w="0" w:type="dxa"/>
              <w:bottom w:w="0" w:type="dxa"/>
              <w:right w:w="0" w:type="dxa"/>
            </w:tcMar>
            <w:vAlign w:val="center"/>
          </w:tcPr>
          <w:p>
            <w:pPr>
              <w:pStyle w:val="TableContents"/>
              <w:bidi w:val="0"/>
              <w:spacing w:before="0" w:after="0"/>
              <w:ind w:left="0" w:right="0" w:firstLine="50"/>
              <w:jc w:val="both"/>
              <w:rPr/>
            </w:pPr>
            <w:r>
              <w:rPr/>
              <w:t> </w:t>
            </w:r>
          </w:p>
        </w:tc>
        <w:tc>
          <w:tcPr>
            <w:tcW w:w="1006" w:type="dxa"/>
            <w:tcBorders/>
            <w:tcMar>
              <w:top w:w="0" w:type="dxa"/>
              <w:left w:w="0" w:type="dxa"/>
              <w:bottom w:w="0" w:type="dxa"/>
              <w:right w:w="0" w:type="dxa"/>
            </w:tcMar>
            <w:vAlign w:val="center"/>
          </w:tcPr>
          <w:p>
            <w:pPr>
              <w:pStyle w:val="TableContents"/>
              <w:bidi w:val="0"/>
              <w:spacing w:before="0" w:after="0"/>
              <w:ind w:left="50" w:right="0" w:hanging="0"/>
              <w:jc w:val="both"/>
              <w:rPr>
                <w:rFonts w:ascii="Arial;sans-serif" w:hAnsi="Arial;sans-serif"/>
                <w:b w:val="false"/>
                <w:sz w:val="20"/>
              </w:rPr>
            </w:pPr>
            <w:r>
              <w:rPr>
                <w:rFonts w:ascii="Arial;sans-serif" w:hAnsi="Arial;sans-serif"/>
                <w:b w:val="false"/>
                <w:sz w:val="20"/>
              </w:rPr>
              <w:t>52</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626"/>
        <w:gridCol w:w="466"/>
        <w:gridCol w:w="841"/>
        <w:gridCol w:w="4380"/>
        <w:gridCol w:w="1366"/>
        <w:gridCol w:w="1526"/>
      </w:tblGrid>
      <w:tr>
        <w:trPr/>
        <w:tc>
          <w:tcPr>
            <w:tcW w:w="16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380"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1626" w:type="dxa"/>
            <w:tcBorders/>
            <w:tcMar>
              <w:top w:w="0" w:type="dxa"/>
              <w:left w:w="0" w:type="dxa"/>
              <w:bottom w:w="0" w:type="dxa"/>
              <w:right w:w="0" w:type="dxa"/>
            </w:tcMar>
            <w:vAlign w:val="center"/>
          </w:tcPr>
          <w:p>
            <w:pPr>
              <w:pStyle w:val="TableContents"/>
              <w:bidi w:val="0"/>
              <w:spacing w:before="0" w:after="0"/>
              <w:ind w:left="0" w:right="0" w:hanging="0"/>
              <w:jc w:val="both"/>
              <w:rPr>
                <w:rFonts w:ascii="Arial;sans-serif" w:hAnsi="Arial;sans-serif"/>
                <w:b/>
                <w:sz w:val="20"/>
              </w:rPr>
            </w:pPr>
            <w:r>
              <w:rPr>
                <w:rFonts w:ascii="Arial;sans-serif" w:hAnsi="Arial;sans-serif"/>
                <w:b/>
                <w:sz w:val="20"/>
              </w:rPr>
              <w:t>Name</w:t>
            </w:r>
          </w:p>
        </w:tc>
        <w:tc>
          <w:tcPr>
            <w:tcW w:w="466" w:type="dxa"/>
            <w:tcBorders/>
            <w:tcMar>
              <w:top w:w="0" w:type="dxa"/>
              <w:left w:w="0" w:type="dxa"/>
              <w:bottom w:w="0" w:type="dxa"/>
              <w:right w:w="0" w:type="dxa"/>
            </w:tcMar>
            <w:vAlign w:val="center"/>
          </w:tcPr>
          <w:p>
            <w:pPr>
              <w:pStyle w:val="TableContents"/>
              <w:bidi w:val="0"/>
              <w:spacing w:before="0" w:after="0"/>
              <w:ind w:left="0" w:right="0" w:hanging="0"/>
              <w:jc w:val="both"/>
              <w:rPr>
                <w:rFonts w:ascii="Arial;sans-serif" w:hAnsi="Arial;sans-serif"/>
                <w:b/>
                <w:sz w:val="20"/>
              </w:rPr>
            </w:pPr>
            <w:r>
              <w:rPr>
                <w:rFonts w:ascii="Arial;sans-serif" w:hAnsi="Arial;sans-serif"/>
                <w:b/>
                <w:sz w:val="20"/>
              </w:rPr>
              <w:t>Age</w:t>
            </w:r>
          </w:p>
        </w:tc>
        <w:tc>
          <w:tcPr>
            <w:tcW w:w="841" w:type="dxa"/>
            <w:tcBorders/>
            <w:tcMar>
              <w:top w:w="0" w:type="dxa"/>
              <w:left w:w="0" w:type="dxa"/>
              <w:bottom w:w="0" w:type="dxa"/>
              <w:right w:w="0" w:type="dxa"/>
            </w:tcMar>
            <w:vAlign w:val="center"/>
          </w:tcPr>
          <w:p>
            <w:pPr>
              <w:pStyle w:val="TableContents"/>
              <w:bidi w:val="0"/>
              <w:spacing w:before="0" w:after="0"/>
              <w:ind w:left="0" w:right="0" w:hanging="0"/>
              <w:jc w:val="both"/>
              <w:rPr>
                <w:rFonts w:ascii="Arial;sans-serif" w:hAnsi="Arial;sans-serif"/>
                <w:b/>
                <w:sz w:val="20"/>
              </w:rPr>
            </w:pPr>
            <w:r>
              <w:rPr>
                <w:rFonts w:ascii="Arial;sans-serif" w:hAnsi="Arial;sans-serif"/>
                <w:b/>
                <w:sz w:val="20"/>
              </w:rPr>
              <w:t>Director</w:t>
            </w:r>
          </w:p>
          <w:p>
            <w:pPr>
              <w:pStyle w:val="TableContents"/>
              <w:bidi w:val="0"/>
              <w:spacing w:before="0" w:after="0"/>
              <w:ind w:left="0" w:right="0" w:hanging="0"/>
              <w:jc w:val="both"/>
              <w:rPr>
                <w:rFonts w:ascii="Arial;sans-serif" w:hAnsi="Arial;sans-serif"/>
                <w:b/>
                <w:sz w:val="20"/>
              </w:rPr>
            </w:pPr>
            <w:r>
              <w:rPr>
                <w:rFonts w:ascii="Arial;sans-serif" w:hAnsi="Arial;sans-serif"/>
                <w:b/>
                <w:sz w:val="20"/>
              </w:rPr>
              <w:t>Since</w:t>
            </w:r>
          </w:p>
        </w:tc>
        <w:tc>
          <w:tcPr>
            <w:tcW w:w="4380" w:type="dxa"/>
            <w:tcBorders/>
            <w:tcMar>
              <w:top w:w="0" w:type="dxa"/>
              <w:left w:w="0" w:type="dxa"/>
              <w:bottom w:w="0" w:type="dxa"/>
              <w:right w:w="0" w:type="dxa"/>
            </w:tcMar>
            <w:vAlign w:val="center"/>
          </w:tcPr>
          <w:p>
            <w:pPr>
              <w:pStyle w:val="TableContents"/>
              <w:bidi w:val="0"/>
              <w:spacing w:before="0" w:after="0"/>
              <w:ind w:left="0" w:right="0" w:hanging="0"/>
              <w:jc w:val="both"/>
              <w:rPr>
                <w:rFonts w:ascii="Arial;sans-serif" w:hAnsi="Arial;sans-serif"/>
                <w:b/>
                <w:sz w:val="20"/>
              </w:rPr>
            </w:pPr>
            <w:r>
              <w:rPr>
                <w:rFonts w:ascii="Arial;sans-serif" w:hAnsi="Arial;sans-serif"/>
                <w:b/>
                <w:sz w:val="20"/>
              </w:rPr>
              <w:t>Experience</w:t>
            </w:r>
          </w:p>
        </w:tc>
        <w:tc>
          <w:tcPr>
            <w:tcW w:w="1366" w:type="dxa"/>
            <w:tcBorders/>
            <w:tcMar>
              <w:top w:w="0" w:type="dxa"/>
              <w:left w:w="0" w:type="dxa"/>
              <w:bottom w:w="0" w:type="dxa"/>
              <w:right w:w="0" w:type="dxa"/>
            </w:tcMar>
            <w:vAlign w:val="center"/>
          </w:tcPr>
          <w:p>
            <w:pPr>
              <w:pStyle w:val="TableContents"/>
              <w:bidi w:val="0"/>
              <w:spacing w:before="0" w:after="0"/>
              <w:ind w:left="0" w:right="0" w:hanging="0"/>
              <w:jc w:val="both"/>
              <w:rPr>
                <w:rFonts w:ascii="Arial;sans-serif" w:hAnsi="Arial;sans-serif"/>
                <w:b/>
                <w:sz w:val="20"/>
              </w:rPr>
            </w:pPr>
            <w:r>
              <w:rPr>
                <w:rFonts w:ascii="Arial;sans-serif" w:hAnsi="Arial;sans-serif"/>
                <w:b/>
                <w:sz w:val="20"/>
              </w:rPr>
              <w:t>Committee</w:t>
            </w:r>
          </w:p>
          <w:p>
            <w:pPr>
              <w:pStyle w:val="TableContents"/>
              <w:bidi w:val="0"/>
              <w:spacing w:before="0" w:after="0"/>
              <w:ind w:left="0" w:right="0" w:hanging="0"/>
              <w:jc w:val="both"/>
              <w:rPr>
                <w:rFonts w:ascii="Arial;sans-serif" w:hAnsi="Arial;sans-serif"/>
                <w:b/>
                <w:sz w:val="20"/>
              </w:rPr>
            </w:pPr>
            <w:r>
              <w:rPr>
                <w:rFonts w:ascii="Arial;sans-serif" w:hAnsi="Arial;sans-serif"/>
                <w:b/>
                <w:sz w:val="20"/>
              </w:rPr>
              <w:t>Memberships</w:t>
            </w:r>
          </w:p>
        </w:tc>
        <w:tc>
          <w:tcPr>
            <w:tcW w:w="1526" w:type="dxa"/>
            <w:tcBorders/>
            <w:tcMar>
              <w:top w:w="0" w:type="dxa"/>
              <w:left w:w="0" w:type="dxa"/>
              <w:bottom w:w="0" w:type="dxa"/>
              <w:right w:w="0" w:type="dxa"/>
            </w:tcMar>
            <w:vAlign w:val="center"/>
          </w:tcPr>
          <w:p>
            <w:pPr>
              <w:pStyle w:val="TableContents"/>
              <w:bidi w:val="0"/>
              <w:spacing w:before="0" w:after="0"/>
              <w:ind w:left="0" w:right="0" w:hanging="0"/>
              <w:jc w:val="both"/>
              <w:rPr>
                <w:rFonts w:ascii="Arial;sans-serif" w:hAnsi="Arial;sans-serif"/>
                <w:b/>
                <w:sz w:val="18"/>
              </w:rPr>
            </w:pPr>
            <w:r>
              <w:rPr>
                <w:rFonts w:ascii="Arial;sans-serif" w:hAnsi="Arial;sans-serif"/>
                <w:b/>
                <w:sz w:val="18"/>
              </w:rPr>
              <w:t>Other Public</w:t>
            </w:r>
          </w:p>
          <w:p>
            <w:pPr>
              <w:pStyle w:val="TableContents"/>
              <w:bidi w:val="0"/>
              <w:spacing w:before="0" w:after="0"/>
              <w:ind w:left="0" w:right="0" w:hanging="0"/>
              <w:jc w:val="both"/>
              <w:rPr>
                <w:rFonts w:ascii="Arial;sans-serif" w:hAnsi="Arial;sans-serif"/>
                <w:b/>
                <w:sz w:val="18"/>
              </w:rPr>
            </w:pPr>
            <w:r>
              <w:rPr>
                <w:rFonts w:ascii="Arial;sans-serif" w:hAnsi="Arial;sans-serif"/>
                <w:b/>
                <w:sz w:val="18"/>
              </w:rPr>
              <w:t>Company Boards</w:t>
            </w:r>
          </w:p>
        </w:tc>
      </w:tr>
      <w:tr>
        <w:trPr/>
        <w:tc>
          <w:tcPr>
            <w:tcW w:w="1626"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 w:hAnsi="Times New Roman"/>
                <w:sz w:val="16"/>
              </w:rPr>
            </w:pPr>
            <w:r>
              <w:rPr>
                <w:rFonts w:ascii="Arial;sans-serif" w:hAnsi="Arial;sans-serif"/>
                <w:b/>
                <w:sz w:val="16"/>
              </w:rPr>
              <w:t xml:space="preserve">Anita D. Britt </w:t>
            </w:r>
            <w:r>
              <w:rPr>
                <w:rFonts w:ascii="Arial;sans-serif" w:hAnsi="Arial;sans-serif"/>
                <w:b w:val="false"/>
                <w:sz w:val="16"/>
              </w:rPr>
              <w:t>*</w:t>
            </w:r>
          </w:p>
        </w:tc>
        <w:tc>
          <w:tcPr>
            <w:tcW w:w="466" w:type="dxa"/>
            <w:tcBorders/>
            <w:tcMar>
              <w:top w:w="0" w:type="dxa"/>
              <w:left w:w="0" w:type="dxa"/>
              <w:bottom w:w="0" w:type="dxa"/>
              <w:right w:w="0" w:type="dxa"/>
            </w:tcMar>
            <w:vAlign w:val="center"/>
          </w:tcPr>
          <w:p>
            <w:pPr>
              <w:pStyle w:val="TableContents"/>
              <w:bidi w:val="0"/>
              <w:spacing w:before="0" w:after="0"/>
              <w:ind w:left="0" w:right="0" w:hanging="0"/>
              <w:jc w:val="both"/>
              <w:rPr>
                <w:rFonts w:ascii="Arial;sans-serif" w:hAnsi="Arial;sans-serif"/>
                <w:b w:val="false"/>
                <w:sz w:val="16"/>
              </w:rPr>
            </w:pPr>
            <w:r>
              <w:rPr>
                <w:rFonts w:ascii="Arial;sans-serif" w:hAnsi="Arial;sans-serif"/>
                <w:b w:val="false"/>
                <w:sz w:val="16"/>
              </w:rPr>
              <w:t>60</w:t>
            </w:r>
          </w:p>
        </w:tc>
        <w:tc>
          <w:tcPr>
            <w:tcW w:w="841" w:type="dxa"/>
            <w:tcBorders/>
            <w:tcMar>
              <w:top w:w="0" w:type="dxa"/>
              <w:left w:w="0" w:type="dxa"/>
              <w:bottom w:w="0" w:type="dxa"/>
              <w:right w:w="0" w:type="dxa"/>
            </w:tcMar>
            <w:vAlign w:val="center"/>
          </w:tcPr>
          <w:p>
            <w:pPr>
              <w:pStyle w:val="TableContents"/>
              <w:bidi w:val="0"/>
              <w:spacing w:before="0" w:after="0"/>
              <w:ind w:left="0" w:right="0" w:firstLine="60"/>
              <w:jc w:val="both"/>
              <w:rPr>
                <w:rFonts w:ascii="Arial;sans-serif" w:hAnsi="Arial;sans-serif"/>
                <w:b w:val="false"/>
                <w:sz w:val="16"/>
              </w:rPr>
            </w:pPr>
            <w:r>
              <w:rPr>
                <w:rFonts w:ascii="Arial;sans-serif" w:hAnsi="Arial;sans-serif"/>
                <w:b w:val="false"/>
                <w:sz w:val="16"/>
              </w:rPr>
              <w:t>2018</w:t>
            </w:r>
          </w:p>
        </w:tc>
        <w:tc>
          <w:tcPr>
            <w:tcW w:w="4380" w:type="dxa"/>
            <w:tcBorders/>
            <w:tcMar>
              <w:top w:w="0" w:type="dxa"/>
              <w:left w:w="0" w:type="dxa"/>
              <w:bottom w:w="0" w:type="dxa"/>
              <w:right w:w="0" w:type="dxa"/>
            </w:tcMar>
            <w:vAlign w:val="center"/>
          </w:tcPr>
          <w:p>
            <w:pPr>
              <w:pStyle w:val="TableContents"/>
              <w:pBdr/>
              <w:bidi w:val="0"/>
              <w:spacing w:before="0" w:after="0"/>
              <w:ind w:left="0" w:right="0" w:hanging="60"/>
              <w:jc w:val="left"/>
              <w:rPr>
                <w:rFonts w:ascii="Arial;sans-serif" w:hAnsi="Arial;sans-serif"/>
                <w:b w:val="false"/>
                <w:sz w:val="16"/>
              </w:rPr>
            </w:pPr>
            <w:r>
              <w:rPr>
                <w:rFonts w:ascii="Arial;sans-serif" w:hAnsi="Arial;sans-serif"/>
                <w:b w:val="false"/>
                <w:sz w:val="16"/>
              </w:rPr>
              <w:t>Former CFO of Perry Ellis International, Inc.</w:t>
            </w:r>
          </w:p>
        </w:tc>
        <w:tc>
          <w:tcPr>
            <w:tcW w:w="1366" w:type="dxa"/>
            <w:tcBorders/>
            <w:tcMar>
              <w:top w:w="0" w:type="dxa"/>
              <w:left w:w="0" w:type="dxa"/>
              <w:bottom w:w="0" w:type="dxa"/>
              <w:right w:w="0" w:type="dxa"/>
            </w:tcMar>
            <w:vAlign w:val="center"/>
          </w:tcPr>
          <w:p>
            <w:pPr>
              <w:pStyle w:val="TableContents"/>
              <w:bidi w:val="0"/>
              <w:spacing w:before="0" w:after="0"/>
              <w:ind w:left="0" w:right="0" w:hanging="0"/>
              <w:jc w:val="both"/>
              <w:rPr>
                <w:rFonts w:ascii="Arial;sans-serif" w:hAnsi="Arial;sans-serif"/>
                <w:b w:val="false"/>
                <w:sz w:val="16"/>
              </w:rPr>
            </w:pPr>
            <w:r>
              <w:rPr>
                <w:rFonts w:ascii="Arial;sans-serif" w:hAnsi="Arial;sans-serif"/>
                <w:b w:val="false"/>
                <w:sz w:val="16"/>
              </w:rPr>
              <w:t>AC **, CC, ESG</w:t>
            </w:r>
          </w:p>
        </w:tc>
        <w:tc>
          <w:tcPr>
            <w:tcW w:w="1526" w:type="dxa"/>
            <w:tcBorders/>
            <w:tcMar>
              <w:top w:w="0" w:type="dxa"/>
              <w:left w:w="0" w:type="dxa"/>
              <w:bottom w:w="0" w:type="dxa"/>
              <w:right w:w="0" w:type="dxa"/>
            </w:tcMar>
            <w:vAlign w:val="center"/>
          </w:tcPr>
          <w:p>
            <w:pPr>
              <w:pStyle w:val="TableContents"/>
              <w:bidi w:val="0"/>
              <w:spacing w:before="0" w:after="0"/>
              <w:ind w:left="0" w:right="0" w:hanging="0"/>
              <w:jc w:val="both"/>
              <w:rPr>
                <w:rFonts w:ascii="Arial;sans-serif" w:hAnsi="Arial;sans-serif"/>
                <w:b w:val="false"/>
                <w:sz w:val="16"/>
              </w:rPr>
            </w:pPr>
            <w:r>
              <w:rPr>
                <w:rFonts w:ascii="Arial;sans-serif" w:hAnsi="Arial;sans-serif"/>
                <w:b w:val="false"/>
                <w:sz w:val="16"/>
              </w:rPr>
              <w:t>3</w:t>
            </w:r>
          </w:p>
        </w:tc>
      </w:tr>
      <w:tr>
        <w:trPr/>
        <w:tc>
          <w:tcPr>
            <w:tcW w:w="1626"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 w:hAnsi="Times New Roman"/>
                <w:sz w:val="16"/>
              </w:rPr>
            </w:pPr>
            <w:r>
              <w:rPr>
                <w:rFonts w:ascii="Arial;sans-serif" w:hAnsi="Arial;sans-serif"/>
                <w:b/>
                <w:sz w:val="16"/>
              </w:rPr>
              <w:t>Fred M. Diaz</w:t>
            </w:r>
            <w:r>
              <w:rPr>
                <w:rFonts w:ascii="Times New Roman" w:hAnsi="Times New Roman"/>
                <w:sz w:val="16"/>
              </w:rPr>
              <w:t xml:space="preserve"> </w:t>
            </w:r>
            <w:r>
              <w:rPr>
                <w:rFonts w:ascii="Arial;sans-serif" w:hAnsi="Arial;sans-serif"/>
                <w:b w:val="false"/>
                <w:sz w:val="16"/>
              </w:rPr>
              <w:t>*</w:t>
            </w:r>
          </w:p>
        </w:tc>
        <w:tc>
          <w:tcPr>
            <w:tcW w:w="466" w:type="dxa"/>
            <w:tcBorders/>
            <w:tcMar>
              <w:top w:w="0" w:type="dxa"/>
              <w:left w:w="0" w:type="dxa"/>
              <w:bottom w:w="0" w:type="dxa"/>
              <w:right w:w="0" w:type="dxa"/>
            </w:tcMar>
            <w:vAlign w:val="center"/>
          </w:tcPr>
          <w:p>
            <w:pPr>
              <w:pStyle w:val="TableContents"/>
              <w:bidi w:val="0"/>
              <w:spacing w:before="0" w:after="0"/>
              <w:ind w:left="0" w:right="0" w:hanging="0"/>
              <w:jc w:val="both"/>
              <w:rPr>
                <w:rFonts w:ascii="Arial;sans-serif" w:hAnsi="Arial;sans-serif"/>
                <w:b w:val="false"/>
                <w:sz w:val="16"/>
              </w:rPr>
            </w:pPr>
            <w:r>
              <w:rPr>
                <w:rFonts w:ascii="Arial;sans-serif" w:hAnsi="Arial;sans-serif"/>
                <w:b w:val="false"/>
                <w:sz w:val="16"/>
              </w:rPr>
              <w:t>57</w:t>
            </w:r>
          </w:p>
        </w:tc>
        <w:tc>
          <w:tcPr>
            <w:tcW w:w="841" w:type="dxa"/>
            <w:tcBorders/>
            <w:tcMar>
              <w:top w:w="0" w:type="dxa"/>
              <w:left w:w="0" w:type="dxa"/>
              <w:bottom w:w="0" w:type="dxa"/>
              <w:right w:w="0" w:type="dxa"/>
            </w:tcMar>
            <w:vAlign w:val="center"/>
          </w:tcPr>
          <w:p>
            <w:pPr>
              <w:pStyle w:val="TableContents"/>
              <w:bidi w:val="0"/>
              <w:spacing w:before="0" w:after="0"/>
              <w:ind w:left="0" w:right="0" w:firstLine="60"/>
              <w:jc w:val="both"/>
              <w:rPr>
                <w:rFonts w:ascii="Arial;sans-serif" w:hAnsi="Arial;sans-serif"/>
                <w:b w:val="false"/>
                <w:sz w:val="16"/>
              </w:rPr>
            </w:pPr>
            <w:r>
              <w:rPr>
                <w:rFonts w:ascii="Arial;sans-serif" w:hAnsi="Arial;sans-serif"/>
                <w:b w:val="false"/>
                <w:sz w:val="16"/>
              </w:rPr>
              <w:t>2021</w:t>
            </w:r>
          </w:p>
        </w:tc>
        <w:tc>
          <w:tcPr>
            <w:tcW w:w="4380" w:type="dxa"/>
            <w:tcBorders/>
            <w:tcMar>
              <w:top w:w="0" w:type="dxa"/>
              <w:left w:w="0" w:type="dxa"/>
              <w:bottom w:w="0" w:type="dxa"/>
              <w:right w:w="0" w:type="dxa"/>
            </w:tcMar>
            <w:vAlign w:val="center"/>
          </w:tcPr>
          <w:p>
            <w:pPr>
              <w:pStyle w:val="TableContents"/>
              <w:pBdr/>
              <w:bidi w:val="0"/>
              <w:spacing w:before="0" w:after="0"/>
              <w:ind w:left="0" w:right="0" w:hanging="60"/>
              <w:jc w:val="left"/>
              <w:rPr>
                <w:rFonts w:ascii="Arial;sans-serif" w:hAnsi="Arial;sans-serif"/>
                <w:b w:val="false"/>
                <w:sz w:val="16"/>
              </w:rPr>
            </w:pPr>
            <w:r>
              <w:rPr>
                <w:rFonts w:ascii="Arial;sans-serif" w:hAnsi="Arial;sans-serif"/>
                <w:b w:val="false"/>
                <w:sz w:val="16"/>
              </w:rPr>
              <w:t>Former President and CEO of Mitsubishi Motor North America, Inc.</w:t>
            </w:r>
          </w:p>
        </w:tc>
        <w:tc>
          <w:tcPr>
            <w:tcW w:w="1366" w:type="dxa"/>
            <w:tcBorders/>
            <w:tcMar>
              <w:top w:w="0" w:type="dxa"/>
              <w:left w:w="0" w:type="dxa"/>
              <w:bottom w:w="0" w:type="dxa"/>
              <w:right w:w="0" w:type="dxa"/>
            </w:tcMar>
            <w:vAlign w:val="center"/>
          </w:tcPr>
          <w:p>
            <w:pPr>
              <w:pStyle w:val="TableContents"/>
              <w:bidi w:val="0"/>
              <w:spacing w:before="0" w:after="0"/>
              <w:ind w:left="0" w:right="0" w:hanging="0"/>
              <w:jc w:val="both"/>
              <w:rPr>
                <w:rFonts w:ascii="Arial;sans-serif" w:hAnsi="Arial;sans-serif"/>
                <w:b w:val="false"/>
                <w:sz w:val="16"/>
              </w:rPr>
            </w:pPr>
            <w:r>
              <w:rPr>
                <w:rFonts w:ascii="Arial;sans-serif" w:hAnsi="Arial;sans-serif"/>
                <w:b w:val="false"/>
                <w:sz w:val="16"/>
              </w:rPr>
              <w:t>CC, ESG**</w:t>
            </w:r>
          </w:p>
        </w:tc>
        <w:tc>
          <w:tcPr>
            <w:tcW w:w="1526" w:type="dxa"/>
            <w:tcBorders/>
            <w:tcMar>
              <w:top w:w="0" w:type="dxa"/>
              <w:left w:w="0" w:type="dxa"/>
              <w:bottom w:w="0" w:type="dxa"/>
              <w:right w:w="0" w:type="dxa"/>
            </w:tcMar>
            <w:vAlign w:val="center"/>
          </w:tcPr>
          <w:p>
            <w:pPr>
              <w:pStyle w:val="TableContents"/>
              <w:bidi w:val="0"/>
              <w:spacing w:before="0" w:after="0"/>
              <w:ind w:left="0" w:right="0" w:hanging="0"/>
              <w:jc w:val="both"/>
              <w:rPr>
                <w:rFonts w:ascii="Arial;sans-serif" w:hAnsi="Arial;sans-serif"/>
                <w:b w:val="false"/>
                <w:sz w:val="16"/>
              </w:rPr>
            </w:pPr>
            <w:r>
              <w:rPr>
                <w:rFonts w:ascii="Arial;sans-serif" w:hAnsi="Arial;sans-serif"/>
                <w:b w:val="false"/>
                <w:sz w:val="16"/>
              </w:rPr>
              <w:t>3</w:t>
            </w:r>
          </w:p>
        </w:tc>
      </w:tr>
      <w:tr>
        <w:trPr/>
        <w:tc>
          <w:tcPr>
            <w:tcW w:w="1626"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 w:hAnsi="Times New Roman"/>
                <w:sz w:val="16"/>
              </w:rPr>
            </w:pPr>
            <w:r>
              <w:rPr>
                <w:rFonts w:ascii="Arial;sans-serif" w:hAnsi="Arial;sans-serif"/>
                <w:b/>
                <w:sz w:val="16"/>
              </w:rPr>
              <w:t>Michelle J. Lohmeier</w:t>
            </w:r>
            <w:r>
              <w:rPr>
                <w:rFonts w:ascii="Arial;sans-serif" w:hAnsi="Arial;sans-serif"/>
                <w:b w:val="false"/>
                <w:sz w:val="16"/>
              </w:rPr>
              <w:t>*</w:t>
            </w:r>
          </w:p>
        </w:tc>
        <w:tc>
          <w:tcPr>
            <w:tcW w:w="466" w:type="dxa"/>
            <w:tcBorders/>
            <w:tcMar>
              <w:top w:w="0" w:type="dxa"/>
              <w:left w:w="0" w:type="dxa"/>
              <w:bottom w:w="0" w:type="dxa"/>
              <w:right w:w="0" w:type="dxa"/>
            </w:tcMar>
            <w:vAlign w:val="center"/>
          </w:tcPr>
          <w:p>
            <w:pPr>
              <w:pStyle w:val="TableContents"/>
              <w:bidi w:val="0"/>
              <w:spacing w:before="0" w:after="0"/>
              <w:ind w:left="0" w:right="0" w:hanging="0"/>
              <w:jc w:val="both"/>
              <w:rPr>
                <w:rFonts w:ascii="Arial;sans-serif" w:hAnsi="Arial;sans-serif"/>
                <w:b w:val="false"/>
                <w:sz w:val="16"/>
              </w:rPr>
            </w:pPr>
            <w:r>
              <w:rPr>
                <w:rFonts w:ascii="Arial;sans-serif" w:hAnsi="Arial;sans-serif"/>
                <w:b w:val="false"/>
                <w:sz w:val="16"/>
              </w:rPr>
              <w:t>60</w:t>
            </w:r>
          </w:p>
        </w:tc>
        <w:tc>
          <w:tcPr>
            <w:tcW w:w="841" w:type="dxa"/>
            <w:tcBorders/>
            <w:tcMar>
              <w:top w:w="0" w:type="dxa"/>
              <w:left w:w="0" w:type="dxa"/>
              <w:bottom w:w="0" w:type="dxa"/>
              <w:right w:w="0" w:type="dxa"/>
            </w:tcMar>
            <w:vAlign w:val="center"/>
          </w:tcPr>
          <w:p>
            <w:pPr>
              <w:pStyle w:val="TableContents"/>
              <w:bidi w:val="0"/>
              <w:spacing w:before="0" w:after="0"/>
              <w:ind w:left="0" w:right="0" w:hanging="0"/>
              <w:jc w:val="both"/>
              <w:rPr>
                <w:rFonts w:ascii="Arial;sans-serif" w:hAnsi="Arial;sans-serif"/>
                <w:b w:val="false"/>
                <w:sz w:val="16"/>
              </w:rPr>
            </w:pPr>
            <w:r>
              <w:rPr>
                <w:rFonts w:ascii="Arial;sans-serif" w:hAnsi="Arial;sans-serif"/>
                <w:b w:val="false"/>
                <w:sz w:val="16"/>
              </w:rPr>
              <w:t>2023</w:t>
            </w:r>
          </w:p>
        </w:tc>
        <w:tc>
          <w:tcPr>
            <w:tcW w:w="4380"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Former Strategic Advisor to CEO of Spirit AeroSystems, Inc.</w:t>
            </w:r>
          </w:p>
        </w:tc>
        <w:tc>
          <w:tcPr>
            <w:tcW w:w="1366" w:type="dxa"/>
            <w:tcBorders/>
            <w:tcMar>
              <w:top w:w="0" w:type="dxa"/>
              <w:left w:w="0" w:type="dxa"/>
              <w:bottom w:w="0" w:type="dxa"/>
              <w:right w:w="0" w:type="dxa"/>
            </w:tcMar>
            <w:vAlign w:val="center"/>
          </w:tcPr>
          <w:p>
            <w:pPr>
              <w:pStyle w:val="TableContents"/>
              <w:bidi w:val="0"/>
              <w:spacing w:before="0" w:after="0"/>
              <w:ind w:left="0" w:right="0" w:hanging="0"/>
              <w:jc w:val="both"/>
              <w:rPr>
                <w:rFonts w:ascii="Arial;sans-serif" w:hAnsi="Arial;sans-serif"/>
                <w:b w:val="false"/>
                <w:sz w:val="16"/>
              </w:rPr>
            </w:pPr>
            <w:r>
              <w:rPr>
                <w:rFonts w:ascii="Arial;sans-serif" w:hAnsi="Arial;sans-serif"/>
                <w:b w:val="false"/>
                <w:sz w:val="16"/>
              </w:rPr>
              <w:t>CC, ESG</w:t>
            </w:r>
          </w:p>
        </w:tc>
        <w:tc>
          <w:tcPr>
            <w:tcW w:w="1526" w:type="dxa"/>
            <w:tcBorders/>
            <w:tcMar>
              <w:top w:w="0" w:type="dxa"/>
              <w:left w:w="0" w:type="dxa"/>
              <w:bottom w:w="0" w:type="dxa"/>
              <w:right w:w="0" w:type="dxa"/>
            </w:tcMar>
            <w:vAlign w:val="center"/>
          </w:tcPr>
          <w:p>
            <w:pPr>
              <w:pStyle w:val="TableContents"/>
              <w:bidi w:val="0"/>
              <w:spacing w:before="0" w:after="0"/>
              <w:ind w:left="0" w:right="0" w:hanging="0"/>
              <w:jc w:val="both"/>
              <w:rPr>
                <w:rFonts w:ascii="Arial;sans-serif" w:hAnsi="Arial;sans-serif"/>
                <w:b w:val="false"/>
                <w:sz w:val="16"/>
              </w:rPr>
            </w:pPr>
            <w:r>
              <w:rPr>
                <w:rFonts w:ascii="Arial;sans-serif" w:hAnsi="Arial;sans-serif"/>
                <w:b w:val="false"/>
                <w:sz w:val="16"/>
              </w:rPr>
              <w:t>2</w:t>
            </w:r>
          </w:p>
        </w:tc>
      </w:tr>
      <w:tr>
        <w:trPr/>
        <w:tc>
          <w:tcPr>
            <w:tcW w:w="1626"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 w:hAnsi="Times New Roman"/>
                <w:sz w:val="16"/>
              </w:rPr>
            </w:pPr>
            <w:r>
              <w:rPr>
                <w:rFonts w:ascii="Arial;sans-serif" w:hAnsi="Arial;sans-serif"/>
                <w:b/>
                <w:sz w:val="16"/>
              </w:rPr>
              <w:t xml:space="preserve">Barry M. Monheit </w:t>
            </w:r>
            <w:r>
              <w:rPr>
                <w:rFonts w:ascii="Arial;sans-serif" w:hAnsi="Arial;sans-serif"/>
                <w:b w:val="false"/>
                <w:sz w:val="16"/>
              </w:rPr>
              <w:t>*</w:t>
            </w:r>
          </w:p>
        </w:tc>
        <w:tc>
          <w:tcPr>
            <w:tcW w:w="466" w:type="dxa"/>
            <w:tcBorders/>
            <w:tcMar>
              <w:top w:w="0" w:type="dxa"/>
              <w:left w:w="0" w:type="dxa"/>
              <w:bottom w:w="0" w:type="dxa"/>
              <w:right w:w="0" w:type="dxa"/>
            </w:tcMar>
            <w:vAlign w:val="center"/>
          </w:tcPr>
          <w:p>
            <w:pPr>
              <w:pStyle w:val="TableContents"/>
              <w:bidi w:val="0"/>
              <w:spacing w:before="0" w:after="0"/>
              <w:ind w:left="0" w:right="0" w:hanging="0"/>
              <w:jc w:val="both"/>
              <w:rPr>
                <w:rFonts w:ascii="Arial;sans-serif" w:hAnsi="Arial;sans-serif"/>
                <w:b w:val="false"/>
                <w:sz w:val="16"/>
              </w:rPr>
            </w:pPr>
            <w:r>
              <w:rPr>
                <w:rFonts w:ascii="Arial;sans-serif" w:hAnsi="Arial;sans-serif"/>
                <w:b w:val="false"/>
                <w:sz w:val="16"/>
              </w:rPr>
              <w:t>76</w:t>
            </w:r>
          </w:p>
        </w:tc>
        <w:tc>
          <w:tcPr>
            <w:tcW w:w="841" w:type="dxa"/>
            <w:tcBorders/>
            <w:tcMar>
              <w:top w:w="0" w:type="dxa"/>
              <w:left w:w="0" w:type="dxa"/>
              <w:bottom w:w="0" w:type="dxa"/>
              <w:right w:w="0" w:type="dxa"/>
            </w:tcMar>
            <w:vAlign w:val="center"/>
          </w:tcPr>
          <w:p>
            <w:pPr>
              <w:pStyle w:val="TableContents"/>
              <w:bidi w:val="0"/>
              <w:spacing w:before="0" w:after="0"/>
              <w:ind w:left="0" w:right="0" w:firstLine="60"/>
              <w:jc w:val="both"/>
              <w:rPr>
                <w:rFonts w:ascii="Arial;sans-serif" w:hAnsi="Arial;sans-serif"/>
                <w:b w:val="false"/>
                <w:sz w:val="16"/>
              </w:rPr>
            </w:pPr>
            <w:r>
              <w:rPr>
                <w:rFonts w:ascii="Arial;sans-serif" w:hAnsi="Arial;sans-serif"/>
                <w:b w:val="false"/>
                <w:sz w:val="16"/>
              </w:rPr>
              <w:t>2004</w:t>
            </w:r>
          </w:p>
        </w:tc>
        <w:tc>
          <w:tcPr>
            <w:tcW w:w="4380" w:type="dxa"/>
            <w:tcBorders/>
            <w:tcMar>
              <w:top w:w="0" w:type="dxa"/>
              <w:left w:w="0" w:type="dxa"/>
              <w:bottom w:w="0" w:type="dxa"/>
              <w:right w:w="0" w:type="dxa"/>
            </w:tcMar>
            <w:vAlign w:val="center"/>
          </w:tcPr>
          <w:p>
            <w:pPr>
              <w:pStyle w:val="TableContents"/>
              <w:pBdr/>
              <w:bidi w:val="0"/>
              <w:spacing w:before="0" w:after="0"/>
              <w:ind w:left="0" w:right="0" w:hanging="60"/>
              <w:jc w:val="both"/>
              <w:rPr>
                <w:rFonts w:ascii="Arial;sans-serif" w:hAnsi="Arial;sans-serif"/>
                <w:b w:val="false"/>
                <w:sz w:val="16"/>
              </w:rPr>
            </w:pPr>
            <w:r>
              <w:rPr>
                <w:rFonts w:ascii="Arial;sans-serif" w:hAnsi="Arial;sans-serif"/>
                <w:b w:val="false"/>
                <w:sz w:val="16"/>
              </w:rPr>
              <w:t>Former President of Financial Consulting</w:t>
            </w:r>
          </w:p>
          <w:p>
            <w:pPr>
              <w:pStyle w:val="TableContents"/>
              <w:pBdr/>
              <w:bidi w:val="0"/>
              <w:spacing w:before="0" w:after="0"/>
              <w:ind w:left="0" w:right="0" w:hanging="60"/>
              <w:jc w:val="both"/>
              <w:rPr>
                <w:rFonts w:ascii="Arial;sans-serif" w:hAnsi="Arial;sans-serif"/>
                <w:b w:val="false"/>
                <w:sz w:val="16"/>
              </w:rPr>
            </w:pPr>
            <w:r>
              <w:rPr>
                <w:rFonts w:ascii="Arial;sans-serif" w:hAnsi="Arial;sans-serif"/>
                <w:b w:val="false"/>
                <w:sz w:val="16"/>
              </w:rPr>
              <w:t>Division of FTI Consulting</w:t>
            </w:r>
          </w:p>
        </w:tc>
        <w:tc>
          <w:tcPr>
            <w:tcW w:w="1366" w:type="dxa"/>
            <w:tcBorders/>
            <w:tcMar>
              <w:top w:w="0" w:type="dxa"/>
              <w:left w:w="0" w:type="dxa"/>
              <w:bottom w:w="0" w:type="dxa"/>
              <w:right w:w="0" w:type="dxa"/>
            </w:tcMar>
            <w:vAlign w:val="center"/>
          </w:tcPr>
          <w:p>
            <w:pPr>
              <w:pStyle w:val="TableContents"/>
              <w:bidi w:val="0"/>
              <w:spacing w:before="0" w:after="0"/>
              <w:ind w:left="0" w:right="0" w:hanging="0"/>
              <w:jc w:val="both"/>
              <w:rPr>
                <w:rFonts w:ascii="Arial;sans-serif" w:hAnsi="Arial;sans-serif"/>
                <w:b w:val="false"/>
                <w:sz w:val="16"/>
              </w:rPr>
            </w:pPr>
            <w:r>
              <w:rPr>
                <w:rFonts w:ascii="Arial;sans-serif" w:hAnsi="Arial;sans-serif"/>
                <w:b w:val="false"/>
                <w:sz w:val="16"/>
              </w:rPr>
              <w:t>CC **, NCG</w:t>
            </w:r>
          </w:p>
        </w:tc>
        <w:tc>
          <w:tcPr>
            <w:tcW w:w="1526" w:type="dxa"/>
            <w:tcBorders/>
            <w:tcMar>
              <w:top w:w="0" w:type="dxa"/>
              <w:left w:w="0" w:type="dxa"/>
              <w:bottom w:w="0" w:type="dxa"/>
              <w:right w:w="0" w:type="dxa"/>
            </w:tcMar>
            <w:vAlign w:val="center"/>
          </w:tcPr>
          <w:p>
            <w:pPr>
              <w:pStyle w:val="TableContents"/>
              <w:bidi w:val="0"/>
              <w:spacing w:before="0" w:after="0"/>
              <w:ind w:left="0" w:right="0" w:hanging="0"/>
              <w:jc w:val="both"/>
              <w:rPr>
                <w:rFonts w:ascii="Arial;sans-serif" w:hAnsi="Arial;sans-serif"/>
                <w:b w:val="false"/>
                <w:sz w:val="16"/>
              </w:rPr>
            </w:pPr>
            <w:r>
              <w:rPr>
                <w:rFonts w:ascii="Arial;sans-serif" w:hAnsi="Arial;sans-serif"/>
                <w:b w:val="false"/>
                <w:sz w:val="16"/>
              </w:rPr>
              <w:t>1</w:t>
            </w:r>
          </w:p>
        </w:tc>
      </w:tr>
      <w:tr>
        <w:trPr/>
        <w:tc>
          <w:tcPr>
            <w:tcW w:w="1626"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 w:hAnsi="Times New Roman"/>
                <w:sz w:val="16"/>
              </w:rPr>
            </w:pPr>
            <w:r>
              <w:rPr>
                <w:rFonts w:ascii="Arial;sans-serif" w:hAnsi="Arial;sans-serif"/>
                <w:b/>
                <w:sz w:val="16"/>
              </w:rPr>
              <w:t xml:space="preserve">Robert L. Scott </w:t>
            </w:r>
            <w:r>
              <w:rPr>
                <w:rFonts w:ascii="Arial;sans-serif" w:hAnsi="Arial;sans-serif"/>
                <w:b w:val="false"/>
                <w:sz w:val="16"/>
              </w:rPr>
              <w:t>*§</w:t>
            </w:r>
          </w:p>
        </w:tc>
        <w:tc>
          <w:tcPr>
            <w:tcW w:w="466" w:type="dxa"/>
            <w:tcBorders/>
            <w:tcMar>
              <w:top w:w="0" w:type="dxa"/>
              <w:left w:w="0" w:type="dxa"/>
              <w:bottom w:w="0" w:type="dxa"/>
              <w:right w:w="0" w:type="dxa"/>
            </w:tcMar>
            <w:vAlign w:val="center"/>
          </w:tcPr>
          <w:p>
            <w:pPr>
              <w:pStyle w:val="TableContents"/>
              <w:bidi w:val="0"/>
              <w:spacing w:before="0" w:after="0"/>
              <w:ind w:left="0" w:right="0" w:hanging="0"/>
              <w:jc w:val="both"/>
              <w:rPr>
                <w:rFonts w:ascii="Arial;sans-serif" w:hAnsi="Arial;sans-serif"/>
                <w:b w:val="false"/>
                <w:sz w:val="16"/>
              </w:rPr>
            </w:pPr>
            <w:r>
              <w:rPr>
                <w:rFonts w:ascii="Arial;sans-serif" w:hAnsi="Arial;sans-serif"/>
                <w:b w:val="false"/>
                <w:sz w:val="16"/>
              </w:rPr>
              <w:t>77</w:t>
            </w:r>
          </w:p>
        </w:tc>
        <w:tc>
          <w:tcPr>
            <w:tcW w:w="841" w:type="dxa"/>
            <w:tcBorders/>
            <w:tcMar>
              <w:top w:w="0" w:type="dxa"/>
              <w:left w:w="0" w:type="dxa"/>
              <w:bottom w:w="0" w:type="dxa"/>
              <w:right w:w="0" w:type="dxa"/>
            </w:tcMar>
            <w:vAlign w:val="center"/>
          </w:tcPr>
          <w:p>
            <w:pPr>
              <w:pStyle w:val="TableContents"/>
              <w:bidi w:val="0"/>
              <w:spacing w:before="0" w:after="0"/>
              <w:ind w:left="0" w:right="0" w:firstLine="60"/>
              <w:jc w:val="both"/>
              <w:rPr>
                <w:rFonts w:ascii="Arial;sans-serif" w:hAnsi="Arial;sans-serif"/>
                <w:b w:val="false"/>
                <w:sz w:val="16"/>
              </w:rPr>
            </w:pPr>
            <w:r>
              <w:rPr>
                <w:rFonts w:ascii="Arial;sans-serif" w:hAnsi="Arial;sans-serif"/>
                <w:b w:val="false"/>
                <w:sz w:val="16"/>
              </w:rPr>
              <w:t>1999</w:t>
            </w:r>
          </w:p>
        </w:tc>
        <w:tc>
          <w:tcPr>
            <w:tcW w:w="4380" w:type="dxa"/>
            <w:tcBorders/>
            <w:tcMar>
              <w:top w:w="0" w:type="dxa"/>
              <w:left w:w="0" w:type="dxa"/>
              <w:bottom w:w="0" w:type="dxa"/>
              <w:right w:w="0" w:type="dxa"/>
            </w:tcMar>
            <w:vAlign w:val="center"/>
          </w:tcPr>
          <w:p>
            <w:pPr>
              <w:pStyle w:val="TableContents"/>
              <w:pBdr/>
              <w:bidi w:val="0"/>
              <w:spacing w:before="0" w:after="0"/>
              <w:ind w:left="0" w:right="0" w:hanging="60"/>
              <w:jc w:val="left"/>
              <w:rPr>
                <w:rFonts w:ascii="Arial;sans-serif" w:hAnsi="Arial;sans-serif"/>
                <w:b w:val="false"/>
                <w:sz w:val="16"/>
              </w:rPr>
            </w:pPr>
            <w:r>
              <w:rPr>
                <w:rFonts w:ascii="Arial;sans-serif" w:hAnsi="Arial;sans-serif"/>
                <w:b w:val="false"/>
                <w:sz w:val="16"/>
              </w:rPr>
              <w:t>Former President of a predecessor of Smith &amp; Wesson Brands, Inc.</w:t>
            </w:r>
          </w:p>
        </w:tc>
        <w:tc>
          <w:tcPr>
            <w:tcW w:w="1366" w:type="dxa"/>
            <w:tcBorders/>
            <w:tcMar>
              <w:top w:w="0" w:type="dxa"/>
              <w:left w:w="0" w:type="dxa"/>
              <w:bottom w:w="0" w:type="dxa"/>
              <w:right w:w="0" w:type="dxa"/>
            </w:tcMar>
            <w:vAlign w:val="center"/>
          </w:tcPr>
          <w:p>
            <w:pPr>
              <w:pStyle w:val="TableContents"/>
              <w:bidi w:val="0"/>
              <w:spacing w:before="0" w:after="0"/>
              <w:ind w:left="0" w:right="0" w:hanging="0"/>
              <w:jc w:val="both"/>
              <w:rPr>
                <w:rFonts w:ascii="Arial;sans-serif" w:hAnsi="Arial;sans-serif"/>
                <w:b w:val="false"/>
                <w:sz w:val="16"/>
              </w:rPr>
            </w:pPr>
            <w:r>
              <w:rPr>
                <w:rFonts w:ascii="Arial;sans-serif" w:hAnsi="Arial;sans-serif"/>
                <w:b w:val="false"/>
                <w:sz w:val="16"/>
              </w:rPr>
              <w:t>AC, NCG</w:t>
            </w:r>
          </w:p>
        </w:tc>
        <w:tc>
          <w:tcPr>
            <w:tcW w:w="1526" w:type="dxa"/>
            <w:tcBorders/>
            <w:tcMar>
              <w:top w:w="0" w:type="dxa"/>
              <w:left w:w="0" w:type="dxa"/>
              <w:bottom w:w="0" w:type="dxa"/>
              <w:right w:w="0" w:type="dxa"/>
            </w:tcMar>
            <w:vAlign w:val="center"/>
          </w:tcPr>
          <w:p>
            <w:pPr>
              <w:pStyle w:val="TableContents"/>
              <w:bidi w:val="0"/>
              <w:spacing w:before="0" w:after="0"/>
              <w:ind w:left="0" w:right="0" w:hanging="0"/>
              <w:jc w:val="both"/>
              <w:rPr>
                <w:rFonts w:ascii="Arial;sans-serif" w:hAnsi="Arial;sans-serif"/>
                <w:b w:val="false"/>
                <w:sz w:val="16"/>
              </w:rPr>
            </w:pPr>
            <w:r>
              <w:rPr>
                <w:rFonts w:ascii="Arial;sans-serif" w:hAnsi="Arial;sans-serif"/>
                <w:b w:val="false"/>
                <w:sz w:val="16"/>
              </w:rPr>
              <w:t>0</w:t>
            </w:r>
          </w:p>
        </w:tc>
      </w:tr>
      <w:tr>
        <w:trPr/>
        <w:tc>
          <w:tcPr>
            <w:tcW w:w="1626" w:type="dxa"/>
            <w:tcBorders/>
            <w:tcMar>
              <w:top w:w="0" w:type="dxa"/>
              <w:left w:w="0" w:type="dxa"/>
              <w:bottom w:w="0" w:type="dxa"/>
              <w:right w:w="0" w:type="dxa"/>
            </w:tcMar>
            <w:vAlign w:val="center"/>
          </w:tcPr>
          <w:p>
            <w:pPr>
              <w:pStyle w:val="TableContents"/>
              <w:bidi w:val="0"/>
              <w:spacing w:before="0" w:after="0"/>
              <w:ind w:left="0" w:right="0" w:hanging="0"/>
              <w:jc w:val="both"/>
              <w:rPr>
                <w:rFonts w:ascii="Arial;sans-serif" w:hAnsi="Arial;sans-serif"/>
                <w:b/>
                <w:sz w:val="16"/>
              </w:rPr>
            </w:pPr>
            <w:r>
              <w:rPr>
                <w:rFonts w:ascii="Arial;sans-serif" w:hAnsi="Arial;sans-serif"/>
                <w:b/>
                <w:sz w:val="16"/>
              </w:rPr>
              <w:t>Mark P. Smith</w:t>
            </w:r>
          </w:p>
        </w:tc>
        <w:tc>
          <w:tcPr>
            <w:tcW w:w="466" w:type="dxa"/>
            <w:tcBorders/>
            <w:tcMar>
              <w:top w:w="0" w:type="dxa"/>
              <w:left w:w="0" w:type="dxa"/>
              <w:bottom w:w="0" w:type="dxa"/>
              <w:right w:w="0" w:type="dxa"/>
            </w:tcMar>
            <w:vAlign w:val="center"/>
          </w:tcPr>
          <w:p>
            <w:pPr>
              <w:pStyle w:val="TableContents"/>
              <w:bidi w:val="0"/>
              <w:spacing w:before="0" w:after="0"/>
              <w:ind w:left="0" w:right="0" w:hanging="0"/>
              <w:jc w:val="both"/>
              <w:rPr>
                <w:rFonts w:ascii="Arial;sans-serif" w:hAnsi="Arial;sans-serif"/>
                <w:b w:val="false"/>
                <w:sz w:val="16"/>
              </w:rPr>
            </w:pPr>
            <w:r>
              <w:rPr>
                <w:rFonts w:ascii="Arial;sans-serif" w:hAnsi="Arial;sans-serif"/>
                <w:b w:val="false"/>
                <w:sz w:val="16"/>
              </w:rPr>
              <w:t>47</w:t>
            </w:r>
          </w:p>
        </w:tc>
        <w:tc>
          <w:tcPr>
            <w:tcW w:w="841" w:type="dxa"/>
            <w:tcBorders/>
            <w:tcMar>
              <w:top w:w="0" w:type="dxa"/>
              <w:left w:w="0" w:type="dxa"/>
              <w:bottom w:w="0" w:type="dxa"/>
              <w:right w:w="0" w:type="dxa"/>
            </w:tcMar>
            <w:vAlign w:val="center"/>
          </w:tcPr>
          <w:p>
            <w:pPr>
              <w:pStyle w:val="TableContents"/>
              <w:bidi w:val="0"/>
              <w:spacing w:before="0" w:after="0"/>
              <w:ind w:left="0" w:right="0" w:firstLine="60"/>
              <w:jc w:val="both"/>
              <w:rPr>
                <w:rFonts w:ascii="Arial;sans-serif" w:hAnsi="Arial;sans-serif"/>
                <w:b w:val="false"/>
                <w:sz w:val="16"/>
              </w:rPr>
            </w:pPr>
            <w:r>
              <w:rPr>
                <w:rFonts w:ascii="Arial;sans-serif" w:hAnsi="Arial;sans-serif"/>
                <w:b w:val="false"/>
                <w:sz w:val="16"/>
              </w:rPr>
              <w:t>2020</w:t>
            </w:r>
          </w:p>
        </w:tc>
        <w:tc>
          <w:tcPr>
            <w:tcW w:w="4380" w:type="dxa"/>
            <w:tcBorders/>
            <w:tcMar>
              <w:top w:w="0" w:type="dxa"/>
              <w:left w:w="0" w:type="dxa"/>
              <w:bottom w:w="0" w:type="dxa"/>
              <w:right w:w="0" w:type="dxa"/>
            </w:tcMar>
            <w:vAlign w:val="center"/>
          </w:tcPr>
          <w:p>
            <w:pPr>
              <w:pStyle w:val="TableContents"/>
              <w:pBdr/>
              <w:bidi w:val="0"/>
              <w:spacing w:before="0" w:after="0"/>
              <w:ind w:left="0" w:right="0" w:firstLine="720"/>
              <w:jc w:val="left"/>
              <w:rPr>
                <w:rFonts w:ascii="Arial;sans-serif" w:hAnsi="Arial;sans-serif"/>
                <w:b w:val="false"/>
                <w:sz w:val="16"/>
              </w:rPr>
            </w:pPr>
            <w:r>
              <w:rPr>
                <w:rFonts w:ascii="Arial;sans-serif" w:hAnsi="Arial;sans-serif"/>
                <w:b w:val="false"/>
                <w:sz w:val="16"/>
              </w:rPr>
              <w:t>President and CEO of Smith &amp; Wesson Brands, Inc.</w:t>
            </w:r>
          </w:p>
        </w:tc>
        <w:tc>
          <w:tcPr>
            <w:tcW w:w="1366" w:type="dxa"/>
            <w:tcBorders/>
            <w:tcMar>
              <w:top w:w="0" w:type="dxa"/>
              <w:left w:w="0" w:type="dxa"/>
              <w:bottom w:w="0" w:type="dxa"/>
              <w:right w:w="0" w:type="dxa"/>
            </w:tcMar>
            <w:vAlign w:val="center"/>
          </w:tcPr>
          <w:p>
            <w:pPr>
              <w:pStyle w:val="TableContents"/>
              <w:bidi w:val="0"/>
              <w:spacing w:before="0" w:after="0"/>
              <w:ind w:left="360" w:right="0" w:hanging="0"/>
              <w:jc w:val="both"/>
              <w:rPr>
                <w:rFonts w:ascii="Times New Roman" w:hAnsi="Times New Roman"/>
                <w:b w:val="false"/>
                <w:sz w:val="20"/>
              </w:rPr>
            </w:pPr>
            <w:r>
              <w:rPr>
                <w:rFonts w:ascii="Times New Roman" w:hAnsi="Times New Roman"/>
                <w:b w:val="false"/>
                <w:sz w:val="20"/>
              </w:rPr>
              <w:t>-</w:t>
            </w:r>
          </w:p>
        </w:tc>
        <w:tc>
          <w:tcPr>
            <w:tcW w:w="1526" w:type="dxa"/>
            <w:tcBorders/>
            <w:tcMar>
              <w:top w:w="0" w:type="dxa"/>
              <w:left w:w="0" w:type="dxa"/>
              <w:bottom w:w="0" w:type="dxa"/>
              <w:right w:w="0" w:type="dxa"/>
            </w:tcMar>
            <w:vAlign w:val="center"/>
          </w:tcPr>
          <w:p>
            <w:pPr>
              <w:pStyle w:val="TableContents"/>
              <w:bidi w:val="0"/>
              <w:spacing w:before="0" w:after="0"/>
              <w:ind w:left="0" w:right="0" w:hanging="0"/>
              <w:jc w:val="both"/>
              <w:rPr>
                <w:rFonts w:ascii="Arial;sans-serif" w:hAnsi="Arial;sans-serif"/>
                <w:b w:val="false"/>
                <w:sz w:val="16"/>
              </w:rPr>
            </w:pPr>
            <w:r>
              <w:rPr>
                <w:rFonts w:ascii="Arial;sans-serif" w:hAnsi="Arial;sans-serif"/>
                <w:b w:val="false"/>
                <w:sz w:val="16"/>
              </w:rPr>
              <w:t>0</w:t>
            </w:r>
          </w:p>
        </w:tc>
      </w:tr>
      <w:tr>
        <w:trPr/>
        <w:tc>
          <w:tcPr>
            <w:tcW w:w="1626"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 w:hAnsi="Times New Roman"/>
                <w:sz w:val="16"/>
              </w:rPr>
            </w:pPr>
            <w:r>
              <w:rPr>
                <w:rFonts w:ascii="Arial;sans-serif" w:hAnsi="Arial;sans-serif"/>
                <w:b/>
                <w:sz w:val="16"/>
              </w:rPr>
              <w:t xml:space="preserve">Denis G. Suggs </w:t>
            </w:r>
            <w:r>
              <w:rPr>
                <w:rFonts w:ascii="Arial;sans-serif" w:hAnsi="Arial;sans-serif"/>
                <w:b w:val="false"/>
                <w:sz w:val="16"/>
              </w:rPr>
              <w:t>*</w:t>
            </w:r>
          </w:p>
        </w:tc>
        <w:tc>
          <w:tcPr>
            <w:tcW w:w="466" w:type="dxa"/>
            <w:tcBorders/>
            <w:tcMar>
              <w:top w:w="0" w:type="dxa"/>
              <w:left w:w="0" w:type="dxa"/>
              <w:bottom w:w="0" w:type="dxa"/>
              <w:right w:w="0" w:type="dxa"/>
            </w:tcMar>
            <w:vAlign w:val="center"/>
          </w:tcPr>
          <w:p>
            <w:pPr>
              <w:pStyle w:val="TableContents"/>
              <w:bidi w:val="0"/>
              <w:spacing w:before="0" w:after="0"/>
              <w:ind w:left="0" w:right="0" w:hanging="0"/>
              <w:jc w:val="both"/>
              <w:rPr>
                <w:rFonts w:ascii="Arial;sans-serif" w:hAnsi="Arial;sans-serif"/>
                <w:b w:val="false"/>
                <w:sz w:val="16"/>
              </w:rPr>
            </w:pPr>
            <w:r>
              <w:rPr>
                <w:rFonts w:ascii="Arial;sans-serif" w:hAnsi="Arial;sans-serif"/>
                <w:b w:val="false"/>
                <w:sz w:val="16"/>
              </w:rPr>
              <w:t>57</w:t>
            </w:r>
          </w:p>
        </w:tc>
        <w:tc>
          <w:tcPr>
            <w:tcW w:w="841" w:type="dxa"/>
            <w:tcBorders/>
            <w:tcMar>
              <w:top w:w="0" w:type="dxa"/>
              <w:left w:w="0" w:type="dxa"/>
              <w:bottom w:w="0" w:type="dxa"/>
              <w:right w:w="0" w:type="dxa"/>
            </w:tcMar>
            <w:vAlign w:val="center"/>
          </w:tcPr>
          <w:p>
            <w:pPr>
              <w:pStyle w:val="TableContents"/>
              <w:bidi w:val="0"/>
              <w:spacing w:before="0" w:after="0"/>
              <w:ind w:left="0" w:right="0" w:firstLine="60"/>
              <w:jc w:val="both"/>
              <w:rPr>
                <w:rFonts w:ascii="Arial;sans-serif" w:hAnsi="Arial;sans-serif"/>
                <w:b w:val="false"/>
                <w:sz w:val="16"/>
              </w:rPr>
            </w:pPr>
            <w:r>
              <w:rPr>
                <w:rFonts w:ascii="Arial;sans-serif" w:hAnsi="Arial;sans-serif"/>
                <w:b w:val="false"/>
                <w:sz w:val="16"/>
              </w:rPr>
              <w:t>2021</w:t>
            </w:r>
          </w:p>
        </w:tc>
        <w:tc>
          <w:tcPr>
            <w:tcW w:w="4380" w:type="dxa"/>
            <w:tcBorders/>
            <w:tcMar>
              <w:top w:w="0" w:type="dxa"/>
              <w:left w:w="0" w:type="dxa"/>
              <w:bottom w:w="0" w:type="dxa"/>
              <w:right w:w="0" w:type="dxa"/>
            </w:tcMar>
            <w:vAlign w:val="center"/>
          </w:tcPr>
          <w:p>
            <w:pPr>
              <w:pStyle w:val="TableContents"/>
              <w:pBdr/>
              <w:bidi w:val="0"/>
              <w:spacing w:before="0" w:after="0"/>
              <w:ind w:left="0" w:right="0" w:hanging="60"/>
              <w:jc w:val="left"/>
              <w:rPr/>
            </w:pPr>
            <w:r>
              <w:rPr/>
              <w:t> </w:t>
            </w:r>
          </w:p>
          <w:p>
            <w:pPr>
              <w:pStyle w:val="TableContents"/>
              <w:pBdr/>
              <w:bidi w:val="0"/>
              <w:spacing w:before="0" w:after="0"/>
              <w:ind w:left="0" w:right="0" w:hanging="60"/>
              <w:jc w:val="left"/>
              <w:rPr>
                <w:rFonts w:ascii="Arial;sans-serif" w:hAnsi="Arial;sans-serif"/>
                <w:b w:val="false"/>
                <w:sz w:val="16"/>
              </w:rPr>
            </w:pPr>
            <w:r>
              <w:rPr>
                <w:rFonts w:ascii="Arial;sans-serif" w:hAnsi="Arial;sans-serif"/>
                <w:b w:val="false"/>
                <w:sz w:val="16"/>
              </w:rPr>
              <w:t>CEO of LCP Transportation LLC</w:t>
            </w:r>
          </w:p>
          <w:p>
            <w:pPr>
              <w:pStyle w:val="TableContents"/>
              <w:pBdr/>
              <w:bidi w:val="0"/>
              <w:spacing w:before="0" w:after="0"/>
              <w:ind w:left="0" w:right="0" w:hanging="60"/>
              <w:jc w:val="left"/>
              <w:rPr/>
            </w:pPr>
            <w:r>
              <w:rPr/>
              <w:t> </w:t>
            </w:r>
          </w:p>
        </w:tc>
        <w:tc>
          <w:tcPr>
            <w:tcW w:w="1366" w:type="dxa"/>
            <w:tcBorders/>
            <w:tcMar>
              <w:top w:w="0" w:type="dxa"/>
              <w:left w:w="0" w:type="dxa"/>
              <w:bottom w:w="0" w:type="dxa"/>
              <w:right w:w="0" w:type="dxa"/>
            </w:tcMar>
            <w:vAlign w:val="center"/>
          </w:tcPr>
          <w:p>
            <w:pPr>
              <w:pStyle w:val="TableContents"/>
              <w:bidi w:val="0"/>
              <w:spacing w:before="0" w:after="0"/>
              <w:ind w:left="0" w:right="0" w:hanging="0"/>
              <w:jc w:val="both"/>
              <w:rPr>
                <w:rFonts w:ascii="Arial;sans-serif" w:hAnsi="Arial;sans-serif"/>
                <w:b w:val="false"/>
                <w:sz w:val="16"/>
              </w:rPr>
            </w:pPr>
            <w:r>
              <w:rPr>
                <w:rFonts w:ascii="Arial;sans-serif" w:hAnsi="Arial;sans-serif"/>
                <w:b w:val="false"/>
                <w:sz w:val="16"/>
              </w:rPr>
              <w:t>AC, NCG**</w:t>
            </w:r>
          </w:p>
        </w:tc>
        <w:tc>
          <w:tcPr>
            <w:tcW w:w="1526" w:type="dxa"/>
            <w:tcBorders/>
            <w:tcMar>
              <w:top w:w="0" w:type="dxa"/>
              <w:left w:w="0" w:type="dxa"/>
              <w:bottom w:w="0" w:type="dxa"/>
              <w:right w:w="0" w:type="dxa"/>
            </w:tcMar>
            <w:vAlign w:val="center"/>
          </w:tcPr>
          <w:p>
            <w:pPr>
              <w:pStyle w:val="TableContents"/>
              <w:bidi w:val="0"/>
              <w:spacing w:before="0" w:after="0"/>
              <w:ind w:left="0" w:right="0" w:hanging="0"/>
              <w:jc w:val="both"/>
              <w:rPr>
                <w:rFonts w:ascii="Arial;sans-serif" w:hAnsi="Arial;sans-serif"/>
                <w:b w:val="false"/>
                <w:sz w:val="16"/>
              </w:rPr>
            </w:pPr>
            <w:r>
              <w:rPr>
                <w:rFonts w:ascii="Arial;sans-serif" w:hAnsi="Arial;sans-serif"/>
                <w:b w:val="false"/>
                <w:sz w:val="16"/>
              </w:rPr>
              <w:t>1</w:t>
            </w:r>
          </w:p>
        </w:tc>
      </w:tr>
    </w:tbl>
    <w:p>
      <w:pPr>
        <w:pStyle w:val="TextBody"/>
        <w:bidi w:val="0"/>
        <w:spacing w:before="0" w:after="0"/>
        <w:jc w:val="both"/>
        <w:rPr>
          <w:rFonts w:ascii="Times New Roman" w:hAnsi="Times New Roman"/>
          <w:sz w:val="20"/>
        </w:rPr>
      </w:pPr>
      <w:r>
        <w:rPr>
          <w:rFonts w:ascii="Arial;sans-serif" w:hAnsi="Arial;sans-serif"/>
          <w:b w:val="false"/>
          <w:sz w:val="16"/>
        </w:rPr>
        <w:t>*</w:t>
      </w:r>
      <w:r>
        <w:rPr>
          <w:rFonts w:ascii="Times New Roman" w:hAnsi="Times New Roman"/>
          <w:sz w:val="20"/>
        </w:rPr>
        <w:t xml:space="preserve"> </w:t>
      </w:r>
      <w:r>
        <w:rPr>
          <w:rFonts w:ascii="Arial;sans-serif" w:hAnsi="Arial;sans-serif"/>
          <w:b w:val="false"/>
          <w:sz w:val="16"/>
        </w:rPr>
        <w:t>= Independent Nominee;</w:t>
      </w:r>
      <w:r>
        <w:rPr>
          <w:rFonts w:ascii="Times New Roman" w:hAnsi="Times New Roman"/>
          <w:sz w:val="20"/>
        </w:rPr>
        <w:t xml:space="preserve"> </w:t>
      </w:r>
      <w:r>
        <w:rPr>
          <w:rFonts w:ascii="Arial;sans-serif" w:hAnsi="Arial;sans-serif"/>
          <w:b w:val="false"/>
          <w:sz w:val="16"/>
        </w:rPr>
        <w:t>**</w:t>
      </w:r>
      <w:r>
        <w:rPr>
          <w:rFonts w:ascii="Times New Roman" w:hAnsi="Times New Roman"/>
          <w:sz w:val="20"/>
        </w:rPr>
        <w:t xml:space="preserve"> </w:t>
      </w:r>
      <w:r>
        <w:rPr>
          <w:rFonts w:ascii="Arial;sans-serif" w:hAnsi="Arial;sans-serif"/>
          <w:b w:val="false"/>
          <w:sz w:val="16"/>
        </w:rPr>
        <w:t>= Committee Chair;</w:t>
      </w:r>
      <w:r>
        <w:rPr>
          <w:rFonts w:ascii="Times New Roman" w:hAnsi="Times New Roman"/>
          <w:sz w:val="20"/>
        </w:rPr>
        <w:t xml:space="preserve"> </w:t>
      </w:r>
      <w:r>
        <w:rPr>
          <w:rFonts w:ascii="Arial;sans-serif" w:hAnsi="Arial;sans-serif"/>
          <w:b w:val="false"/>
          <w:sz w:val="16"/>
        </w:rPr>
        <w:t>§ =</w:t>
      </w:r>
      <w:r>
        <w:rPr>
          <w:rFonts w:ascii="Times New Roman" w:hAnsi="Times New Roman"/>
          <w:sz w:val="20"/>
        </w:rPr>
        <w:t xml:space="preserve"> </w:t>
      </w:r>
      <w:r>
        <w:rPr>
          <w:rFonts w:ascii="Arial;sans-serif" w:hAnsi="Arial;sans-serif"/>
          <w:b w:val="false"/>
          <w:sz w:val="16"/>
        </w:rPr>
        <w:t>Chairman</w:t>
      </w:r>
    </w:p>
    <w:p>
      <w:pPr>
        <w:pStyle w:val="TextBody"/>
        <w:bidi w:val="0"/>
        <w:spacing w:before="0" w:after="0"/>
        <w:jc w:val="both"/>
        <w:rPr>
          <w:rFonts w:ascii="Arial;sans-serif" w:hAnsi="Arial;sans-serif"/>
          <w:b w:val="false"/>
          <w:sz w:val="16"/>
        </w:rPr>
      </w:pPr>
      <w:r>
        <w:rPr>
          <w:rFonts w:ascii="Arial;sans-serif" w:hAnsi="Arial;sans-serif"/>
          <w:b w:val="false"/>
          <w:sz w:val="16"/>
        </w:rPr>
        <w:t>AC = Audit Committee; CC = Compensation Committee; ESG = Environmental, Social, and Governance Committee; NCG = Nominations and Corporate Governance Committee</w:t>
      </w:r>
    </w:p>
    <w:p>
      <w:pPr>
        <w:pStyle w:val="TextBody"/>
        <w:bidi w:val="0"/>
        <w:spacing w:before="0" w:after="0"/>
        <w:jc w:val="both"/>
        <w:rPr/>
      </w:pPr>
      <w:r>
        <w:rPr/>
        <w:t> </w:t>
      </w:r>
    </w:p>
    <w:p>
      <w:pPr>
        <w:pStyle w:val="TextBody"/>
        <w:bidi w:val="0"/>
        <w:spacing w:before="0" w:after="0"/>
        <w:jc w:val="left"/>
        <w:rPr/>
      </w:pPr>
      <w:r>
        <w:rPr/>
        <w:t> </w:t>
      </w:r>
    </w:p>
    <w:p>
      <w:pPr>
        <w:pStyle w:val="TextBody"/>
        <w:bidi w:val="0"/>
        <w:spacing w:before="0" w:after="0"/>
        <w:jc w:val="left"/>
        <w:rPr/>
      </w:pPr>
      <w:r>
        <w:rPr/>
        <w:t> </w:t>
      </w:r>
    </w:p>
    <w:tbl>
      <w:tblPr>
        <w:tblW w:w="3657" w:type="dxa"/>
        <w:jc w:val="left"/>
        <w:tblInd w:w="0" w:type="dxa"/>
        <w:tblLayout w:type="fixed"/>
        <w:tblCellMar>
          <w:top w:w="28" w:type="dxa"/>
          <w:left w:w="28" w:type="dxa"/>
          <w:bottom w:w="28" w:type="dxa"/>
          <w:right w:w="28" w:type="dxa"/>
        </w:tblCellMar>
      </w:tblPr>
      <w:tblGrid>
        <w:gridCol w:w="1466"/>
        <w:gridCol w:w="2191"/>
      </w:tblGrid>
      <w:tr>
        <w:trPr/>
        <w:tc>
          <w:tcPr>
            <w:tcW w:w="1466"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r>
      <w:tr>
        <w:trPr/>
        <w:tc>
          <w:tcPr>
            <w:tcW w:w="1466" w:type="dxa"/>
            <w:tcBorders/>
            <w:vAlign w:val="center"/>
          </w:tcPr>
          <w:p>
            <w:pPr>
              <w:pStyle w:val="TableContents"/>
              <w:bidi w:val="0"/>
              <w:spacing w:before="0" w:after="0"/>
              <w:ind w:left="0" w:right="0" w:hanging="0"/>
              <w:jc w:val="left"/>
              <w:rPr/>
            </w:pPr>
            <w:r>
              <w:rPr/>
              <w:drawing>
                <wp:inline distT="0" distB="0" distL="0" distR="0">
                  <wp:extent cx="828675" cy="1905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28675" cy="190500"/>
                          </a:xfrm>
                          <a:prstGeom prst="rect">
                            <a:avLst/>
                          </a:prstGeom>
                        </pic:spPr>
                      </pic:pic>
                    </a:graphicData>
                  </a:graphic>
                </wp:inline>
              </w:drawing>
            </w:r>
            <w:r>
              <w:rPr/>
              <w:t> </w:t>
            </w:r>
          </w:p>
        </w:tc>
        <w:tc>
          <w:tcPr>
            <w:tcW w:w="219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2023 Proxy Statement I 1</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2682" w:type="dxa"/>
        <w:jc w:val="left"/>
        <w:tblInd w:w="0" w:type="dxa"/>
        <w:tblLayout w:type="fixed"/>
        <w:tblCellMar>
          <w:top w:w="28" w:type="dxa"/>
          <w:left w:w="28" w:type="dxa"/>
          <w:bottom w:w="28" w:type="dxa"/>
          <w:right w:w="28" w:type="dxa"/>
        </w:tblCellMar>
      </w:tblPr>
      <w:tblGrid>
        <w:gridCol w:w="2491"/>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Proxy Statement Summary</w:t>
            </w:r>
          </w:p>
        </w:tc>
        <w:tc>
          <w:tcPr>
            <w:tcW w:w="191" w:type="dxa"/>
            <w:tcBorders/>
            <w:vAlign w:val="center"/>
          </w:tcPr>
          <w:p>
            <w:pPr>
              <w:pStyle w:val="TableContents"/>
              <w:bidi w:val="0"/>
              <w:spacing w:before="0" w:after="0"/>
              <w:ind w:left="0" w:right="0" w:hanging="0"/>
              <w:jc w:val="left"/>
              <w:rPr/>
            </w:pPr>
            <w:r>
              <w:rPr/>
              <w:t> </w:t>
            </w:r>
          </w:p>
        </w:tc>
      </w:tr>
      <w:tr>
        <w:trPr/>
        <w:tc>
          <w:tcPr>
            <w:tcW w:w="24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both"/>
        <w:rPr>
          <w:rFonts w:ascii="Arial;sans-serif" w:hAnsi="Arial;sans-serif"/>
          <w:b/>
          <w:sz w:val="28"/>
        </w:rPr>
      </w:pPr>
      <w:r>
        <w:rPr>
          <w:rFonts w:ascii="Arial;sans-serif" w:hAnsi="Arial;sans-serif"/>
          <w:b/>
          <w:sz w:val="28"/>
        </w:rPr>
        <w:t>KEY ACCOMPLISHMENTS</w:t>
      </w:r>
    </w:p>
    <w:p>
      <w:pPr>
        <w:pStyle w:val="TextBody"/>
        <w:bidi w:val="0"/>
        <w:spacing w:before="0" w:after="0"/>
        <w:jc w:val="both"/>
        <w:rPr>
          <w:rFonts w:ascii="Arial;sans-serif" w:hAnsi="Arial;sans-serif"/>
          <w:b w:val="false"/>
          <w:sz w:val="20"/>
        </w:rPr>
      </w:pPr>
      <w:r>
        <w:rPr>
          <w:rFonts w:ascii="Arial;sans-serif" w:hAnsi="Arial;sans-serif"/>
          <w:b w:val="false"/>
          <w:sz w:val="20"/>
        </w:rPr>
        <w:t>Our key accomplishments for the fiscal year ended April 30, 2023 (“fiscal 2023”) include:</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Mar>
              <w:top w:w="0" w:type="dxa"/>
              <w:left w:w="0" w:type="dxa"/>
              <w:bottom w:w="0" w:type="dxa"/>
              <w:right w:w="0" w:type="dxa"/>
            </w:tcMar>
            <w:vAlign w:val="center"/>
          </w:tcPr>
          <w:p>
            <w:pPr>
              <w:pStyle w:val="TableContents"/>
              <w:bidi w:val="0"/>
              <w:spacing w:before="120" w:after="120"/>
              <w:ind w:left="0" w:right="0" w:hanging="0"/>
              <w:jc w:val="both"/>
              <w:rPr>
                <w:rFonts w:ascii="Arial;sans-serif" w:hAnsi="Arial;sans-serif"/>
                <w:b/>
                <w:sz w:val="24"/>
              </w:rPr>
            </w:pPr>
            <w:r>
              <w:rPr>
                <w:rFonts w:ascii="Arial;sans-serif" w:hAnsi="Arial;sans-serif"/>
                <w:b/>
                <w:sz w:val="24"/>
              </w:rPr>
              <w:t>Continued Investments in Our Business</w:t>
            </w:r>
          </w:p>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 fiscal 2023, our capital allocation strategy continued to focus on investments in our business associated with the move of our headquarters and significant elements of our operations to Maryville, Tennessee (the “Relocation”). In fiscal 2023, we spent approximately $98 million in aggregate on the Relocation. Once the Relocation is completed, we will be positioned to deliver improved operating and financial performance, in part, due to the realization of certain distribution and manufacturing efficiencies.</w:t>
            </w:r>
          </w:p>
        </w:tc>
      </w:tr>
    </w:tbl>
    <w:p>
      <w:pPr>
        <w:pStyle w:val="TextBody"/>
        <w:bidi w:val="0"/>
        <w:spacing w:before="240" w:after="0"/>
        <w:jc w:val="both"/>
        <w:rPr>
          <w:rFonts w:ascii="Arial;sans-serif" w:hAnsi="Arial;sans-serif"/>
          <w:b/>
          <w:sz w:val="28"/>
        </w:rPr>
      </w:pPr>
      <w:r>
        <w:rPr>
          <w:rFonts w:ascii="Arial;sans-serif" w:hAnsi="Arial;sans-serif"/>
          <w:b/>
          <w:sz w:val="28"/>
        </w:rPr>
        <w:t>GOVERNANCE HIGHLIGHTS</w:t>
      </w:r>
    </w:p>
    <w:p>
      <w:pPr>
        <w:pStyle w:val="TextBody"/>
        <w:bidi w:val="0"/>
        <w:spacing w:before="60" w:after="0"/>
        <w:jc w:val="both"/>
        <w:rPr>
          <w:rFonts w:ascii="Arial;sans-serif" w:hAnsi="Arial;sans-serif"/>
          <w:b w:val="false"/>
          <w:sz w:val="24"/>
          <w:u w:val="single"/>
        </w:rPr>
      </w:pPr>
      <w:r>
        <w:rPr>
          <w:rFonts w:ascii="Arial;sans-serif" w:hAnsi="Arial;sans-serif"/>
          <w:b w:val="false"/>
          <w:sz w:val="24"/>
          <w:u w:val="single"/>
        </w:rPr>
        <w:t>Board Refreshment</w:t>
      </w:r>
    </w:p>
    <w:p>
      <w:pPr>
        <w:pStyle w:val="TextBody"/>
        <w:bidi w:val="0"/>
        <w:spacing w:before="40" w:after="0"/>
        <w:jc w:val="both"/>
        <w:rPr>
          <w:rFonts w:ascii="Arial;sans-serif" w:hAnsi="Arial;sans-serif"/>
          <w:b w:val="false"/>
          <w:sz w:val="20"/>
        </w:rPr>
      </w:pPr>
      <w:r>
        <w:rPr>
          <w:rFonts w:ascii="Arial;sans-serif" w:hAnsi="Arial;sans-serif"/>
          <w:b w:val="false"/>
          <w:sz w:val="20"/>
        </w:rPr>
        <w:t>We recognize the importance of board refreshment. Over 70% of our director nominees have joined our board of directors (the "Board") since 2018. This demonstrates the Board’s commitment to refreshment, including with independent nominees who provide perspectives and experience to support our strategy. Of our seven director nominees, two are women, one is a racial minority, and one is an ethnic minority.</w:t>
      </w:r>
    </w:p>
    <w:p>
      <w:pPr>
        <w:pStyle w:val="TextBody"/>
        <w:bidi w:val="0"/>
        <w:spacing w:before="60" w:after="0"/>
        <w:jc w:val="both"/>
        <w:rPr>
          <w:rFonts w:ascii="Arial;sans-serif" w:hAnsi="Arial;sans-serif"/>
          <w:b w:val="false"/>
          <w:sz w:val="24"/>
          <w:u w:val="single"/>
        </w:rPr>
      </w:pPr>
      <w:r>
        <w:rPr>
          <w:rFonts w:ascii="Arial;sans-serif" w:hAnsi="Arial;sans-serif"/>
          <w:b w:val="false"/>
          <w:sz w:val="24"/>
          <w:u w:val="single"/>
        </w:rPr>
        <w:t>Risk Oversight</w:t>
      </w:r>
    </w:p>
    <w:p>
      <w:pPr>
        <w:pStyle w:val="TextBody"/>
        <w:bidi w:val="0"/>
        <w:spacing w:before="0" w:after="0"/>
        <w:jc w:val="both"/>
        <w:rPr>
          <w:rFonts w:ascii="Arial;sans-serif" w:hAnsi="Arial;sans-serif"/>
          <w:b w:val="false"/>
          <w:sz w:val="20"/>
        </w:rPr>
      </w:pPr>
      <w:r>
        <w:rPr>
          <w:rFonts w:ascii="Arial;sans-serif" w:hAnsi="Arial;sans-serif"/>
          <w:b w:val="false"/>
          <w:sz w:val="20"/>
        </w:rPr>
        <w:t>Given the nature of our business, the Board remains focused on overseeing risk management. In addition to the Audit Committee receiving periodic presentations on enterprise risk management, during fiscal 2023, the Environmental, Social, and Governance Committee (the “ESG Committee”) discussed the campaign against the firearm industry at each of its meetings, and the full Board reviewed an updated report prepared by a third-party media monitoring firm that we have worked with for several years. During fiscal 2023, we also formalized a process whereby our Audit Committee Chair communicates directly with our Chief Compliance Officer at least quarterly in between scheduled Audit Committee meetings.</w:t>
      </w:r>
    </w:p>
    <w:p>
      <w:pPr>
        <w:pStyle w:val="TextBody"/>
        <w:bidi w:val="0"/>
        <w:spacing w:before="60" w:after="0"/>
        <w:jc w:val="both"/>
        <w:rPr>
          <w:rFonts w:ascii="Arial;sans-serif" w:hAnsi="Arial;sans-serif"/>
          <w:b w:val="false"/>
          <w:sz w:val="24"/>
          <w:u w:val="single"/>
        </w:rPr>
      </w:pPr>
      <w:r>
        <w:rPr>
          <w:rFonts w:ascii="Arial;sans-serif" w:hAnsi="Arial;sans-serif"/>
          <w:b w:val="false"/>
          <w:sz w:val="24"/>
          <w:u w:val="single"/>
        </w:rPr>
        <w:t>Stockholder Engagement</w:t>
      </w:r>
    </w:p>
    <w:p>
      <w:pPr>
        <w:pStyle w:val="TextBody"/>
        <w:bidi w:val="0"/>
        <w:spacing w:before="0" w:after="0"/>
        <w:jc w:val="both"/>
        <w:rPr>
          <w:rFonts w:ascii="Arial;sans-serif" w:hAnsi="Arial;sans-serif"/>
          <w:b w:val="false"/>
          <w:sz w:val="20"/>
        </w:rPr>
      </w:pPr>
      <w:r>
        <w:rPr>
          <w:rFonts w:ascii="Arial;sans-serif" w:hAnsi="Arial;sans-serif"/>
          <w:b w:val="false"/>
          <w:sz w:val="20"/>
        </w:rPr>
        <w:t>We recognize the importance of stockholder engagement. In addition to our regular, year-round stockholder engagement initiatives, prior to our annual meeting of stockholders held on September 12, 2022 (the “2022 Annual Meeting”), we met with certain of our largest stockholders to discuss, among other things, two stockholder proposals. In early 2023, we again met with certain of our largest stockholders. We used these meetings to, among other things, solicit our stockholders’ views on the right of stockholders to call special meetings (see Proposals 5 and 7) and our exclusive forum bylaw provision (see Proposal 6). We also engaged in April 2023 with our social activist stockholders (see Proposal 8).</w:t>
      </w:r>
    </w:p>
    <w:p>
      <w:pPr>
        <w:pStyle w:val="TextBody"/>
        <w:bidi w:val="0"/>
        <w:spacing w:before="240" w:after="0"/>
        <w:jc w:val="both"/>
        <w:rPr>
          <w:rFonts w:ascii="Arial;sans-serif" w:hAnsi="Arial;sans-serif"/>
          <w:b/>
          <w:sz w:val="28"/>
        </w:rPr>
      </w:pPr>
      <w:r>
        <w:rPr>
          <w:rFonts w:ascii="Arial;sans-serif" w:hAnsi="Arial;sans-serif"/>
          <w:b/>
          <w:sz w:val="28"/>
        </w:rPr>
        <w:t>COMPENSATION HIGHLIGHTS</w:t>
      </w:r>
    </w:p>
    <w:p>
      <w:pPr>
        <w:pStyle w:val="TextBody"/>
        <w:bidi w:val="0"/>
        <w:spacing w:before="60" w:after="0"/>
        <w:jc w:val="both"/>
        <w:rPr>
          <w:rFonts w:ascii="Arial;sans-serif" w:hAnsi="Arial;sans-serif"/>
          <w:b w:val="false"/>
          <w:sz w:val="24"/>
          <w:u w:val="single"/>
        </w:rPr>
      </w:pPr>
      <w:r>
        <w:rPr>
          <w:rFonts w:ascii="Arial;sans-serif" w:hAnsi="Arial;sans-serif"/>
          <w:b w:val="false"/>
          <w:sz w:val="24"/>
          <w:u w:val="single"/>
        </w:rPr>
        <w:t>Pay for Performance</w:t>
      </w:r>
    </w:p>
    <w:p>
      <w:pPr>
        <w:pStyle w:val="TextBody"/>
        <w:bidi w:val="0"/>
        <w:spacing w:before="0" w:after="0"/>
        <w:jc w:val="both"/>
        <w:rPr>
          <w:rFonts w:ascii="Arial;sans-serif" w:hAnsi="Arial;sans-serif"/>
          <w:b w:val="false"/>
          <w:sz w:val="20"/>
        </w:rPr>
      </w:pPr>
      <w:r>
        <w:rPr>
          <w:rFonts w:ascii="Arial;sans-serif" w:hAnsi="Arial;sans-serif"/>
          <w:b w:val="false"/>
          <w:sz w:val="20"/>
        </w:rPr>
        <w:t>Our executive compensation program emphasizes our pay-for-performance philosophy. For fiscal 2023:</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100% of our named executive officers’ (“NEOs”) annual cash incentive goals were tied to company performance (Net Sales and Adjusted EBITDAS); Adjusted EBITDAS also served as the threshold for which the failure to achieve this performance metric would result in no bonus payments regardless of the achievement of the other performance metric.</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60% of our NEOs’ stock-based award value was tied to our performance, as reflected by relative total shareholder return value.</w:t>
      </w:r>
    </w:p>
    <w:p>
      <w:pPr>
        <w:pStyle w:val="TextBody"/>
        <w:bidi w:val="0"/>
        <w:spacing w:before="120" w:after="0"/>
        <w:jc w:val="both"/>
        <w:rPr/>
      </w:pPr>
      <w:r>
        <w:rPr/>
        <w:t>•</w:t>
      </w:r>
    </w:p>
    <w:p>
      <w:pPr>
        <w:pStyle w:val="TextBody"/>
        <w:bidi w:val="0"/>
        <w:spacing w:before="120" w:after="0"/>
        <w:jc w:val="both"/>
        <w:rPr/>
      </w:pPr>
      <w:r>
        <w:rPr>
          <w:rFonts w:ascii="Arial;sans-serif" w:hAnsi="Arial;sans-serif"/>
          <w:b w:val="false"/>
          <w:sz w:val="20"/>
        </w:rPr>
        <w:t xml:space="preserve">Our NEOs received </w:t>
      </w:r>
      <w:r>
        <w:rPr>
          <w:rFonts w:ascii="Arial;sans-serif" w:hAnsi="Arial;sans-serif"/>
          <w:b w:val="false"/>
          <w:sz w:val="20"/>
          <w:u w:val="single"/>
        </w:rPr>
        <w:t>no annual cash incentive payment</w:t>
      </w:r>
      <w:r>
        <w:rPr/>
        <w:t xml:space="preserve"> </w:t>
      </w:r>
      <w:r>
        <w:rPr>
          <w:rFonts w:ascii="Arial;sans-serif" w:hAnsi="Arial;sans-serif"/>
          <w:b w:val="false"/>
          <w:sz w:val="20"/>
        </w:rPr>
        <w:t>for fiscal 2023</w:t>
      </w:r>
      <w:r>
        <w:rPr/>
        <w:t xml:space="preserve"> </w:t>
      </w:r>
      <w:r>
        <w:rPr>
          <w:rFonts w:ascii="Arial;sans-serif" w:hAnsi="Arial;sans-serif"/>
          <w:b w:val="false"/>
          <w:sz w:val="20"/>
        </w:rPr>
        <w:t>because we failed to achieve the threshold target for Adjusted EBITDAS.</w:t>
      </w:r>
    </w:p>
    <w:p>
      <w:pPr>
        <w:pStyle w:val="TextBody"/>
        <w:bidi w:val="0"/>
        <w:spacing w:before="120" w:after="0"/>
        <w:jc w:val="both"/>
        <w:rPr/>
      </w:pPr>
      <w:r>
        <w:rPr/>
        <w:t>•</w:t>
      </w:r>
    </w:p>
    <w:p>
      <w:pPr>
        <w:pStyle w:val="TextBody"/>
        <w:bidi w:val="0"/>
        <w:spacing w:before="120" w:after="283"/>
        <w:jc w:val="both"/>
        <w:rPr/>
      </w:pPr>
      <w:r>
        <w:rPr>
          <w:rFonts w:ascii="Arial;sans-serif" w:hAnsi="Arial;sans-serif"/>
          <w:b w:val="false"/>
          <w:sz w:val="20"/>
        </w:rPr>
        <w:t>Our NEOs who received a stock-based award in 2020 received</w:t>
      </w:r>
      <w:r>
        <w:rPr/>
        <w:t xml:space="preserve"> </w:t>
      </w:r>
      <w:r>
        <w:rPr>
          <w:rFonts w:ascii="Arial;sans-serif" w:hAnsi="Arial;sans-serif"/>
          <w:b w:val="false"/>
          <w:sz w:val="20"/>
          <w:u w:val="single"/>
        </w:rPr>
        <w:t>none of the target shares</w:t>
      </w:r>
      <w:r>
        <w:rPr/>
        <w:t xml:space="preserve"> </w:t>
      </w:r>
      <w:r>
        <w:rPr>
          <w:rFonts w:ascii="Arial;sans-serif" w:hAnsi="Arial;sans-serif"/>
          <w:b w:val="false"/>
          <w:sz w:val="20"/>
        </w:rPr>
        <w:t>of common stock for the performance-based restricted stock unit (“PSU”) portion of the award because we failed to meet the minimum performance requirements.</w:t>
      </w:r>
    </w:p>
    <w:p>
      <w:pPr>
        <w:pStyle w:val="TextBody"/>
        <w:bidi w:val="0"/>
        <w:spacing w:before="0" w:after="0"/>
        <w:jc w:val="left"/>
        <w:rPr/>
      </w:pPr>
      <w:r>
        <w:rPr/>
        <w:t> </w:t>
      </w:r>
    </w:p>
    <w:tbl>
      <w:tblPr>
        <w:tblW w:w="3657" w:type="dxa"/>
        <w:jc w:val="left"/>
        <w:tblInd w:w="0" w:type="dxa"/>
        <w:tblLayout w:type="fixed"/>
        <w:tblCellMar>
          <w:top w:w="28" w:type="dxa"/>
          <w:left w:w="28" w:type="dxa"/>
          <w:bottom w:w="28" w:type="dxa"/>
          <w:right w:w="28" w:type="dxa"/>
        </w:tblCellMar>
      </w:tblPr>
      <w:tblGrid>
        <w:gridCol w:w="2161"/>
        <w:gridCol w:w="1496"/>
      </w:tblGrid>
      <w:tr>
        <w:trPr/>
        <w:tc>
          <w:tcPr>
            <w:tcW w:w="2161"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2161" w:type="dxa"/>
            <w:tcBorders/>
            <w:vAlign w:val="center"/>
          </w:tcPr>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2</w:t>
            </w:r>
            <w:r>
              <w:rPr>
                <w:rFonts w:ascii="Times New Roman" w:hAnsi="Times New Roman"/>
                <w:sz w:val="18"/>
              </w:rPr>
              <w:t> </w:t>
            </w:r>
            <w:r>
              <w:rPr>
                <w:rFonts w:ascii="Arial;sans-serif" w:hAnsi="Arial;sans-serif"/>
                <w:b w:val="false"/>
                <w:sz w:val="18"/>
              </w:rPr>
              <w:t>I 2023 Proxy Statement</w:t>
            </w:r>
          </w:p>
        </w:tc>
        <w:tc>
          <w:tcPr>
            <w:tcW w:w="1496" w:type="dxa"/>
            <w:tcBorders/>
            <w:vAlign w:val="center"/>
          </w:tcPr>
          <w:p>
            <w:pPr>
              <w:pStyle w:val="TableContents"/>
              <w:bidi w:val="0"/>
              <w:spacing w:before="0" w:after="0"/>
              <w:ind w:left="0" w:right="0" w:hanging="0"/>
              <w:jc w:val="right"/>
              <w:rPr/>
            </w:pPr>
            <w:r>
              <w:rPr/>
              <w:drawing>
                <wp:inline distT="0" distB="0" distL="0" distR="0">
                  <wp:extent cx="828675" cy="1905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28675" cy="190500"/>
                          </a:xfrm>
                          <a:prstGeom prst="rect">
                            <a:avLst/>
                          </a:prstGeom>
                        </pic:spPr>
                      </pic:pic>
                    </a:graphicData>
                  </a:graphic>
                </wp:inline>
              </w:drawing>
            </w: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Arial;sans-serif" w:hAnsi="Arial;sans-serif"/>
          <w:b/>
          <w:caps/>
          <w:sz w:val="40"/>
        </w:rPr>
      </w:pPr>
      <w:bookmarkStart w:id="3" w:name="board_and_governance_matters"/>
      <w:bookmarkEnd w:id="3"/>
      <w:r>
        <w:rPr>
          <w:rFonts w:ascii="Arial;sans-serif" w:hAnsi="Arial;sans-serif"/>
          <w:b/>
          <w:caps/>
          <w:sz w:val="40"/>
        </w:rPr>
        <w:t>BOARD AND GOVERNANCE MATTERS</w:t>
      </w:r>
    </w:p>
    <w:tbl>
      <w:tblPr>
        <w:tblW w:w="10205" w:type="dxa"/>
        <w:jc w:val="left"/>
        <w:tblInd w:w="0" w:type="dxa"/>
        <w:tblLayout w:type="fixed"/>
        <w:tblCellMar>
          <w:top w:w="28" w:type="dxa"/>
          <w:left w:w="28" w:type="dxa"/>
          <w:bottom w:w="28" w:type="dxa"/>
          <w:right w:w="28" w:type="dxa"/>
        </w:tblCellMar>
      </w:tblPr>
      <w:tblGrid>
        <w:gridCol w:w="161"/>
        <w:gridCol w:w="146"/>
        <w:gridCol w:w="95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0"/>
              <w:ind w:left="0" w:right="0" w:hanging="0"/>
              <w:jc w:val="both"/>
              <w:rPr/>
            </w:pPr>
            <w:r>
              <w:rPr/>
              <w:t> </w:t>
            </w:r>
          </w:p>
        </w:tc>
        <w:tc>
          <w:tcPr>
            <w:tcW w:w="9561" w:type="dxa"/>
            <w:tcBorders/>
            <w:vAlign w:val="center"/>
          </w:tcPr>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0"/>
              <w:ind w:left="0" w:right="0" w:hanging="0"/>
              <w:jc w:val="both"/>
              <w:rPr/>
            </w:pPr>
            <w:r>
              <w:rPr/>
              <w:t> </w:t>
            </w:r>
          </w:p>
        </w:tc>
        <w:tc>
          <w:tcPr>
            <w:tcW w:w="191" w:type="dxa"/>
            <w:tcBorders/>
            <w:vAlign w:val="center"/>
          </w:tcPr>
          <w:p>
            <w:pPr>
              <w:pStyle w:val="TableContents"/>
              <w:bidi w:val="0"/>
              <w:spacing w:before="0" w:after="0"/>
              <w:ind w:left="0" w:right="0" w:hanging="0"/>
              <w:jc w:val="both"/>
              <w:rPr/>
            </w:pPr>
            <w:r>
              <w:rPr/>
              <w:t> </w:t>
            </w:r>
          </w:p>
        </w:tc>
      </w:tr>
      <w:tr>
        <w:trPr/>
        <w:tc>
          <w:tcPr>
            <w:tcW w:w="161" w:type="dxa"/>
            <w:tcBorders/>
            <w:vAlign w:val="center"/>
          </w:tcPr>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0"/>
              <w:ind w:left="0" w:right="0" w:hanging="0"/>
              <w:jc w:val="both"/>
              <w:rPr/>
            </w:pPr>
            <w:r>
              <w:rPr/>
              <w:t> </w:t>
            </w:r>
          </w:p>
        </w:tc>
        <w:tc>
          <w:tcPr>
            <w:tcW w:w="9561" w:type="dxa"/>
            <w:tcBorders/>
            <w:vAlign w:val="center"/>
          </w:tcPr>
          <w:p>
            <w:pPr>
              <w:pStyle w:val="TableContents"/>
              <w:bidi w:val="0"/>
              <w:spacing w:before="0" w:after="0"/>
              <w:ind w:left="0" w:right="0" w:hanging="0"/>
              <w:jc w:val="both"/>
              <w:rPr>
                <w:rFonts w:ascii="Arial;sans-serif" w:hAnsi="Arial;sans-serif"/>
                <w:b/>
                <w:caps/>
                <w:sz w:val="24"/>
              </w:rPr>
            </w:pPr>
            <w:r>
              <w:rPr>
                <w:rFonts w:ascii="Arial;sans-serif" w:hAnsi="Arial;sans-serif"/>
                <w:b/>
                <w:caps/>
                <w:sz w:val="24"/>
              </w:rPr>
              <w:t>PROPOSAL One – election of directors</w:t>
            </w:r>
          </w:p>
        </w:tc>
        <w:tc>
          <w:tcPr>
            <w:tcW w:w="146" w:type="dxa"/>
            <w:tcBorders/>
            <w:vAlign w:val="center"/>
          </w:tcPr>
          <w:p>
            <w:pPr>
              <w:pStyle w:val="TableContents"/>
              <w:bidi w:val="0"/>
              <w:spacing w:before="0" w:after="0"/>
              <w:ind w:left="0" w:right="0" w:hanging="0"/>
              <w:jc w:val="both"/>
              <w:rPr/>
            </w:pPr>
            <w:r>
              <w:rPr/>
              <w:t> </w:t>
            </w:r>
          </w:p>
        </w:tc>
        <w:tc>
          <w:tcPr>
            <w:tcW w:w="191" w:type="dxa"/>
            <w:tcBorders/>
            <w:vAlign w:val="center"/>
          </w:tcPr>
          <w:p>
            <w:pPr>
              <w:pStyle w:val="TableContents"/>
              <w:bidi w:val="0"/>
              <w:spacing w:before="0" w:after="0"/>
              <w:ind w:left="0" w:right="0" w:hanging="0"/>
              <w:jc w:val="both"/>
              <w:rPr/>
            </w:pPr>
            <w:r>
              <w:rPr/>
              <w:t> </w:t>
            </w:r>
          </w:p>
        </w:tc>
      </w:tr>
      <w:tr>
        <w:trPr/>
        <w:tc>
          <w:tcPr>
            <w:tcW w:w="161" w:type="dxa"/>
            <w:tcBorders/>
            <w:vAlign w:val="center"/>
          </w:tcPr>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561" w:type="dxa"/>
            <w:tcBorders/>
            <w:vAlign w:val="center"/>
          </w:tcPr>
          <w:p>
            <w:pPr>
              <w:pStyle w:val="TableContents"/>
              <w:bidi w:val="0"/>
              <w:spacing w:before="240" w:after="120"/>
              <w:ind w:left="0" w:right="0" w:hanging="0"/>
              <w:jc w:val="both"/>
              <w:rPr>
                <w:rFonts w:ascii="Times New Roman" w:hAnsi="Times New Roman"/>
                <w:sz w:val="20"/>
              </w:rPr>
            </w:pPr>
            <w:r>
              <w:rPr>
                <w:rFonts w:ascii="Arial;sans-serif" w:hAnsi="Arial;sans-serif"/>
                <w:b/>
                <w:sz w:val="20"/>
              </w:rPr>
              <w:t>What Am I Voting On?</w:t>
            </w:r>
            <w:r>
              <w:rPr>
                <w:rFonts w:ascii="Times New Roman" w:hAnsi="Times New Roman"/>
                <w:sz w:val="20"/>
              </w:rPr>
              <w:t> </w:t>
            </w:r>
            <w:r>
              <w:rPr>
                <w:rFonts w:ascii="Arial;sans-serif" w:hAnsi="Arial;sans-serif"/>
                <w:b w:val="false"/>
                <w:sz w:val="20"/>
              </w:rPr>
              <w:t>Stockholders are being asked to elect each of the seven director nominees named in this Proxy Statement to hold office until the annual meeting of stockholders in 2024 (the “2024 Annual Meeting”) and until his or her successor is elected and qualified.</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91" w:type="dxa"/>
            <w:tcBorders/>
            <w:vAlign w:val="center"/>
          </w:tcPr>
          <w:p>
            <w:pPr>
              <w:pStyle w:val="TableContents"/>
              <w:bidi w:val="0"/>
              <w:spacing w:before="0" w:after="0"/>
              <w:ind w:left="0" w:right="0" w:hanging="0"/>
              <w:jc w:val="both"/>
              <w:rPr/>
            </w:pPr>
            <w:r>
              <w:rPr/>
              <w:t> </w:t>
            </w:r>
          </w:p>
        </w:tc>
      </w:tr>
      <w:tr>
        <w:trPr/>
        <w:tc>
          <w:tcPr>
            <w:tcW w:w="161" w:type="dxa"/>
            <w:tcBorders/>
            <w:vAlign w:val="center"/>
          </w:tcPr>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561" w:type="dxa"/>
            <w:tcBorders/>
            <w:vAlign w:val="center"/>
          </w:tcPr>
          <w:p>
            <w:pPr>
              <w:pStyle w:val="TableContents"/>
              <w:bidi w:val="0"/>
              <w:spacing w:before="0" w:after="120"/>
              <w:ind w:left="0" w:right="0" w:hanging="0"/>
              <w:jc w:val="both"/>
              <w:rPr>
                <w:rFonts w:ascii="Times New Roman" w:hAnsi="Times New Roman"/>
                <w:sz w:val="20"/>
              </w:rPr>
            </w:pPr>
            <w:r>
              <w:rPr>
                <w:rFonts w:ascii="Arial;sans-serif" w:hAnsi="Arial;sans-serif"/>
                <w:b/>
                <w:sz w:val="20"/>
              </w:rPr>
              <w:t>Voting Recommendation:</w:t>
            </w:r>
            <w:r>
              <w:rPr>
                <w:rFonts w:ascii="Times New Roman" w:hAnsi="Times New Roman"/>
                <w:sz w:val="20"/>
              </w:rPr>
              <w:t xml:space="preserve"> </w:t>
            </w:r>
            <w:r>
              <w:rPr>
                <w:rFonts w:ascii="Arial;sans-serif" w:hAnsi="Arial;sans-serif"/>
                <w:b w:val="false"/>
                <w:sz w:val="20"/>
              </w:rPr>
              <w:t>FOR</w:t>
            </w:r>
            <w:r>
              <w:rPr>
                <w:rFonts w:ascii="Times New Roman" w:hAnsi="Times New Roman"/>
                <w:sz w:val="20"/>
              </w:rPr>
              <w:t xml:space="preserve"> </w:t>
            </w:r>
            <w:r>
              <w:rPr>
                <w:rFonts w:ascii="Arial;sans-serif" w:hAnsi="Arial;sans-serif"/>
                <w:b w:val="false"/>
                <w:sz w:val="20"/>
              </w:rPr>
              <w:t>the election of each of the seven director nominees</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91" w:type="dxa"/>
            <w:tcBorders/>
            <w:vAlign w:val="center"/>
          </w:tcPr>
          <w:p>
            <w:pPr>
              <w:pStyle w:val="TableContents"/>
              <w:bidi w:val="0"/>
              <w:spacing w:before="0" w:after="0"/>
              <w:ind w:left="0" w:right="0" w:hanging="0"/>
              <w:jc w:val="both"/>
              <w:rPr/>
            </w:pPr>
            <w:r>
              <w:rPr/>
              <w:t> </w:t>
            </w:r>
          </w:p>
        </w:tc>
      </w:tr>
      <w:tr>
        <w:trPr/>
        <w:tc>
          <w:tcPr>
            <w:tcW w:w="161" w:type="dxa"/>
            <w:tcBorders/>
            <w:vAlign w:val="center"/>
          </w:tcPr>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561" w:type="dxa"/>
            <w:tcBorders/>
            <w:vAlign w:val="center"/>
          </w:tcPr>
          <w:p>
            <w:pPr>
              <w:pStyle w:val="TableContents"/>
              <w:bidi w:val="0"/>
              <w:spacing w:before="0" w:after="0"/>
              <w:ind w:left="0" w:right="0" w:hanging="0"/>
              <w:jc w:val="both"/>
              <w:rPr>
                <w:rFonts w:ascii="Times New Roman" w:hAnsi="Times New Roman"/>
                <w:sz w:val="20"/>
              </w:rPr>
            </w:pPr>
            <w:r>
              <w:rPr>
                <w:rFonts w:ascii="Arial;sans-serif" w:hAnsi="Arial;sans-serif"/>
                <w:b/>
                <w:sz w:val="20"/>
              </w:rPr>
              <w:t>Vote Required:</w:t>
            </w:r>
            <w:r>
              <w:rPr>
                <w:rFonts w:ascii="Times New Roman" w:hAnsi="Times New Roman"/>
                <w:sz w:val="20"/>
              </w:rPr>
              <w:t> </w:t>
            </w:r>
            <w:r>
              <w:rPr>
                <w:rFonts w:ascii="Arial;sans-serif" w:hAnsi="Arial;sans-serif"/>
                <w:b w:val="false"/>
                <w:sz w:val="20"/>
              </w:rPr>
              <w:t>A director will be elected if that director nominee receives a majority of the votes cast</w:t>
            </w:r>
          </w:p>
          <w:p>
            <w:pPr>
              <w:pStyle w:val="TableContents"/>
              <w:bidi w:val="0"/>
              <w:spacing w:before="0" w:after="0"/>
              <w:ind w:left="0" w:right="0" w:hanging="0"/>
              <w:jc w:val="both"/>
              <w:rPr/>
            </w:pPr>
            <w:r>
              <w:rPr/>
              <w:t> </w:t>
            </w:r>
          </w:p>
          <w:p>
            <w:pPr>
              <w:pStyle w:val="TableContents"/>
              <w:bidi w:val="0"/>
              <w:spacing w:before="0" w:after="0"/>
              <w:ind w:left="0" w:right="0" w:hanging="0"/>
              <w:jc w:val="both"/>
              <w:rPr>
                <w:rFonts w:ascii="Times New Roman" w:hAnsi="Times New Roman"/>
                <w:sz w:val="20"/>
              </w:rPr>
            </w:pPr>
            <w:r>
              <w:rPr>
                <w:rFonts w:ascii="Arial;sans-serif" w:hAnsi="Arial;sans-serif"/>
                <w:b/>
                <w:sz w:val="20"/>
              </w:rPr>
              <w:t>Broker Discretionary Voting Allowed?</w:t>
            </w:r>
            <w:r>
              <w:rPr>
                <w:rFonts w:ascii="Times New Roman" w:hAnsi="Times New Roman"/>
                <w:sz w:val="20"/>
              </w:rPr>
              <w:t> </w:t>
            </w:r>
            <w:r>
              <w:rPr>
                <w:rFonts w:ascii="Arial;sans-serif" w:hAnsi="Arial;sans-serif"/>
                <w:b w:val="false"/>
                <w:sz w:val="20"/>
              </w:rPr>
              <w:t>No – broker non-votes have no effect</w:t>
            </w:r>
          </w:p>
          <w:p>
            <w:pPr>
              <w:pStyle w:val="TableContents"/>
              <w:bidi w:val="0"/>
              <w:spacing w:before="0" w:after="0"/>
              <w:ind w:left="0" w:right="0" w:hanging="0"/>
              <w:jc w:val="both"/>
              <w:rPr/>
            </w:pPr>
            <w:r>
              <w:rPr/>
              <w:t> </w:t>
            </w:r>
          </w:p>
          <w:p>
            <w:pPr>
              <w:pStyle w:val="TableContents"/>
              <w:bidi w:val="0"/>
              <w:spacing w:before="0" w:after="240"/>
              <w:ind w:left="0" w:right="0" w:hanging="0"/>
              <w:jc w:val="both"/>
              <w:rPr>
                <w:rFonts w:ascii="Times New Roman" w:hAnsi="Times New Roman"/>
                <w:sz w:val="20"/>
              </w:rPr>
            </w:pPr>
            <w:r>
              <w:rPr>
                <w:rFonts w:ascii="Arial;sans-serif" w:hAnsi="Arial;sans-serif"/>
                <w:b/>
                <w:sz w:val="20"/>
              </w:rPr>
              <w:t>Abstentions:</w:t>
            </w:r>
            <w:r>
              <w:rPr>
                <w:rFonts w:ascii="Times New Roman" w:hAnsi="Times New Roman"/>
                <w:sz w:val="20"/>
              </w:rPr>
              <w:t> </w:t>
            </w:r>
            <w:r>
              <w:rPr>
                <w:rFonts w:ascii="Arial;sans-serif" w:hAnsi="Arial;sans-serif"/>
                <w:b w:val="false"/>
                <w:sz w:val="20"/>
              </w:rPr>
              <w:t>No effect</w:t>
            </w:r>
            <w:r>
              <w:rPr>
                <w:rFonts w:ascii="Times New Roman" w:hAnsi="Times New Roman"/>
                <w:sz w:val="20"/>
              </w:rPr>
              <w:t xml:space="preserve"> </w:t>
            </w:r>
          </w:p>
        </w:tc>
        <w:tc>
          <w:tcPr>
            <w:tcW w:w="146" w:type="dxa"/>
            <w:tcBorders/>
            <w:vAlign w:val="center"/>
          </w:tcPr>
          <w:p>
            <w:pPr>
              <w:pStyle w:val="TableContents"/>
              <w:bidi w:val="0"/>
              <w:spacing w:before="0" w:after="0"/>
              <w:ind w:left="0" w:right="0" w:hanging="0"/>
              <w:jc w:val="both"/>
              <w:rPr/>
            </w:pPr>
            <w:r>
              <w:rPr/>
              <w:t> </w:t>
            </w:r>
          </w:p>
        </w:tc>
        <w:tc>
          <w:tcPr>
            <w:tcW w:w="191" w:type="dxa"/>
            <w:tcBorders/>
            <w:vAlign w:val="center"/>
          </w:tcPr>
          <w:p>
            <w:pPr>
              <w:pStyle w:val="TableContents"/>
              <w:bidi w:val="0"/>
              <w:spacing w:before="0" w:after="0"/>
              <w:ind w:left="0" w:right="0" w:hanging="0"/>
              <w:jc w:val="both"/>
              <w:rPr/>
            </w:pPr>
            <w:r>
              <w:rPr/>
              <w:t> </w:t>
            </w:r>
          </w:p>
        </w:tc>
      </w:tr>
    </w:tbl>
    <w:p>
      <w:pPr>
        <w:pStyle w:val="TextBody"/>
        <w:bidi w:val="0"/>
        <w:spacing w:before="0" w:after="0"/>
        <w:jc w:val="both"/>
        <w:rPr/>
      </w:pPr>
      <w:r>
        <w:rPr/>
        <w:t> </w:t>
      </w:r>
    </w:p>
    <w:p>
      <w:pPr>
        <w:pStyle w:val="TextBody"/>
        <w:bidi w:val="0"/>
        <w:spacing w:before="0" w:after="0"/>
        <w:jc w:val="both"/>
        <w:rPr>
          <w:rFonts w:ascii="Arial;sans-serif" w:hAnsi="Arial;sans-serif"/>
          <w:b/>
          <w:sz w:val="28"/>
        </w:rPr>
      </w:pPr>
      <w:r>
        <w:rPr>
          <w:rFonts w:ascii="Arial;sans-serif" w:hAnsi="Arial;sans-serif"/>
          <w:b/>
          <w:sz w:val="28"/>
        </w:rPr>
        <w:t>GOVERNANCE FRAMEWORK</w:t>
      </w:r>
    </w:p>
    <w:p>
      <w:pPr>
        <w:pStyle w:val="TextBody"/>
        <w:bidi w:val="0"/>
        <w:spacing w:before="0" w:after="0"/>
        <w:jc w:val="both"/>
        <w:rPr>
          <w:rFonts w:ascii="Arial;sans-serif" w:hAnsi="Arial;sans-serif"/>
          <w:b w:val="false"/>
          <w:sz w:val="20"/>
        </w:rPr>
      </w:pPr>
      <w:r>
        <w:rPr>
          <w:rFonts w:ascii="Arial;sans-serif" w:hAnsi="Arial;sans-serif"/>
          <w:b w:val="false"/>
          <w:sz w:val="20"/>
        </w:rPr>
        <w:t>Our business and affairs are managed under the direction of the Board, subject to limitations and other requirements in our charter documents or in applicable statutes, rules, and regulations, including those of the Securities and Exchange Commission (the "SEC") and the Nasdaq Stock Market (“Nasdaq”).</w:t>
      </w:r>
    </w:p>
    <w:p>
      <w:pPr>
        <w:pStyle w:val="TextBody"/>
        <w:bidi w:val="0"/>
        <w:spacing w:before="0" w:after="0"/>
        <w:jc w:val="both"/>
        <w:rPr/>
      </w:pPr>
      <w:r>
        <w:rPr/>
        <w:t> </w:t>
      </w:r>
    </w:p>
    <w:p>
      <w:pPr>
        <w:pStyle w:val="TextBody"/>
        <w:bidi w:val="0"/>
        <w:spacing w:before="0" w:after="0"/>
        <w:jc w:val="both"/>
        <w:rPr>
          <w:rFonts w:ascii="Arial;sans-serif" w:hAnsi="Arial;sans-serif"/>
          <w:b w:val="false"/>
          <w:sz w:val="20"/>
        </w:rPr>
      </w:pPr>
      <w:r>
        <w:rPr>
          <w:rFonts w:ascii="Arial;sans-serif" w:hAnsi="Arial;sans-serif"/>
          <w:b w:val="false"/>
          <w:sz w:val="20"/>
        </w:rPr>
        <w:t>Our governance framework supports independent oversight and accountability.</w:t>
      </w:r>
    </w:p>
    <w:tbl>
      <w:tblPr>
        <w:tblW w:w="9617" w:type="dxa"/>
        <w:jc w:val="left"/>
        <w:tblInd w:w="0" w:type="dxa"/>
        <w:tblLayout w:type="fixed"/>
        <w:tblCellMar>
          <w:top w:w="28" w:type="dxa"/>
          <w:left w:w="28" w:type="dxa"/>
          <w:bottom w:w="28" w:type="dxa"/>
          <w:right w:w="28" w:type="dxa"/>
        </w:tblCellMar>
      </w:tblPr>
      <w:tblGrid>
        <w:gridCol w:w="377"/>
        <w:gridCol w:w="5326"/>
        <w:gridCol w:w="146"/>
        <w:gridCol w:w="362"/>
        <w:gridCol w:w="3406"/>
      </w:tblGrid>
      <w:tr>
        <w:trPr/>
        <w:tc>
          <w:tcPr>
            <w:tcW w:w="377" w:type="dxa"/>
            <w:tcBorders/>
            <w:vAlign w:val="center"/>
          </w:tcPr>
          <w:p>
            <w:pPr>
              <w:pStyle w:val="TableContents"/>
              <w:bidi w:val="0"/>
              <w:spacing w:before="0" w:after="283"/>
              <w:jc w:val="left"/>
              <w:rPr>
                <w:sz w:val="4"/>
                <w:szCs w:val="4"/>
              </w:rPr>
            </w:pPr>
            <w:r>
              <w:rPr>
                <w:sz w:val="4"/>
                <w:szCs w:val="4"/>
              </w:rPr>
            </w:r>
          </w:p>
        </w:tc>
        <w:tc>
          <w:tcPr>
            <w:tcW w:w="5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r>
      <w:tr>
        <w:trPr/>
        <w:tc>
          <w:tcPr>
            <w:tcW w:w="37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326" w:type="dxa"/>
            <w:tcBorders/>
            <w:tcMar>
              <w:top w:w="0" w:type="dxa"/>
              <w:left w:w="0" w:type="dxa"/>
              <w:bottom w:w="0" w:type="dxa"/>
              <w:right w:w="0" w:type="dxa"/>
            </w:tcMar>
            <w:vAlign w:val="center"/>
          </w:tcPr>
          <w:p>
            <w:pPr>
              <w:pStyle w:val="TableContents"/>
              <w:bidi w:val="0"/>
              <w:spacing w:before="0" w:after="0"/>
              <w:ind w:left="0" w:right="0" w:hanging="0"/>
              <w:jc w:val="both"/>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both"/>
              <w:rPr/>
            </w:pPr>
            <w:r>
              <w:rPr/>
              <w:t> </w:t>
            </w:r>
          </w:p>
        </w:tc>
        <w:tc>
          <w:tcPr>
            <w:tcW w:w="362" w:type="dxa"/>
            <w:tcBorders/>
            <w:tcMar>
              <w:top w:w="0" w:type="dxa"/>
              <w:left w:w="0" w:type="dxa"/>
              <w:bottom w:w="0" w:type="dxa"/>
              <w:right w:w="0" w:type="dxa"/>
            </w:tcMar>
            <w:vAlign w:val="center"/>
          </w:tcPr>
          <w:p>
            <w:pPr>
              <w:pStyle w:val="TableContents"/>
              <w:bidi w:val="0"/>
              <w:spacing w:before="0" w:after="0"/>
              <w:ind w:left="0" w:right="0" w:hanging="0"/>
              <w:jc w:val="both"/>
              <w:rPr/>
            </w:pPr>
            <w:r>
              <w:rPr/>
              <w:t> </w:t>
            </w:r>
          </w:p>
        </w:tc>
        <w:tc>
          <w:tcPr>
            <w:tcW w:w="3406" w:type="dxa"/>
            <w:tcBorders/>
            <w:tcMar>
              <w:top w:w="0" w:type="dxa"/>
              <w:left w:w="0" w:type="dxa"/>
              <w:bottom w:w="0" w:type="dxa"/>
              <w:right w:w="0" w:type="dxa"/>
            </w:tcMar>
            <w:vAlign w:val="center"/>
          </w:tcPr>
          <w:p>
            <w:pPr>
              <w:pStyle w:val="TableContents"/>
              <w:bidi w:val="0"/>
              <w:spacing w:before="0" w:after="0"/>
              <w:ind w:left="0" w:right="0" w:hanging="0"/>
              <w:jc w:val="both"/>
              <w:rPr/>
            </w:pPr>
            <w:r>
              <w:rPr/>
              <w:t> </w:t>
            </w:r>
          </w:p>
        </w:tc>
      </w:tr>
      <w:tr>
        <w:trPr/>
        <w:tc>
          <w:tcPr>
            <w:tcW w:w="377" w:type="dxa"/>
            <w:tcBorders/>
            <w:tcMar>
              <w:top w:w="0" w:type="dxa"/>
              <w:left w:w="0" w:type="dxa"/>
              <w:bottom w:w="0" w:type="dxa"/>
              <w:right w:w="0" w:type="dxa"/>
            </w:tcMar>
            <w:vAlign w:val="center"/>
          </w:tcPr>
          <w:p>
            <w:pPr>
              <w:pStyle w:val="TableContents"/>
              <w:bidi w:val="0"/>
              <w:spacing w:before="0" w:after="0"/>
              <w:ind w:left="0" w:right="0" w:hanging="0"/>
              <w:jc w:val="both"/>
              <w:rPr/>
            </w:pPr>
            <w:r>
              <w:rPr/>
              <w:t> </w:t>
            </w:r>
          </w:p>
        </w:tc>
        <w:tc>
          <w:tcPr>
            <w:tcW w:w="5326" w:type="dxa"/>
            <w:tcBorders/>
            <w:tcMar>
              <w:top w:w="0" w:type="dxa"/>
              <w:left w:w="0" w:type="dxa"/>
              <w:bottom w:w="0" w:type="dxa"/>
              <w:right w:w="0" w:type="dxa"/>
            </w:tcMar>
            <w:vAlign w:val="center"/>
          </w:tcPr>
          <w:p>
            <w:pPr>
              <w:pStyle w:val="TableContents"/>
              <w:bidi w:val="0"/>
              <w:spacing w:before="0" w:after="120"/>
              <w:ind w:left="0" w:right="0" w:hanging="0"/>
              <w:jc w:val="both"/>
              <w:rPr>
                <w:rFonts w:ascii="Arial;sans-serif" w:hAnsi="Arial;sans-serif"/>
                <w:b/>
                <w:sz w:val="20"/>
              </w:rPr>
            </w:pPr>
            <w:r>
              <w:rPr>
                <w:rFonts w:ascii="Arial;sans-serif" w:hAnsi="Arial;sans-serif"/>
                <w:b/>
                <w:sz w:val="20"/>
              </w:rPr>
              <w:t>Independent Oversight</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both"/>
              <w:rPr/>
            </w:pPr>
            <w:r>
              <w:rPr/>
              <w:t> </w:t>
            </w:r>
          </w:p>
        </w:tc>
        <w:tc>
          <w:tcPr>
            <w:tcW w:w="362" w:type="dxa"/>
            <w:tcBorders/>
            <w:tcMar>
              <w:top w:w="0" w:type="dxa"/>
              <w:left w:w="0" w:type="dxa"/>
              <w:bottom w:w="0" w:type="dxa"/>
              <w:right w:w="0" w:type="dxa"/>
            </w:tcMar>
            <w:vAlign w:val="center"/>
          </w:tcPr>
          <w:p>
            <w:pPr>
              <w:pStyle w:val="TableContents"/>
              <w:bidi w:val="0"/>
              <w:spacing w:before="0" w:after="120"/>
              <w:ind w:left="0" w:right="0" w:hanging="0"/>
              <w:jc w:val="both"/>
              <w:rPr/>
            </w:pPr>
            <w:r>
              <w:rPr/>
              <w:t> </w:t>
            </w:r>
          </w:p>
        </w:tc>
        <w:tc>
          <w:tcPr>
            <w:tcW w:w="3406" w:type="dxa"/>
            <w:tcBorders/>
            <w:tcMar>
              <w:top w:w="0" w:type="dxa"/>
              <w:left w:w="0" w:type="dxa"/>
              <w:bottom w:w="0" w:type="dxa"/>
              <w:right w:w="0" w:type="dxa"/>
            </w:tcMar>
            <w:vAlign w:val="center"/>
          </w:tcPr>
          <w:p>
            <w:pPr>
              <w:pStyle w:val="TableContents"/>
              <w:bidi w:val="0"/>
              <w:spacing w:before="0" w:after="120"/>
              <w:ind w:left="0" w:right="0" w:hanging="0"/>
              <w:jc w:val="both"/>
              <w:rPr>
                <w:rFonts w:ascii="Arial;sans-serif" w:hAnsi="Arial;sans-serif"/>
                <w:b/>
                <w:sz w:val="20"/>
              </w:rPr>
            </w:pPr>
            <w:r>
              <w:rPr>
                <w:rFonts w:ascii="Arial;sans-serif" w:hAnsi="Arial;sans-serif"/>
                <w:b/>
                <w:sz w:val="20"/>
              </w:rPr>
              <w:t>Accountability</w:t>
            </w:r>
          </w:p>
        </w:tc>
      </w:tr>
      <w:tr>
        <w:trPr/>
        <w:tc>
          <w:tcPr>
            <w:tcW w:w="377" w:type="dxa"/>
            <w:tcBorders/>
            <w:tcMar>
              <w:top w:w="0" w:type="dxa"/>
              <w:left w:w="0" w:type="dxa"/>
              <w:bottom w:w="0" w:type="dxa"/>
              <w:right w:w="0" w:type="dxa"/>
            </w:tcMar>
            <w:vAlign w:val="center"/>
          </w:tcPr>
          <w:p>
            <w:pPr>
              <w:pStyle w:val="TableContents"/>
              <w:bidi w:val="0"/>
              <w:spacing w:before="0" w:after="0"/>
              <w:ind w:left="0" w:right="0" w:firstLine="216"/>
              <w:jc w:val="both"/>
              <w:rPr/>
            </w:pPr>
            <w:r>
              <w:rPr/>
              <w:t> </w:t>
            </w:r>
          </w:p>
        </w:tc>
        <w:tc>
          <w:tcPr>
            <w:tcW w:w="5326" w:type="dxa"/>
            <w:tcBorders/>
            <w:tcMar>
              <w:top w:w="0" w:type="dxa"/>
              <w:left w:w="0" w:type="dxa"/>
              <w:bottom w:w="0" w:type="dxa"/>
              <w:right w:w="0" w:type="dxa"/>
            </w:tcMar>
            <w:vAlign w:val="center"/>
          </w:tcPr>
          <w:p>
            <w:pPr>
              <w:pStyle w:val="TableContents"/>
              <w:pBdr/>
              <w:bidi w:val="0"/>
              <w:spacing w:before="0" w:after="120"/>
              <w:ind w:left="0" w:right="90" w:hanging="216"/>
              <w:jc w:val="both"/>
              <w:rPr>
                <w:rFonts w:ascii="Arial;sans-serif" w:hAnsi="Arial;sans-serif"/>
                <w:b w:val="false"/>
                <w:sz w:val="18"/>
              </w:rPr>
            </w:pPr>
            <w:r>
              <w:rPr>
                <w:rFonts w:ascii="Arial;sans-serif" w:hAnsi="Arial;sans-serif"/>
                <w:b w:val="false"/>
                <w:sz w:val="18"/>
              </w:rPr>
              <w:t> 6 of 7 director nominees are independent</w:t>
            </w:r>
          </w:p>
          <w:p>
            <w:pPr>
              <w:pStyle w:val="TableContents"/>
              <w:pBdr/>
              <w:bidi w:val="0"/>
              <w:spacing w:before="0" w:after="120"/>
              <w:ind w:left="0" w:right="90" w:hanging="216"/>
              <w:jc w:val="left"/>
              <w:rPr>
                <w:rFonts w:ascii="Arial;sans-serif" w:hAnsi="Arial;sans-serif"/>
                <w:b w:val="false"/>
                <w:sz w:val="18"/>
              </w:rPr>
            </w:pPr>
            <w:r>
              <w:rPr>
                <w:rFonts w:ascii="Arial;sans-serif" w:hAnsi="Arial;sans-serif"/>
                <w:b w:val="false"/>
                <w:sz w:val="18"/>
              </w:rPr>
              <w:t> Non-Executive Chairman</w:t>
            </w:r>
          </w:p>
          <w:p>
            <w:pPr>
              <w:pStyle w:val="TableContents"/>
              <w:pBdr/>
              <w:bidi w:val="0"/>
              <w:spacing w:before="0" w:after="120"/>
              <w:ind w:left="0" w:right="90" w:hanging="216"/>
              <w:jc w:val="both"/>
              <w:rPr>
                <w:rFonts w:ascii="Times New Roman" w:hAnsi="Times New Roman"/>
                <w:sz w:val="18"/>
              </w:rPr>
            </w:pPr>
            <w:r>
              <w:rPr>
                <w:rFonts w:ascii="Arial;sans-serif" w:hAnsi="Arial;sans-serif"/>
                <w:b w:val="false"/>
                <w:sz w:val="18"/>
              </w:rPr>
              <w:t> All independent committees</w:t>
            </w:r>
            <w:r>
              <w:rPr>
                <w:rFonts w:ascii="Times New Roman" w:hAnsi="Times New Roman"/>
                <w:sz w:val="18"/>
              </w:rPr>
              <w:t xml:space="preserve"> </w:t>
            </w:r>
          </w:p>
          <w:p>
            <w:pPr>
              <w:pStyle w:val="TableContents"/>
              <w:pBdr/>
              <w:bidi w:val="0"/>
              <w:spacing w:before="0" w:after="0"/>
              <w:ind w:left="0" w:right="90" w:hanging="216"/>
              <w:jc w:val="left"/>
              <w:rPr>
                <w:rFonts w:ascii="Times New Roman" w:hAnsi="Times New Roman"/>
                <w:sz w:val="18"/>
              </w:rPr>
            </w:pPr>
            <w:r>
              <w:rPr>
                <w:rFonts w:ascii="Arial;sans-serif" w:hAnsi="Arial;sans-serif"/>
                <w:b w:val="false"/>
                <w:sz w:val="18"/>
              </w:rPr>
              <w:t> Demonstrated commitment to Board</w:t>
            </w:r>
            <w:r>
              <w:rPr>
                <w:rFonts w:ascii="Times New Roman" w:hAnsi="Times New Roman"/>
                <w:sz w:val="18"/>
              </w:rPr>
              <w:t xml:space="preserve"> </w:t>
            </w:r>
          </w:p>
          <w:p>
            <w:pPr>
              <w:pStyle w:val="TableContents"/>
              <w:pBdr/>
              <w:bidi w:val="0"/>
              <w:spacing w:before="0" w:after="120"/>
              <w:ind w:left="0" w:right="90" w:hanging="216"/>
              <w:jc w:val="left"/>
              <w:rPr/>
            </w:pPr>
            <w:r>
              <w:rPr/>
              <w:t>     </w:t>
            </w:r>
            <w:r>
              <w:rPr>
                <w:rFonts w:ascii="Arial;sans-serif" w:hAnsi="Arial;sans-serif"/>
                <w:b w:val="false"/>
                <w:sz w:val="18"/>
              </w:rPr>
              <w:t>refreshment – over 70% of the Board has joined since 2018</w:t>
            </w:r>
          </w:p>
        </w:tc>
        <w:tc>
          <w:tcPr>
            <w:tcW w:w="146" w:type="dxa"/>
            <w:tcBorders/>
            <w:tcMar>
              <w:top w:w="0" w:type="dxa"/>
              <w:left w:w="0" w:type="dxa"/>
              <w:bottom w:w="0" w:type="dxa"/>
              <w:right w:w="0" w:type="dxa"/>
            </w:tcMar>
            <w:vAlign w:val="center"/>
          </w:tcPr>
          <w:p>
            <w:pPr>
              <w:pStyle w:val="TableContents"/>
              <w:bidi w:val="0"/>
              <w:spacing w:before="0" w:after="120"/>
              <w:ind w:left="0" w:right="0" w:hanging="0"/>
              <w:jc w:val="both"/>
              <w:rPr/>
            </w:pPr>
            <w:r>
              <w:rPr/>
              <w:t> </w:t>
            </w:r>
          </w:p>
        </w:tc>
        <w:tc>
          <w:tcPr>
            <w:tcW w:w="362" w:type="dxa"/>
            <w:tcBorders/>
            <w:tcMar>
              <w:top w:w="0" w:type="dxa"/>
              <w:left w:w="0" w:type="dxa"/>
              <w:bottom w:w="0" w:type="dxa"/>
              <w:right w:w="0" w:type="dxa"/>
            </w:tcMar>
            <w:vAlign w:val="center"/>
          </w:tcPr>
          <w:p>
            <w:pPr>
              <w:pStyle w:val="TableContents"/>
              <w:bidi w:val="0"/>
              <w:spacing w:before="0" w:after="120"/>
              <w:ind w:left="0" w:right="0" w:firstLine="216"/>
              <w:jc w:val="both"/>
              <w:rPr/>
            </w:pPr>
            <w:r>
              <w:rPr/>
              <w:t> </w:t>
            </w:r>
          </w:p>
        </w:tc>
        <w:tc>
          <w:tcPr>
            <w:tcW w:w="3406" w:type="dxa"/>
            <w:tcBorders/>
            <w:tcMar>
              <w:top w:w="0" w:type="dxa"/>
              <w:left w:w="0" w:type="dxa"/>
              <w:bottom w:w="0" w:type="dxa"/>
              <w:right w:w="0" w:type="dxa"/>
            </w:tcMar>
            <w:vAlign w:val="center"/>
          </w:tcPr>
          <w:p>
            <w:pPr>
              <w:pStyle w:val="TableContents"/>
              <w:pBdr/>
              <w:bidi w:val="0"/>
              <w:spacing w:before="0" w:after="120"/>
              <w:ind w:left="0" w:right="0" w:hanging="216"/>
              <w:jc w:val="both"/>
              <w:rPr>
                <w:rFonts w:ascii="Arial;sans-serif" w:hAnsi="Arial;sans-serif"/>
                <w:b w:val="false"/>
                <w:sz w:val="18"/>
              </w:rPr>
            </w:pPr>
            <w:r>
              <w:rPr>
                <w:rFonts w:ascii="Arial;sans-serif" w:hAnsi="Arial;sans-serif"/>
                <w:b w:val="false"/>
                <w:sz w:val="18"/>
              </w:rPr>
              <w:t> Majority voting in uncontested elections</w:t>
            </w:r>
          </w:p>
          <w:p>
            <w:pPr>
              <w:pStyle w:val="TableContents"/>
              <w:pBdr/>
              <w:bidi w:val="0"/>
              <w:spacing w:before="0" w:after="120"/>
              <w:ind w:left="0" w:right="0" w:hanging="216"/>
              <w:jc w:val="both"/>
              <w:rPr>
                <w:rFonts w:ascii="Arial;sans-serif" w:hAnsi="Arial;sans-serif"/>
                <w:b w:val="false"/>
                <w:sz w:val="18"/>
              </w:rPr>
            </w:pPr>
            <w:r>
              <w:rPr>
                <w:rFonts w:ascii="Arial;sans-serif" w:hAnsi="Arial;sans-serif"/>
                <w:b w:val="false"/>
                <w:sz w:val="18"/>
              </w:rPr>
              <w:t> Annual election of directors</w:t>
            </w:r>
          </w:p>
          <w:p>
            <w:pPr>
              <w:pStyle w:val="TableContents"/>
              <w:pBdr/>
              <w:bidi w:val="0"/>
              <w:spacing w:before="0" w:after="120"/>
              <w:ind w:left="0" w:right="0" w:hanging="216"/>
              <w:jc w:val="both"/>
              <w:rPr>
                <w:rFonts w:ascii="Arial;sans-serif" w:hAnsi="Arial;sans-serif"/>
                <w:b w:val="false"/>
                <w:sz w:val="18"/>
              </w:rPr>
            </w:pPr>
            <w:r>
              <w:rPr>
                <w:rFonts w:ascii="Arial;sans-serif" w:hAnsi="Arial;sans-serif"/>
                <w:b w:val="false"/>
                <w:sz w:val="18"/>
              </w:rPr>
              <w:t> Annual advisory say-on-pay vote</w:t>
            </w:r>
          </w:p>
          <w:p>
            <w:pPr>
              <w:pStyle w:val="TableContents"/>
              <w:pBdr/>
              <w:bidi w:val="0"/>
              <w:spacing w:before="0" w:after="120"/>
              <w:ind w:left="0" w:right="0" w:hanging="216"/>
              <w:jc w:val="both"/>
              <w:rPr>
                <w:rFonts w:ascii="Arial;sans-serif" w:hAnsi="Arial;sans-serif"/>
                <w:b w:val="false"/>
                <w:sz w:val="18"/>
              </w:rPr>
            </w:pPr>
            <w:r>
              <w:rPr>
                <w:rFonts w:ascii="Arial;sans-serif" w:hAnsi="Arial;sans-serif"/>
                <w:b w:val="false"/>
                <w:sz w:val="18"/>
              </w:rPr>
              <w:t> Robust over-boarding policy</w:t>
            </w:r>
          </w:p>
          <w:p>
            <w:pPr>
              <w:pStyle w:val="TableContents"/>
              <w:pBdr/>
              <w:bidi w:val="0"/>
              <w:spacing w:before="0" w:after="120"/>
              <w:ind w:left="0" w:right="0" w:hanging="216"/>
              <w:jc w:val="both"/>
              <w:rPr>
                <w:rFonts w:ascii="Arial;sans-serif" w:hAnsi="Arial;sans-serif"/>
                <w:b w:val="false"/>
                <w:sz w:val="18"/>
              </w:rPr>
            </w:pPr>
            <w:r>
              <w:rPr>
                <w:rFonts w:ascii="Arial;sans-serif" w:hAnsi="Arial;sans-serif"/>
                <w:b w:val="false"/>
                <w:sz w:val="18"/>
              </w:rPr>
              <w:t> Proxy access right</w:t>
            </w:r>
          </w:p>
        </w:tc>
      </w:tr>
    </w:tbl>
    <w:p>
      <w:pPr>
        <w:pStyle w:val="TextBody"/>
        <w:bidi w:val="0"/>
        <w:spacing w:before="40" w:after="0"/>
        <w:jc w:val="both"/>
        <w:rPr/>
      </w:pPr>
      <w:r>
        <w:rPr/>
        <w:t> </w:t>
      </w:r>
    </w:p>
    <w:p>
      <w:pPr>
        <w:pStyle w:val="TextBody"/>
        <w:bidi w:val="0"/>
        <w:spacing w:before="0" w:after="0"/>
        <w:jc w:val="both"/>
        <w:rPr>
          <w:rFonts w:ascii="Arial;sans-serif" w:hAnsi="Arial;sans-serif"/>
          <w:b w:val="false"/>
          <w:sz w:val="20"/>
        </w:rPr>
      </w:pPr>
      <w:r>
        <w:rPr>
          <w:rFonts w:ascii="Arial;sans-serif" w:hAnsi="Arial;sans-serif"/>
          <w:b w:val="false"/>
          <w:sz w:val="20"/>
        </w:rPr>
        <w:t>Our governance framework is based on our Amended and Restated Bylaws (our “Bylaws”), as well as the key governance documents listed below:</w:t>
      </w:r>
    </w:p>
    <w:p>
      <w:pPr>
        <w:pStyle w:val="TextBody"/>
        <w:bidi w:val="0"/>
        <w:spacing w:before="0" w:after="0"/>
        <w:jc w:val="both"/>
        <w:rPr/>
      </w:pPr>
      <w:r>
        <w:rPr/>
        <w:t> </w:t>
      </w:r>
    </w:p>
    <w:p>
      <w:pPr>
        <w:pStyle w:val="TextBody"/>
        <w:bidi w:val="0"/>
        <w:spacing w:before="0" w:after="120"/>
        <w:jc w:val="both"/>
        <w:rPr/>
      </w:pPr>
      <w:r>
        <w:rPr/>
        <w:t>•</w:t>
      </w:r>
    </w:p>
    <w:p>
      <w:pPr>
        <w:pStyle w:val="TextBody"/>
        <w:bidi w:val="0"/>
        <w:spacing w:before="0" w:after="120"/>
        <w:jc w:val="both"/>
        <w:rPr>
          <w:rFonts w:ascii="Arial;sans-serif" w:hAnsi="Arial;sans-serif"/>
          <w:b w:val="false"/>
          <w:sz w:val="20"/>
        </w:rPr>
      </w:pPr>
      <w:r>
        <w:rPr>
          <w:rFonts w:ascii="Arial;sans-serif" w:hAnsi="Arial;sans-serif"/>
          <w:b w:val="false"/>
          <w:sz w:val="20"/>
        </w:rPr>
        <w:t>Code of Conduct and Ethics</w:t>
      </w:r>
    </w:p>
    <w:p>
      <w:pPr>
        <w:pStyle w:val="TextBody"/>
        <w:bidi w:val="0"/>
        <w:spacing w:before="0" w:after="120"/>
        <w:jc w:val="both"/>
        <w:rPr/>
      </w:pPr>
      <w:r>
        <w:rPr/>
        <w:t>•</w:t>
      </w:r>
    </w:p>
    <w:p>
      <w:pPr>
        <w:pStyle w:val="TextBody"/>
        <w:bidi w:val="0"/>
        <w:spacing w:before="0" w:after="120"/>
        <w:jc w:val="both"/>
        <w:rPr>
          <w:rFonts w:ascii="Arial;sans-serif" w:hAnsi="Arial;sans-serif"/>
          <w:b w:val="false"/>
          <w:sz w:val="20"/>
        </w:rPr>
      </w:pPr>
      <w:r>
        <w:rPr>
          <w:rFonts w:ascii="Arial;sans-serif" w:hAnsi="Arial;sans-serif"/>
          <w:b w:val="false"/>
          <w:sz w:val="20"/>
        </w:rPr>
        <w:t>Code of Ethics for CEO and Senior Financial Officers</w:t>
      </w:r>
    </w:p>
    <w:p>
      <w:pPr>
        <w:pStyle w:val="TextBody"/>
        <w:bidi w:val="0"/>
        <w:spacing w:before="0" w:after="120"/>
        <w:jc w:val="both"/>
        <w:rPr/>
      </w:pPr>
      <w:r>
        <w:rPr/>
        <w:t>•</w:t>
      </w:r>
    </w:p>
    <w:p>
      <w:pPr>
        <w:pStyle w:val="TextBody"/>
        <w:bidi w:val="0"/>
        <w:spacing w:before="0" w:after="120"/>
        <w:jc w:val="both"/>
        <w:rPr>
          <w:rFonts w:ascii="Arial;sans-serif" w:hAnsi="Arial;sans-serif"/>
          <w:b w:val="false"/>
          <w:sz w:val="20"/>
        </w:rPr>
      </w:pPr>
      <w:r>
        <w:rPr>
          <w:rFonts w:ascii="Arial;sans-serif" w:hAnsi="Arial;sans-serif"/>
          <w:b w:val="false"/>
          <w:sz w:val="20"/>
        </w:rPr>
        <w:t>Corporate Governance Guidelines (the “Guidelines”)</w:t>
      </w:r>
    </w:p>
    <w:p>
      <w:pPr>
        <w:pStyle w:val="TextBody"/>
        <w:bidi w:val="0"/>
        <w:spacing w:before="0" w:after="240"/>
        <w:jc w:val="both"/>
        <w:rPr/>
      </w:pPr>
      <w:r>
        <w:rPr/>
        <w:t>•</w:t>
      </w:r>
    </w:p>
    <w:p>
      <w:pPr>
        <w:pStyle w:val="TextBody"/>
        <w:bidi w:val="0"/>
        <w:spacing w:before="0" w:after="240"/>
        <w:jc w:val="both"/>
        <w:rPr>
          <w:rFonts w:ascii="Arial;sans-serif" w:hAnsi="Arial;sans-serif"/>
          <w:b w:val="false"/>
          <w:sz w:val="20"/>
        </w:rPr>
      </w:pPr>
      <w:r>
        <w:rPr>
          <w:rFonts w:ascii="Arial;sans-serif" w:hAnsi="Arial;sans-serif"/>
          <w:b w:val="false"/>
          <w:sz w:val="20"/>
        </w:rPr>
        <w:t>Charters of the Audit Committee, the Compensation Committee, the Nominations and Corporate Governance Committee (the “NCG Committee”) and the ESG Committee</w:t>
      </w:r>
    </w:p>
    <w:p>
      <w:pPr>
        <w:pStyle w:val="TextBody"/>
        <w:bidi w:val="0"/>
        <w:spacing w:before="0" w:after="0"/>
        <w:jc w:val="both"/>
        <w:rPr>
          <w:rFonts w:ascii="Times New Roman" w:hAnsi="Times New Roman"/>
          <w:sz w:val="20"/>
        </w:rPr>
      </w:pPr>
      <w:r>
        <w:rPr>
          <w:rFonts w:ascii="Arial;sans-serif" w:hAnsi="Arial;sans-serif"/>
          <w:b w:val="false"/>
          <w:sz w:val="20"/>
        </w:rPr>
        <w:t>Copies of these documents are available on our website, www.smith-wesson.com, or upon written request sent to our Corporate Secretary at our principal executive offices located at 2100 Roosevelt Avenue, Springfield, Massachusetts 01104. The information on our website is not part of this Proxy Statement.</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left"/>
        <w:rPr/>
      </w:pPr>
      <w:r>
        <w:rPr/>
        <w:t> </w:t>
      </w:r>
    </w:p>
    <w:tbl>
      <w:tblPr>
        <w:tblW w:w="3657" w:type="dxa"/>
        <w:jc w:val="left"/>
        <w:tblInd w:w="0" w:type="dxa"/>
        <w:tblLayout w:type="fixed"/>
        <w:tblCellMar>
          <w:top w:w="28" w:type="dxa"/>
          <w:left w:w="28" w:type="dxa"/>
          <w:bottom w:w="28" w:type="dxa"/>
          <w:right w:w="28" w:type="dxa"/>
        </w:tblCellMar>
      </w:tblPr>
      <w:tblGrid>
        <w:gridCol w:w="1466"/>
        <w:gridCol w:w="2191"/>
      </w:tblGrid>
      <w:tr>
        <w:trPr/>
        <w:tc>
          <w:tcPr>
            <w:tcW w:w="1466"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r>
      <w:tr>
        <w:trPr/>
        <w:tc>
          <w:tcPr>
            <w:tcW w:w="1466" w:type="dxa"/>
            <w:tcBorders/>
            <w:vAlign w:val="center"/>
          </w:tcPr>
          <w:p>
            <w:pPr>
              <w:pStyle w:val="TableContents"/>
              <w:bidi w:val="0"/>
              <w:spacing w:before="0" w:after="0"/>
              <w:ind w:left="0" w:right="0" w:hanging="0"/>
              <w:jc w:val="left"/>
              <w:rPr/>
            </w:pPr>
            <w:r>
              <w:rPr/>
              <w:drawing>
                <wp:inline distT="0" distB="0" distL="0" distR="0">
                  <wp:extent cx="828675" cy="1905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28675" cy="190500"/>
                          </a:xfrm>
                          <a:prstGeom prst="rect">
                            <a:avLst/>
                          </a:prstGeom>
                        </pic:spPr>
                      </pic:pic>
                    </a:graphicData>
                  </a:graphic>
                </wp:inline>
              </w:drawing>
            </w:r>
            <w:r>
              <w:rPr/>
              <w:t> </w:t>
            </w:r>
          </w:p>
        </w:tc>
        <w:tc>
          <w:tcPr>
            <w:tcW w:w="219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2023 Proxy Statement I 3</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3027" w:type="dxa"/>
        <w:jc w:val="left"/>
        <w:tblInd w:w="0" w:type="dxa"/>
        <w:tblLayout w:type="fixed"/>
        <w:tblCellMar>
          <w:top w:w="28" w:type="dxa"/>
          <w:left w:w="28" w:type="dxa"/>
          <w:bottom w:w="28" w:type="dxa"/>
          <w:right w:w="28" w:type="dxa"/>
        </w:tblCellMar>
      </w:tblPr>
      <w:tblGrid>
        <w:gridCol w:w="2836"/>
        <w:gridCol w:w="191"/>
      </w:tblGrid>
      <w:tr>
        <w:trPr/>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Board and Governance Matters</w:t>
            </w:r>
          </w:p>
        </w:tc>
        <w:tc>
          <w:tcPr>
            <w:tcW w:w="191" w:type="dxa"/>
            <w:tcBorders/>
            <w:vAlign w:val="center"/>
          </w:tcPr>
          <w:p>
            <w:pPr>
              <w:pStyle w:val="TableContents"/>
              <w:bidi w:val="0"/>
              <w:spacing w:before="0" w:after="0"/>
              <w:ind w:left="0" w:right="0" w:hanging="0"/>
              <w:jc w:val="left"/>
              <w:rPr/>
            </w:pPr>
            <w:r>
              <w:rPr/>
              <w:t> </w:t>
            </w:r>
          </w:p>
        </w:tc>
      </w:tr>
      <w:tr>
        <w:trPr/>
        <w:tc>
          <w:tcPr>
            <w:tcW w:w="283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both"/>
        <w:rPr>
          <w:rFonts w:ascii="Arial;sans-serif" w:hAnsi="Arial;sans-serif"/>
          <w:b/>
          <w:sz w:val="28"/>
        </w:rPr>
      </w:pPr>
      <w:r>
        <w:rPr>
          <w:rFonts w:ascii="Arial;sans-serif" w:hAnsi="Arial;sans-serif"/>
          <w:b/>
          <w:sz w:val="28"/>
        </w:rPr>
        <w:t>BOARD COMPOSITION</w:t>
      </w:r>
    </w:p>
    <w:p>
      <w:pPr>
        <w:pStyle w:val="TextBody"/>
        <w:bidi w:val="0"/>
        <w:spacing w:before="120" w:after="0"/>
        <w:jc w:val="both"/>
        <w:rPr>
          <w:rFonts w:ascii="Times New Roman" w:hAnsi="Times New Roman"/>
          <w:sz w:val="20"/>
        </w:rPr>
      </w:pPr>
      <w:r>
        <w:rPr>
          <w:rFonts w:ascii="Arial;sans-serif" w:hAnsi="Arial;sans-serif"/>
          <w:b w:val="false"/>
          <w:sz w:val="24"/>
          <w:u w:val="single"/>
        </w:rPr>
        <w:t>Director Skills and Qualifications</w:t>
      </w:r>
      <w:r>
        <w:rPr>
          <w:rFonts w:ascii="Times New Roman" w:hAnsi="Times New Roman"/>
          <w:sz w:val="20"/>
        </w:rPr>
        <w:t xml:space="preserve"> </w:t>
      </w:r>
    </w:p>
    <w:p>
      <w:pPr>
        <w:pStyle w:val="TextBody"/>
        <w:bidi w:val="0"/>
        <w:spacing w:before="0" w:after="0"/>
        <w:jc w:val="both"/>
        <w:rPr>
          <w:rFonts w:ascii="Arial;sans-serif" w:hAnsi="Arial;sans-serif"/>
          <w:b w:val="false"/>
          <w:sz w:val="20"/>
        </w:rPr>
      </w:pPr>
      <w:r>
        <w:rPr>
          <w:rFonts w:ascii="Arial;sans-serif" w:hAnsi="Arial;sans-serif"/>
          <w:b w:val="false"/>
          <w:sz w:val="20"/>
        </w:rPr>
        <w:t>The NCG Committee, using a matrix of director skills and experiences that the Board believes are needed to address existing and emerging business and governance issues relevant to us (the “Skills Matrix”), reviews with the Board annually the desired experiences, mix of skills, and other qualities required for new Board members, as well as Board composition. The Board seeks director candidates who possess the requisite judgment, background, skill, expertise, and time to strengthen and increase the breadth of skills and qualifications of the Board. In particular, the Board may consider, among other things, the fit of the individual’s skills, background, qualifications, experience, and personality with those of other directors in maintaining an effective, collegial, and responsive Board and a mix of diversity in personal and professional experience, background, viewpoints, perspectives, knowledge, and abilities.</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7735"/>
        <w:gridCol w:w="226"/>
        <w:gridCol w:w="2244"/>
      </w:tblGrid>
      <w:tr>
        <w:trPr/>
        <w:tc>
          <w:tcPr>
            <w:tcW w:w="773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r>
      <w:tr>
        <w:trPr/>
        <w:tc>
          <w:tcPr>
            <w:tcW w:w="7735" w:type="dxa"/>
            <w:tcBorders/>
            <w:vAlign w:val="center"/>
          </w:tcPr>
          <w:p>
            <w:pPr>
              <w:pStyle w:val="TableContents"/>
              <w:bidi w:val="0"/>
              <w:spacing w:before="0" w:after="0"/>
              <w:ind w:left="0" w:right="0" w:firstLine="720"/>
              <w:jc w:val="both"/>
              <w:rPr>
                <w:rFonts w:ascii="Times New Roman" w:hAnsi="Times New Roman"/>
                <w:sz w:val="20"/>
              </w:rPr>
            </w:pPr>
            <w:r>
              <w:rPr>
                <w:rFonts w:ascii="Arial;sans-serif" w:hAnsi="Arial;sans-serif"/>
                <w:b/>
                <w:i/>
                <w:sz w:val="20"/>
              </w:rPr>
              <w:t>Diversity Considerations</w:t>
            </w:r>
            <w:r>
              <w:rPr>
                <w:rFonts w:ascii="Arial;sans-serif" w:hAnsi="Arial;sans-serif"/>
                <w:b w:val="false"/>
                <w:sz w:val="20"/>
              </w:rPr>
              <w:t>.</w:t>
            </w:r>
            <w:r>
              <w:rPr>
                <w:rFonts w:ascii="Times New Roman" w:hAnsi="Times New Roman"/>
                <w:sz w:val="20"/>
              </w:rPr>
              <w:t> </w:t>
            </w:r>
            <w:r>
              <w:rPr>
                <w:rFonts w:ascii="Arial;sans-serif" w:hAnsi="Arial;sans-serif"/>
                <w:b w:val="false"/>
                <w:sz w:val="20"/>
              </w:rPr>
              <w:t>The Board does not have a specific diversity policy; however, as noted above, diversity is among the factors the NCG Committee may consider in connection with its annual review of desired experiences, mix of skills, and other qualities required for new Board members. We have posted a board diversity matrix on our website, www.smith-wesson.com, to comply with a Nasdaq rule. The information on our website is not part of this Proxy Statement.</w:t>
            </w:r>
          </w:p>
        </w:tc>
        <w:tc>
          <w:tcPr>
            <w:tcW w:w="226" w:type="dxa"/>
            <w:tcBorders>
              <w:right w:val="single" w:sz="4" w:space="0" w:color="000000"/>
            </w:tcBorders>
            <w:tcMar>
              <w:top w:w="0" w:type="dxa"/>
              <w:left w:w="0" w:type="dxa"/>
              <w:bottom w:w="0" w:type="dxa"/>
            </w:tcMar>
            <w:vAlign w:val="center"/>
          </w:tcPr>
          <w:p>
            <w:pPr>
              <w:pStyle w:val="TableContents"/>
              <w:bidi w:val="0"/>
              <w:spacing w:before="0" w:after="0"/>
              <w:ind w:left="0" w:right="0" w:firstLine="80"/>
              <w:jc w:val="both"/>
              <w:rPr/>
            </w:pPr>
            <w:r>
              <w:rPr/>
              <w:t> </w:t>
            </w:r>
          </w:p>
        </w:tc>
        <w:tc>
          <w:tcPr>
            <w:tcW w:w="2244"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80" w:after="80"/>
              <w:ind w:left="80" w:right="80" w:hanging="0"/>
              <w:jc w:val="center"/>
              <w:rPr>
                <w:rFonts w:ascii="Arial;sans-serif" w:hAnsi="Arial;sans-serif"/>
                <w:b/>
                <w:sz w:val="20"/>
                <w:u w:val="single"/>
              </w:rPr>
            </w:pPr>
            <w:r>
              <w:rPr>
                <w:rFonts w:ascii="Arial;sans-serif" w:hAnsi="Arial;sans-serif"/>
                <w:b/>
                <w:sz w:val="20"/>
                <w:u w:val="single"/>
              </w:rPr>
              <w:t>Governance Spotlight</w:t>
            </w:r>
          </w:p>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Of our seven director nominees, two are women, one is a racial minority, and one is an ethnic minority.</w:t>
            </w:r>
          </w:p>
        </w:tc>
      </w:tr>
    </w:tbl>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i/>
          <w:sz w:val="20"/>
        </w:rPr>
        <w:t>Skills Matrix</w:t>
      </w:r>
      <w:r>
        <w:rPr>
          <w:rFonts w:ascii="Arial;sans-serif" w:hAnsi="Arial;sans-serif"/>
          <w:b w:val="false"/>
          <w:sz w:val="20"/>
        </w:rPr>
        <w:t>.</w:t>
      </w:r>
      <w:r>
        <w:rPr>
          <w:rFonts w:ascii="Times New Roman" w:hAnsi="Times New Roman"/>
          <w:sz w:val="20"/>
        </w:rPr>
        <w:t xml:space="preserve"> </w:t>
      </w:r>
      <w:r>
        <w:rPr>
          <w:rFonts w:ascii="Arial;sans-serif" w:hAnsi="Arial;sans-serif"/>
          <w:b w:val="false"/>
          <w:sz w:val="20"/>
        </w:rPr>
        <w:t>The NCG Committee developed the Skills Matrix in fiscal 2023 in response to requests from certain of our investors for more detailed information concerning our directors’ qualifications. The NCG Committee adopted the Skills Matrix to facilitate the comparison of our directors’ skills and experiences to those that the Board believes are needed to address existing and emerging business and governance issues relevant to us. The table below lists those skills and experiences, along with the total number of director nominees who possess the particular skill or experience.</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1662"/>
        <w:gridCol w:w="7141"/>
        <w:gridCol w:w="1402"/>
      </w:tblGrid>
      <w:tr>
        <w:trPr/>
        <w:tc>
          <w:tcPr>
            <w:tcW w:w="1662" w:type="dxa"/>
            <w:tcBorders/>
            <w:vAlign w:val="center"/>
          </w:tcPr>
          <w:p>
            <w:pPr>
              <w:pStyle w:val="TableContents"/>
              <w:bidi w:val="0"/>
              <w:spacing w:before="0" w:after="283"/>
              <w:jc w:val="left"/>
              <w:rPr>
                <w:sz w:val="4"/>
                <w:szCs w:val="4"/>
              </w:rPr>
            </w:pPr>
            <w:r>
              <w:rPr>
                <w:sz w:val="4"/>
                <w:szCs w:val="4"/>
              </w:rPr>
            </w:r>
          </w:p>
        </w:tc>
        <w:tc>
          <w:tcPr>
            <w:tcW w:w="7141"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r>
      <w:tr>
        <w:trPr/>
        <w:tc>
          <w:tcPr>
            <w:tcW w:w="1662"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Skill/Experience</w:t>
            </w:r>
          </w:p>
        </w:tc>
        <w:tc>
          <w:tcPr>
            <w:tcW w:w="7141" w:type="dxa"/>
            <w:tcBorders/>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Description</w:t>
            </w:r>
          </w:p>
        </w:tc>
        <w:tc>
          <w:tcPr>
            <w:tcW w:w="1402" w:type="dxa"/>
            <w:tcBorders>
              <w:left w:val="single" w:sz="6" w:space="0" w:color="000000"/>
              <w:right w:val="single" w:sz="6" w:space="0" w:color="000000"/>
            </w:tcBorders>
            <w:tcMar>
              <w:top w:w="0" w:type="dxa"/>
              <w:bottom w:w="0" w:type="dxa"/>
            </w:tcMar>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 of Director Nominees</w:t>
            </w:r>
          </w:p>
        </w:tc>
      </w:tr>
      <w:tr>
        <w:trPr/>
        <w:tc>
          <w:tcPr>
            <w:tcW w:w="1662" w:type="dxa"/>
            <w:tcBorders/>
            <w:vAlign w:val="center"/>
          </w:tcPr>
          <w:p>
            <w:pPr>
              <w:pStyle w:val="TableContents"/>
              <w:bidi w:val="0"/>
              <w:spacing w:before="0" w:after="0"/>
              <w:ind w:left="0" w:right="0" w:hanging="0"/>
              <w:jc w:val="left"/>
              <w:rPr/>
            </w:pPr>
            <w:r>
              <w:rPr/>
              <w:t> </w:t>
            </w:r>
            <w:r>
              <w:rPr>
                <w:rFonts w:ascii="Arial;sans-serif" w:hAnsi="Arial;sans-serif"/>
                <w:b/>
                <w:sz w:val="16"/>
              </w:rPr>
              <w:t>Executive</w:t>
            </w:r>
          </w:p>
        </w:tc>
        <w:tc>
          <w:tcPr>
            <w:tcW w:w="7141" w:type="dxa"/>
            <w:tcBorders/>
            <w:vAlign w:val="center"/>
          </w:tcPr>
          <w:p>
            <w:pPr>
              <w:pStyle w:val="TableContents"/>
              <w:bidi w:val="0"/>
              <w:spacing w:before="0" w:after="0"/>
              <w:ind w:left="0" w:right="0" w:hanging="0"/>
              <w:jc w:val="left"/>
              <w:rPr>
                <w:rFonts w:ascii="Times New Roman" w:hAnsi="Times New Roman"/>
                <w:sz w:val="16"/>
              </w:rPr>
            </w:pPr>
            <w:r>
              <w:rPr>
                <w:rFonts w:ascii="Arial;sans-serif" w:hAnsi="Arial;sans-serif"/>
                <w:b w:val="false"/>
                <w:sz w:val="16"/>
              </w:rPr>
              <w:t>Experience serving as a CEO or a senior executive provides a practical understanding of a complex business like ours.</w:t>
            </w:r>
            <w:r>
              <w:rPr>
                <w:rFonts w:ascii="Times New Roman" w:hAnsi="Times New Roman"/>
                <w:sz w:val="16"/>
              </w:rPr>
              <w:t xml:space="preserve"> </w:t>
            </w:r>
          </w:p>
        </w:tc>
        <w:tc>
          <w:tcPr>
            <w:tcW w:w="1402" w:type="dxa"/>
            <w:tcBorders/>
            <w:vAlign w:val="center"/>
          </w:tcPr>
          <w:p>
            <w:pPr>
              <w:pStyle w:val="TableContents"/>
              <w:bidi w:val="0"/>
              <w:spacing w:before="0" w:after="0"/>
              <w:ind w:left="0" w:right="0" w:hanging="0"/>
              <w:jc w:val="center"/>
              <w:rPr>
                <w:rFonts w:ascii="Arial;sans-serif" w:hAnsi="Arial;sans-serif"/>
                <w:b w:val="false"/>
                <w:sz w:val="16"/>
              </w:rPr>
            </w:pPr>
            <w:r>
              <w:rPr>
                <w:rFonts w:ascii="Arial;sans-serif" w:hAnsi="Arial;sans-serif"/>
                <w:b w:val="false"/>
                <w:sz w:val="16"/>
              </w:rPr>
              <w:t>7 of 7</w:t>
            </w:r>
          </w:p>
        </w:tc>
      </w:tr>
      <w:tr>
        <w:trPr/>
        <w:tc>
          <w:tcPr>
            <w:tcW w:w="1662" w:type="dxa"/>
            <w:tcBorders/>
            <w:vAlign w:val="center"/>
          </w:tcPr>
          <w:p>
            <w:pPr>
              <w:pStyle w:val="TableContents"/>
              <w:bidi w:val="0"/>
              <w:spacing w:before="0" w:after="0"/>
              <w:ind w:left="0" w:right="0" w:hanging="0"/>
              <w:jc w:val="left"/>
              <w:rPr/>
            </w:pPr>
            <w:r>
              <w:rPr/>
              <w:t> </w:t>
            </w:r>
            <w:r>
              <w:rPr>
                <w:rFonts w:ascii="Arial;sans-serif" w:hAnsi="Arial;sans-serif"/>
                <w:b/>
                <w:sz w:val="16"/>
              </w:rPr>
              <w:t>Public Company Board</w:t>
            </w:r>
          </w:p>
        </w:tc>
        <w:tc>
          <w:tcPr>
            <w:tcW w:w="714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Service on other public company boards facilitates an understanding of corporate governance practices and trends, and insights into board management.</w:t>
            </w:r>
          </w:p>
        </w:tc>
        <w:tc>
          <w:tcPr>
            <w:tcW w:w="1402" w:type="dxa"/>
            <w:tcBorders/>
            <w:vAlign w:val="center"/>
          </w:tcPr>
          <w:p>
            <w:pPr>
              <w:pStyle w:val="TableContents"/>
              <w:bidi w:val="0"/>
              <w:spacing w:before="0" w:after="0"/>
              <w:ind w:left="0" w:right="0" w:hanging="0"/>
              <w:jc w:val="center"/>
              <w:rPr>
                <w:rFonts w:ascii="Arial;sans-serif" w:hAnsi="Arial;sans-serif"/>
                <w:b w:val="false"/>
                <w:sz w:val="16"/>
              </w:rPr>
            </w:pPr>
            <w:r>
              <w:rPr>
                <w:rFonts w:ascii="Arial;sans-serif" w:hAnsi="Arial;sans-serif"/>
                <w:b w:val="false"/>
                <w:sz w:val="16"/>
              </w:rPr>
              <w:t>5 of 7</w:t>
            </w:r>
          </w:p>
        </w:tc>
      </w:tr>
      <w:tr>
        <w:trPr/>
        <w:tc>
          <w:tcPr>
            <w:tcW w:w="1662" w:type="dxa"/>
            <w:tcBorders/>
            <w:vAlign w:val="center"/>
          </w:tcPr>
          <w:p>
            <w:pPr>
              <w:pStyle w:val="TableContents"/>
              <w:bidi w:val="0"/>
              <w:spacing w:before="0" w:after="0"/>
              <w:ind w:left="0" w:right="0" w:hanging="0"/>
              <w:jc w:val="left"/>
              <w:rPr/>
            </w:pPr>
            <w:r>
              <w:rPr/>
              <w:t> </w:t>
            </w:r>
            <w:r>
              <w:rPr>
                <w:rFonts w:ascii="Arial;sans-serif" w:hAnsi="Arial;sans-serif"/>
                <w:b/>
                <w:sz w:val="16"/>
              </w:rPr>
              <w:t>Regulated Industry /</w:t>
            </w:r>
            <w:r>
              <w:rPr>
                <w:rFonts w:ascii="Times New Roman" w:hAnsi="Times New Roman"/>
                <w:sz w:val="16"/>
              </w:rPr>
              <w:t xml:space="preserve"> </w:t>
            </w:r>
          </w:p>
          <w:p>
            <w:pPr>
              <w:pStyle w:val="TableContents"/>
              <w:bidi w:val="0"/>
              <w:spacing w:before="0" w:after="0"/>
              <w:ind w:left="0" w:right="0" w:hanging="0"/>
              <w:jc w:val="left"/>
              <w:rPr/>
            </w:pPr>
            <w:r>
              <w:rPr/>
              <w:t>  </w:t>
            </w:r>
            <w:r>
              <w:rPr>
                <w:rFonts w:ascii="Arial;sans-serif" w:hAnsi="Arial;sans-serif"/>
                <w:b/>
                <w:sz w:val="16"/>
              </w:rPr>
              <w:t>Government</w:t>
            </w:r>
          </w:p>
        </w:tc>
        <w:tc>
          <w:tcPr>
            <w:tcW w:w="7141"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Experience with regulated industries and government provides insight and perspective in working constructively and proactively with government agencies.</w:t>
            </w:r>
          </w:p>
        </w:tc>
        <w:tc>
          <w:tcPr>
            <w:tcW w:w="1402" w:type="dxa"/>
            <w:tcBorders/>
            <w:vAlign w:val="center"/>
          </w:tcPr>
          <w:p>
            <w:pPr>
              <w:pStyle w:val="TableContents"/>
              <w:bidi w:val="0"/>
              <w:spacing w:before="0" w:after="0"/>
              <w:ind w:left="0" w:right="0" w:hanging="0"/>
              <w:jc w:val="center"/>
              <w:rPr>
                <w:rFonts w:ascii="Arial;sans-serif" w:hAnsi="Arial;sans-serif"/>
                <w:b w:val="false"/>
                <w:sz w:val="16"/>
              </w:rPr>
            </w:pPr>
            <w:r>
              <w:rPr>
                <w:rFonts w:ascii="Arial;sans-serif" w:hAnsi="Arial;sans-serif"/>
                <w:b w:val="false"/>
                <w:sz w:val="16"/>
              </w:rPr>
              <w:t>4 of 7</w:t>
            </w:r>
          </w:p>
        </w:tc>
      </w:tr>
      <w:tr>
        <w:trPr/>
        <w:tc>
          <w:tcPr>
            <w:tcW w:w="1662" w:type="dxa"/>
            <w:tcBorders/>
            <w:vAlign w:val="center"/>
          </w:tcPr>
          <w:p>
            <w:pPr>
              <w:pStyle w:val="TableContents"/>
              <w:bidi w:val="0"/>
              <w:spacing w:before="0" w:after="0"/>
              <w:ind w:left="0" w:right="0" w:hanging="0"/>
              <w:jc w:val="left"/>
              <w:rPr/>
            </w:pPr>
            <w:r>
              <w:rPr/>
              <w:t> </w:t>
            </w:r>
            <w:r>
              <w:rPr>
                <w:rFonts w:ascii="Arial;sans-serif" w:hAnsi="Arial;sans-serif"/>
                <w:b/>
                <w:sz w:val="16"/>
              </w:rPr>
              <w:t>Sales and Marketing</w:t>
            </w:r>
          </w:p>
        </w:tc>
        <w:tc>
          <w:tcPr>
            <w:tcW w:w="714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Experience in sales, brand management, marketing, and marketing strategy provides a perspective on how to better market our products.</w:t>
            </w:r>
          </w:p>
        </w:tc>
        <w:tc>
          <w:tcPr>
            <w:tcW w:w="1402" w:type="dxa"/>
            <w:tcBorders/>
            <w:vAlign w:val="center"/>
          </w:tcPr>
          <w:p>
            <w:pPr>
              <w:pStyle w:val="TableContents"/>
              <w:bidi w:val="0"/>
              <w:spacing w:before="0" w:after="0"/>
              <w:ind w:left="0" w:right="0" w:hanging="0"/>
              <w:jc w:val="center"/>
              <w:rPr>
                <w:rFonts w:ascii="Arial;sans-serif" w:hAnsi="Arial;sans-serif"/>
                <w:b w:val="false"/>
                <w:sz w:val="16"/>
              </w:rPr>
            </w:pPr>
            <w:r>
              <w:rPr>
                <w:rFonts w:ascii="Arial;sans-serif" w:hAnsi="Arial;sans-serif"/>
                <w:b w:val="false"/>
                <w:sz w:val="16"/>
              </w:rPr>
              <w:t>3 of 7</w:t>
            </w:r>
          </w:p>
        </w:tc>
      </w:tr>
      <w:tr>
        <w:trPr/>
        <w:tc>
          <w:tcPr>
            <w:tcW w:w="1662" w:type="dxa"/>
            <w:tcBorders/>
            <w:vAlign w:val="center"/>
          </w:tcPr>
          <w:p>
            <w:pPr>
              <w:pStyle w:val="TableContents"/>
              <w:bidi w:val="0"/>
              <w:spacing w:before="0" w:after="0"/>
              <w:ind w:left="0" w:right="0" w:hanging="0"/>
              <w:jc w:val="left"/>
              <w:rPr/>
            </w:pPr>
            <w:r>
              <w:rPr/>
              <w:t> </w:t>
            </w:r>
            <w:r>
              <w:rPr>
                <w:rFonts w:ascii="Arial;sans-serif" w:hAnsi="Arial;sans-serif"/>
                <w:b/>
                <w:sz w:val="16"/>
              </w:rPr>
              <w:t>Risk Management</w:t>
            </w:r>
          </w:p>
        </w:tc>
        <w:tc>
          <w:tcPr>
            <w:tcW w:w="714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Given the importance of the Board’s role in risk oversight, we seek directors who can help identify, manage, and mitigate key risks.</w:t>
            </w:r>
          </w:p>
        </w:tc>
        <w:tc>
          <w:tcPr>
            <w:tcW w:w="1402" w:type="dxa"/>
            <w:tcBorders/>
            <w:vAlign w:val="center"/>
          </w:tcPr>
          <w:p>
            <w:pPr>
              <w:pStyle w:val="TableContents"/>
              <w:bidi w:val="0"/>
              <w:spacing w:before="0" w:after="0"/>
              <w:ind w:left="0" w:right="0" w:hanging="0"/>
              <w:jc w:val="center"/>
              <w:rPr>
                <w:rFonts w:ascii="Arial;sans-serif" w:hAnsi="Arial;sans-serif"/>
                <w:b w:val="false"/>
                <w:sz w:val="16"/>
              </w:rPr>
            </w:pPr>
            <w:r>
              <w:rPr>
                <w:rFonts w:ascii="Arial;sans-serif" w:hAnsi="Arial;sans-serif"/>
                <w:b w:val="false"/>
                <w:sz w:val="16"/>
              </w:rPr>
              <w:t>6 of 7</w:t>
            </w:r>
          </w:p>
        </w:tc>
      </w:tr>
      <w:tr>
        <w:trPr/>
        <w:tc>
          <w:tcPr>
            <w:tcW w:w="1662" w:type="dxa"/>
            <w:tcBorders/>
            <w:vAlign w:val="center"/>
          </w:tcPr>
          <w:p>
            <w:pPr>
              <w:pStyle w:val="TableContents"/>
              <w:bidi w:val="0"/>
              <w:spacing w:before="0" w:after="0"/>
              <w:ind w:left="0" w:right="0" w:hanging="0"/>
              <w:jc w:val="left"/>
              <w:rPr/>
            </w:pPr>
            <w:r>
              <w:rPr/>
              <w:t> </w:t>
            </w:r>
            <w:r>
              <w:rPr>
                <w:rFonts w:ascii="Arial;sans-serif" w:hAnsi="Arial;sans-serif"/>
                <w:b/>
                <w:sz w:val="16"/>
              </w:rPr>
              <w:t>Financial</w:t>
            </w:r>
          </w:p>
        </w:tc>
        <w:tc>
          <w:tcPr>
            <w:tcW w:w="714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Understanding financial reporting and accounting processes enables monitoring and assessment of operating and strategic performance and facilitates accurate financial reporting and robust controls.</w:t>
            </w:r>
          </w:p>
        </w:tc>
        <w:tc>
          <w:tcPr>
            <w:tcW w:w="1402" w:type="dxa"/>
            <w:tcBorders/>
            <w:vAlign w:val="center"/>
          </w:tcPr>
          <w:p>
            <w:pPr>
              <w:pStyle w:val="TableContents"/>
              <w:bidi w:val="0"/>
              <w:spacing w:before="0" w:after="0"/>
              <w:ind w:left="0" w:right="0" w:hanging="0"/>
              <w:jc w:val="center"/>
              <w:rPr>
                <w:rFonts w:ascii="Arial;sans-serif" w:hAnsi="Arial;sans-serif"/>
                <w:b w:val="false"/>
                <w:sz w:val="16"/>
              </w:rPr>
            </w:pPr>
            <w:r>
              <w:rPr>
                <w:rFonts w:ascii="Arial;sans-serif" w:hAnsi="Arial;sans-serif"/>
                <w:b w:val="false"/>
                <w:sz w:val="16"/>
              </w:rPr>
              <w:t>4 of 7</w:t>
            </w:r>
          </w:p>
        </w:tc>
      </w:tr>
      <w:tr>
        <w:trPr/>
        <w:tc>
          <w:tcPr>
            <w:tcW w:w="1662" w:type="dxa"/>
            <w:tcBorders/>
            <w:vAlign w:val="center"/>
          </w:tcPr>
          <w:p>
            <w:pPr>
              <w:pStyle w:val="TableContents"/>
              <w:bidi w:val="0"/>
              <w:spacing w:before="0" w:after="0"/>
              <w:ind w:left="0" w:right="0" w:hanging="0"/>
              <w:jc w:val="left"/>
              <w:rPr/>
            </w:pPr>
            <w:r>
              <w:rPr/>
              <w:t> </w:t>
            </w:r>
            <w:r>
              <w:rPr>
                <w:rFonts w:ascii="Arial;sans-serif" w:hAnsi="Arial;sans-serif"/>
                <w:b/>
                <w:sz w:val="16"/>
              </w:rPr>
              <w:t>Manufacturing</w:t>
            </w:r>
          </w:p>
        </w:tc>
        <w:tc>
          <w:tcPr>
            <w:tcW w:w="714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Functional experience in a senior operating position with a manufacturing company can help us drive operating performance.</w:t>
            </w:r>
          </w:p>
        </w:tc>
        <w:tc>
          <w:tcPr>
            <w:tcW w:w="1402" w:type="dxa"/>
            <w:tcBorders/>
            <w:vAlign w:val="center"/>
          </w:tcPr>
          <w:p>
            <w:pPr>
              <w:pStyle w:val="TableContents"/>
              <w:bidi w:val="0"/>
              <w:spacing w:before="0" w:after="0"/>
              <w:ind w:left="0" w:right="0" w:hanging="0"/>
              <w:jc w:val="center"/>
              <w:rPr>
                <w:rFonts w:ascii="Arial;sans-serif" w:hAnsi="Arial;sans-serif"/>
                <w:b w:val="false"/>
                <w:sz w:val="16"/>
              </w:rPr>
            </w:pPr>
            <w:r>
              <w:rPr>
                <w:rFonts w:ascii="Arial;sans-serif" w:hAnsi="Arial;sans-serif"/>
                <w:b w:val="false"/>
                <w:sz w:val="16"/>
              </w:rPr>
              <w:t>6 of 7</w:t>
            </w:r>
          </w:p>
        </w:tc>
      </w:tr>
      <w:tr>
        <w:trPr/>
        <w:tc>
          <w:tcPr>
            <w:tcW w:w="1662" w:type="dxa"/>
            <w:tcBorders/>
            <w:vAlign w:val="center"/>
          </w:tcPr>
          <w:p>
            <w:pPr>
              <w:pStyle w:val="TableContents"/>
              <w:bidi w:val="0"/>
              <w:spacing w:before="0" w:after="0"/>
              <w:ind w:left="0" w:right="0" w:hanging="0"/>
              <w:jc w:val="left"/>
              <w:rPr/>
            </w:pPr>
            <w:r>
              <w:rPr/>
              <w:t> </w:t>
            </w:r>
            <w:r>
              <w:rPr>
                <w:rFonts w:ascii="Arial;sans-serif" w:hAnsi="Arial;sans-serif"/>
                <w:b/>
                <w:sz w:val="16"/>
              </w:rPr>
              <w:t>Environmental, Social,</w:t>
            </w:r>
          </w:p>
          <w:p>
            <w:pPr>
              <w:pStyle w:val="TableContents"/>
              <w:bidi w:val="0"/>
              <w:spacing w:before="0" w:after="0"/>
              <w:ind w:left="0" w:right="0" w:hanging="0"/>
              <w:jc w:val="left"/>
              <w:rPr/>
            </w:pPr>
            <w:r>
              <w:rPr/>
              <w:t>  </w:t>
            </w:r>
            <w:r>
              <w:rPr>
                <w:rFonts w:ascii="Arial;sans-serif" w:hAnsi="Arial;sans-serif"/>
                <w:b/>
                <w:sz w:val="16"/>
              </w:rPr>
              <w:t>and Governance</w:t>
            </w:r>
          </w:p>
        </w:tc>
        <w:tc>
          <w:tcPr>
            <w:tcW w:w="714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Experience with ESG matters, including sustainability, human capital management and corporate ethics, enables management of ESG risks and opportunities.</w:t>
            </w:r>
          </w:p>
        </w:tc>
        <w:tc>
          <w:tcPr>
            <w:tcW w:w="1402" w:type="dxa"/>
            <w:tcBorders/>
            <w:vAlign w:val="center"/>
          </w:tcPr>
          <w:p>
            <w:pPr>
              <w:pStyle w:val="TableContents"/>
              <w:bidi w:val="0"/>
              <w:spacing w:before="0" w:after="0"/>
              <w:ind w:left="0" w:right="0" w:hanging="0"/>
              <w:jc w:val="center"/>
              <w:rPr>
                <w:rFonts w:ascii="Arial;sans-serif" w:hAnsi="Arial;sans-serif"/>
                <w:b w:val="false"/>
                <w:sz w:val="16"/>
              </w:rPr>
            </w:pPr>
            <w:r>
              <w:rPr>
                <w:rFonts w:ascii="Arial;sans-serif" w:hAnsi="Arial;sans-serif"/>
                <w:b w:val="false"/>
                <w:sz w:val="16"/>
              </w:rPr>
              <w:t>3 of 7</w:t>
            </w:r>
          </w:p>
        </w:tc>
      </w:tr>
    </w:tbl>
    <w:p>
      <w:pPr>
        <w:pStyle w:val="TextBody"/>
        <w:bidi w:val="0"/>
        <w:spacing w:before="120" w:after="0"/>
        <w:jc w:val="both"/>
        <w:rPr/>
      </w:pPr>
      <w:r>
        <w:rPr/>
        <w:t> </w:t>
      </w:r>
    </w:p>
    <w:p>
      <w:pPr>
        <w:pStyle w:val="TextBody"/>
        <w:bidi w:val="0"/>
        <w:spacing w:before="0" w:after="0"/>
        <w:jc w:val="left"/>
        <w:rPr/>
      </w:pPr>
      <w:r>
        <w:rPr/>
        <w:t> </w:t>
      </w:r>
    </w:p>
    <w:tbl>
      <w:tblPr>
        <w:tblW w:w="3657" w:type="dxa"/>
        <w:jc w:val="left"/>
        <w:tblInd w:w="0" w:type="dxa"/>
        <w:tblLayout w:type="fixed"/>
        <w:tblCellMar>
          <w:top w:w="28" w:type="dxa"/>
          <w:left w:w="28" w:type="dxa"/>
          <w:bottom w:w="28" w:type="dxa"/>
          <w:right w:w="28" w:type="dxa"/>
        </w:tblCellMar>
      </w:tblPr>
      <w:tblGrid>
        <w:gridCol w:w="2161"/>
        <w:gridCol w:w="1496"/>
      </w:tblGrid>
      <w:tr>
        <w:trPr/>
        <w:tc>
          <w:tcPr>
            <w:tcW w:w="2161"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2161" w:type="dxa"/>
            <w:tcBorders/>
            <w:vAlign w:val="center"/>
          </w:tcPr>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4</w:t>
            </w:r>
            <w:r>
              <w:rPr>
                <w:rFonts w:ascii="Times New Roman" w:hAnsi="Times New Roman"/>
                <w:sz w:val="18"/>
              </w:rPr>
              <w:t> </w:t>
            </w:r>
            <w:r>
              <w:rPr>
                <w:rFonts w:ascii="Arial;sans-serif" w:hAnsi="Arial;sans-serif"/>
                <w:b w:val="false"/>
                <w:sz w:val="18"/>
              </w:rPr>
              <w:t>I 2023 Proxy Statement</w:t>
            </w:r>
          </w:p>
        </w:tc>
        <w:tc>
          <w:tcPr>
            <w:tcW w:w="1496" w:type="dxa"/>
            <w:tcBorders/>
            <w:vAlign w:val="center"/>
          </w:tcPr>
          <w:p>
            <w:pPr>
              <w:pStyle w:val="TableContents"/>
              <w:bidi w:val="0"/>
              <w:spacing w:before="0" w:after="0"/>
              <w:ind w:left="0" w:right="0" w:hanging="0"/>
              <w:jc w:val="right"/>
              <w:rPr/>
            </w:pPr>
            <w:r>
              <w:rPr/>
              <w:drawing>
                <wp:inline distT="0" distB="0" distL="0" distR="0">
                  <wp:extent cx="828675" cy="1905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828675" cy="190500"/>
                          </a:xfrm>
                          <a:prstGeom prst="rect">
                            <a:avLst/>
                          </a:prstGeom>
                        </pic:spPr>
                      </pic:pic>
                    </a:graphicData>
                  </a:graphic>
                </wp:inline>
              </w:drawing>
            </w: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3027" w:type="dxa"/>
        <w:jc w:val="left"/>
        <w:tblInd w:w="0" w:type="dxa"/>
        <w:tblLayout w:type="fixed"/>
        <w:tblCellMar>
          <w:top w:w="28" w:type="dxa"/>
          <w:left w:w="28" w:type="dxa"/>
          <w:bottom w:w="28" w:type="dxa"/>
          <w:right w:w="28" w:type="dxa"/>
        </w:tblCellMar>
      </w:tblPr>
      <w:tblGrid>
        <w:gridCol w:w="2836"/>
        <w:gridCol w:w="191"/>
      </w:tblGrid>
      <w:tr>
        <w:trPr/>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Board and Governance Matters</w:t>
            </w:r>
          </w:p>
        </w:tc>
        <w:tc>
          <w:tcPr>
            <w:tcW w:w="191" w:type="dxa"/>
            <w:tcBorders/>
            <w:vAlign w:val="center"/>
          </w:tcPr>
          <w:p>
            <w:pPr>
              <w:pStyle w:val="TableContents"/>
              <w:bidi w:val="0"/>
              <w:spacing w:before="0" w:after="0"/>
              <w:ind w:left="0" w:right="0" w:hanging="0"/>
              <w:jc w:val="left"/>
              <w:rPr/>
            </w:pPr>
            <w:r>
              <w:rPr/>
              <w:t> </w:t>
            </w:r>
          </w:p>
        </w:tc>
      </w:tr>
      <w:tr>
        <w:trPr/>
        <w:tc>
          <w:tcPr>
            <w:tcW w:w="283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both"/>
        <w:rPr>
          <w:rFonts w:ascii="Times New Roman" w:hAnsi="Times New Roman"/>
          <w:sz w:val="20"/>
        </w:rPr>
      </w:pPr>
      <w:r>
        <w:rPr>
          <w:rFonts w:ascii="Arial;sans-serif" w:hAnsi="Arial;sans-serif"/>
          <w:b w:val="false"/>
          <w:sz w:val="24"/>
          <w:u w:val="single"/>
        </w:rPr>
        <w:t>Director Independence</w:t>
      </w:r>
      <w:r>
        <w:rPr>
          <w:rFonts w:ascii="Times New Roman" w:hAnsi="Times New Roman"/>
          <w:sz w:val="20"/>
        </w:rPr>
        <w:t xml:space="preserve"> </w:t>
      </w:r>
    </w:p>
    <w:p>
      <w:pPr>
        <w:pStyle w:val="TextBody"/>
        <w:bidi w:val="0"/>
        <w:spacing w:before="0" w:after="0"/>
        <w:jc w:val="both"/>
        <w:rPr>
          <w:rFonts w:ascii="Arial;sans-serif" w:hAnsi="Arial;sans-serif"/>
          <w:b w:val="false"/>
          <w:sz w:val="20"/>
        </w:rPr>
      </w:pPr>
      <w:r>
        <w:rPr>
          <w:rFonts w:ascii="Arial;sans-serif" w:hAnsi="Arial;sans-serif"/>
          <w:b w:val="false"/>
          <w:sz w:val="20"/>
        </w:rPr>
        <w:t>Under the Guidelines and the Nasdaq listing standards, the Board must consist of a majority of independent directors. The Board annually reviews director independence and has determined that all director nominees, except for Mr. Smith (who is our President and CEO), are independent, as “independence” is defined by the SEC and the Nasdaq listing standards.</w:t>
      </w:r>
    </w:p>
    <w:p>
      <w:pPr>
        <w:pStyle w:val="TextBody"/>
        <w:bidi w:val="0"/>
        <w:spacing w:before="240" w:after="0"/>
        <w:jc w:val="both"/>
        <w:rPr>
          <w:rFonts w:ascii="Arial;sans-serif" w:hAnsi="Arial;sans-serif"/>
          <w:b w:val="false"/>
          <w:sz w:val="24"/>
          <w:u w:val="single"/>
        </w:rPr>
      </w:pPr>
      <w:r>
        <w:rPr>
          <w:rFonts w:ascii="Arial;sans-serif" w:hAnsi="Arial;sans-serif"/>
          <w:b w:val="false"/>
          <w:sz w:val="24"/>
          <w:u w:val="single"/>
        </w:rPr>
        <w:t>Board Refreshment</w:t>
      </w:r>
    </w:p>
    <w:tbl>
      <w:tblPr>
        <w:tblW w:w="10205" w:type="dxa"/>
        <w:jc w:val="left"/>
        <w:tblInd w:w="0" w:type="dxa"/>
        <w:tblLayout w:type="fixed"/>
        <w:tblCellMar>
          <w:top w:w="28" w:type="dxa"/>
          <w:left w:w="28" w:type="dxa"/>
          <w:bottom w:w="28" w:type="dxa"/>
          <w:right w:w="28" w:type="dxa"/>
        </w:tblCellMar>
      </w:tblPr>
      <w:tblGrid>
        <w:gridCol w:w="6996"/>
        <w:gridCol w:w="226"/>
        <w:gridCol w:w="2983"/>
      </w:tblGrid>
      <w:tr>
        <w:trPr/>
        <w:tc>
          <w:tcPr>
            <w:tcW w:w="69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983" w:type="dxa"/>
            <w:tcBorders/>
            <w:vAlign w:val="center"/>
          </w:tcPr>
          <w:p>
            <w:pPr>
              <w:pStyle w:val="TableContents"/>
              <w:bidi w:val="0"/>
              <w:spacing w:before="0" w:after="283"/>
              <w:jc w:val="left"/>
              <w:rPr>
                <w:sz w:val="4"/>
                <w:szCs w:val="4"/>
              </w:rPr>
            </w:pPr>
            <w:r>
              <w:rPr>
                <w:sz w:val="4"/>
                <w:szCs w:val="4"/>
              </w:rPr>
            </w:r>
          </w:p>
        </w:tc>
      </w:tr>
      <w:tr>
        <w:trPr/>
        <w:tc>
          <w:tcPr>
            <w:tcW w:w="6996" w:type="dxa"/>
            <w:tcBorders/>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20"/>
              </w:rPr>
              <w:t>We recognize the importance of Board refreshment. Directors are elected each year at our annual meeting of stockholders to hold office until the next annual meeting of stockholders and until their successors are elected and qualified. The NCG Committee regularly considers Board composition and how Board composition changes over time.</w:t>
            </w:r>
            <w:r>
              <w:rPr>
                <w:rFonts w:ascii="Times New Roman" w:hAnsi="Times New Roman"/>
                <w:sz w:val="20"/>
              </w:rPr>
              <w:t xml:space="preserve"> </w:t>
            </w:r>
          </w:p>
          <w:p>
            <w:pPr>
              <w:pStyle w:val="TableContents"/>
              <w:bidi w:val="0"/>
              <w:spacing w:before="0" w:after="0"/>
              <w:ind w:left="0" w:right="0" w:hanging="0"/>
              <w:jc w:val="left"/>
              <w:rPr/>
            </w:pPr>
            <w:r>
              <w:rPr/>
              <w:t> </w:t>
            </w:r>
          </w:p>
          <w:p>
            <w:pPr>
              <w:pStyle w:val="TableContents"/>
              <w:bidi w:val="0"/>
              <w:spacing w:before="0" w:after="0"/>
              <w:ind w:left="0" w:right="0" w:hanging="0"/>
              <w:jc w:val="both"/>
              <w:rPr>
                <w:rFonts w:ascii="Arial;sans-serif" w:hAnsi="Arial;sans-serif"/>
                <w:b w:val="false"/>
                <w:sz w:val="20"/>
              </w:rPr>
            </w:pPr>
            <w:r>
              <w:rPr>
                <w:rFonts w:ascii="Arial;sans-serif" w:hAnsi="Arial;sans-serif"/>
                <w:b w:val="false"/>
                <w:sz w:val="20"/>
              </w:rPr>
              <w:t>The Board has not established a mandatory retirement age; however, pursuant to the Guidelines, the Board and the NCG Committee review, in connection with the process of selecting nominees for election at annual stockholder meetings, each director’s continuation on the Board.</w:t>
            </w:r>
          </w:p>
        </w:tc>
        <w:tc>
          <w:tcPr>
            <w:tcW w:w="226" w:type="dxa"/>
            <w:tcBorders>
              <w:right w:val="single" w:sz="4" w:space="0" w:color="000000"/>
            </w:tcBorders>
            <w:tcMar>
              <w:top w:w="0" w:type="dxa"/>
              <w:left w:w="0" w:type="dxa"/>
              <w:bottom w:w="0" w:type="dxa"/>
            </w:tcMar>
            <w:vAlign w:val="center"/>
          </w:tcPr>
          <w:p>
            <w:pPr>
              <w:pStyle w:val="TableContents"/>
              <w:bidi w:val="0"/>
              <w:spacing w:before="0" w:after="120"/>
              <w:ind w:left="0" w:right="0" w:firstLine="80"/>
              <w:jc w:val="both"/>
              <w:rPr/>
            </w:pPr>
            <w:r>
              <w:rPr/>
              <w:t> </w:t>
            </w:r>
          </w:p>
        </w:tc>
        <w:tc>
          <w:tcPr>
            <w:tcW w:w="2983"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80" w:after="80"/>
              <w:ind w:left="80" w:right="80" w:hanging="0"/>
              <w:jc w:val="center"/>
              <w:rPr>
                <w:rFonts w:ascii="Arial;sans-serif" w:hAnsi="Arial;sans-serif"/>
                <w:b/>
                <w:sz w:val="20"/>
                <w:u w:val="single"/>
              </w:rPr>
            </w:pPr>
            <w:r>
              <w:rPr>
                <w:rFonts w:ascii="Arial;sans-serif" w:hAnsi="Arial;sans-serif"/>
                <w:b/>
                <w:sz w:val="20"/>
                <w:u w:val="single"/>
              </w:rPr>
              <w:t>Governance Spotlight</w:t>
            </w:r>
          </w:p>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Michelle Lohmeier was appointed to the Board in July 2023, demonstrating the Board's commitment to refreshment.</w:t>
            </w:r>
          </w:p>
          <w:p>
            <w:pPr>
              <w:pStyle w:val="TableContents"/>
              <w:bidi w:val="0"/>
              <w:spacing w:before="0" w:after="0"/>
              <w:ind w:left="0" w:right="0" w:hanging="0"/>
              <w:jc w:val="left"/>
              <w:rPr/>
            </w:pPr>
            <w:r>
              <w:rPr/>
              <w:t> </w:t>
            </w:r>
          </w:p>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Of our seven director nominees, five have joined the Board since 2018.</w:t>
            </w:r>
          </w:p>
        </w:tc>
      </w:tr>
    </w:tbl>
    <w:p>
      <w:pPr>
        <w:pStyle w:val="TextBody"/>
        <w:bidi w:val="0"/>
        <w:spacing w:before="0" w:after="0"/>
        <w:jc w:val="both"/>
        <w:rPr>
          <w:rFonts w:ascii="Times New Roman" w:hAnsi="Times New Roman"/>
          <w:sz w:val="20"/>
        </w:rPr>
      </w:pPr>
      <w:r>
        <w:rPr>
          <w:rFonts w:ascii="Arial;sans-serif" w:hAnsi="Arial;sans-serif"/>
          <w:b w:val="false"/>
          <w:sz w:val="20"/>
        </w:rPr>
        <w:t>The Board has not established term limits; however, pursuant to the Guidelines, the NCG Committee reviews each director’s continuation on the Board at least every three years, which, among other things, allows the Board, through the NCG Committee, to consider the appropriateness of the director’s continued service.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4"/>
          <w:u w:val="single"/>
        </w:rPr>
        <w:t>Director Nomination Process</w:t>
      </w:r>
      <w:r>
        <w:rPr>
          <w:rFonts w:ascii="Times New Roman" w:hAnsi="Times New Roman"/>
          <w:sz w:val="20"/>
        </w:rPr>
        <w:t xml:space="preserve"> </w:t>
      </w:r>
    </w:p>
    <w:p>
      <w:pPr>
        <w:pStyle w:val="TextBody"/>
        <w:bidi w:val="0"/>
        <w:spacing w:before="0" w:after="0"/>
        <w:jc w:val="both"/>
        <w:rPr>
          <w:rFonts w:ascii="Arial;sans-serif" w:hAnsi="Arial;sans-serif"/>
          <w:b w:val="false"/>
          <w:sz w:val="20"/>
        </w:rPr>
      </w:pPr>
      <w:r>
        <w:rPr>
          <w:rFonts w:ascii="Arial;sans-serif" w:hAnsi="Arial;sans-serif"/>
          <w:b w:val="false"/>
          <w:sz w:val="20"/>
        </w:rPr>
        <w:t>The NCG Committee is responsible for identifying and evaluating Board nominees. In identifying candidates, the NCG Committee may take into account all factors it considers appropriate, which may include personal qualities and characteristics, individual character and integrity, mature judgment, career specialization, relevant technical skills and accomplishments, and the extent to which the candidate would fill a present need on the Board.</w:t>
      </w:r>
    </w:p>
    <w:p>
      <w:pPr>
        <w:pStyle w:val="TextBody"/>
        <w:bidi w:val="0"/>
        <w:spacing w:before="120" w:after="0"/>
        <w:jc w:val="both"/>
        <w:rPr>
          <w:rFonts w:ascii="Times New Roman" w:hAnsi="Times New Roman"/>
          <w:sz w:val="20"/>
        </w:rPr>
      </w:pPr>
      <w:r>
        <w:rPr>
          <w:rFonts w:ascii="Arial;sans-serif" w:hAnsi="Arial;sans-serif"/>
          <w:b/>
          <w:i/>
          <w:sz w:val="20"/>
        </w:rPr>
        <w:t>Stockholder-Recommended Candidates</w:t>
      </w:r>
      <w:r>
        <w:rPr>
          <w:rFonts w:ascii="Arial;sans-serif" w:hAnsi="Arial;sans-serif"/>
          <w:b w:val="false"/>
          <w:sz w:val="20"/>
        </w:rPr>
        <w:t>. The NCG Committee will consider persons recommended by our stockholders for inclusion as Board nominees if the information required by our Bylaws is submitted in writing in a timely manner addressed and delivered to our Secretary.</w:t>
      </w:r>
    </w:p>
    <w:p>
      <w:pPr>
        <w:pStyle w:val="TextBody"/>
        <w:bidi w:val="0"/>
        <w:spacing w:before="120" w:after="0"/>
        <w:jc w:val="both"/>
        <w:rPr>
          <w:rFonts w:ascii="Times New Roman" w:hAnsi="Times New Roman"/>
          <w:sz w:val="20"/>
        </w:rPr>
      </w:pPr>
      <w:r>
        <w:rPr>
          <w:rFonts w:ascii="Arial;sans-serif" w:hAnsi="Arial;sans-serif"/>
          <w:b/>
          <w:i/>
          <w:sz w:val="20"/>
        </w:rPr>
        <w:t>Stockholder-Nominated Candidates</w:t>
      </w:r>
      <w:r>
        <w:rPr>
          <w:rFonts w:ascii="Arial;sans-serif" w:hAnsi="Arial;sans-serif"/>
          <w:b w:val="false"/>
          <w:sz w:val="20"/>
        </w:rPr>
        <w:t>. We have a “Proxy Access for Director Nominations” bylaw that permits a stockholder, or a group of up to 20 stockholders, owning 3% or more of our outstanding common stock continuously for at least three years to nominate and include in our proxy materials Board nominees constituting up to two individuals or 20% of the Board (whichever is greater), provided that the stockholder(s) and the nominee(s) satisfy the requirements specified in our Bylaws.</w:t>
      </w:r>
    </w:p>
    <w:p>
      <w:pPr>
        <w:pStyle w:val="TextBody"/>
        <w:bidi w:val="0"/>
        <w:spacing w:before="240" w:after="0"/>
        <w:jc w:val="both"/>
        <w:rPr>
          <w:rFonts w:ascii="Arial;sans-serif" w:hAnsi="Arial;sans-serif"/>
          <w:b w:val="false"/>
          <w:sz w:val="24"/>
          <w:u w:val="single"/>
        </w:rPr>
      </w:pPr>
      <w:r>
        <w:rPr>
          <w:rFonts w:ascii="Arial;sans-serif" w:hAnsi="Arial;sans-serif"/>
          <w:b w:val="false"/>
          <w:sz w:val="24"/>
          <w:u w:val="single"/>
        </w:rPr>
        <w:t>Majority Voting Standard</w:t>
      </w:r>
    </w:p>
    <w:p>
      <w:pPr>
        <w:pStyle w:val="TextBody"/>
        <w:bidi w:val="0"/>
        <w:spacing w:before="0" w:after="0"/>
        <w:jc w:val="both"/>
        <w:rPr>
          <w:rFonts w:ascii="Arial;sans-serif" w:hAnsi="Arial;sans-serif"/>
          <w:b w:val="false"/>
          <w:sz w:val="20"/>
        </w:rPr>
      </w:pPr>
      <w:r>
        <w:rPr>
          <w:rFonts w:ascii="Arial;sans-serif" w:hAnsi="Arial;sans-serif"/>
          <w:b w:val="false"/>
          <w:sz w:val="20"/>
        </w:rPr>
        <w:t>Our directors are elected by a majority of the votes cast for them in uncontested elections. If an incumbent director does not receive the requisite majority of votes cast, then the director is expected to submit his or her resignation to the Board. Based on the recommendation of the NCG Committee, the Board would determine whether to accept the resignation and would publicly disclose its decision and its rationale. A director who tenders his or her offer of resignation would abstain from any decision or recommendation regarding the offered resignation.</w:t>
      </w:r>
    </w:p>
    <w:p>
      <w:pPr>
        <w:pStyle w:val="TextBody"/>
        <w:bidi w:val="0"/>
        <w:spacing w:before="0" w:after="0"/>
        <w:jc w:val="left"/>
        <w:rPr/>
      </w:pPr>
      <w:r>
        <w:rPr/>
        <w:t> </w:t>
      </w:r>
    </w:p>
    <w:tbl>
      <w:tblPr>
        <w:tblW w:w="3657" w:type="dxa"/>
        <w:jc w:val="left"/>
        <w:tblInd w:w="0" w:type="dxa"/>
        <w:tblLayout w:type="fixed"/>
        <w:tblCellMar>
          <w:top w:w="28" w:type="dxa"/>
          <w:left w:w="28" w:type="dxa"/>
          <w:bottom w:w="28" w:type="dxa"/>
          <w:right w:w="28" w:type="dxa"/>
        </w:tblCellMar>
      </w:tblPr>
      <w:tblGrid>
        <w:gridCol w:w="2161"/>
        <w:gridCol w:w="1496"/>
      </w:tblGrid>
      <w:tr>
        <w:trPr/>
        <w:tc>
          <w:tcPr>
            <w:tcW w:w="2161"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2161" w:type="dxa"/>
            <w:tcBorders/>
            <w:vAlign w:val="center"/>
          </w:tcPr>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5</w:t>
            </w:r>
            <w:r>
              <w:rPr>
                <w:rFonts w:ascii="Times New Roman" w:hAnsi="Times New Roman"/>
                <w:sz w:val="18"/>
              </w:rPr>
              <w:t> </w:t>
            </w:r>
            <w:r>
              <w:rPr>
                <w:rFonts w:ascii="Arial;sans-serif" w:hAnsi="Arial;sans-serif"/>
                <w:b w:val="false"/>
                <w:sz w:val="18"/>
              </w:rPr>
              <w:t>I 2023 Proxy Statement</w:t>
            </w:r>
          </w:p>
        </w:tc>
        <w:tc>
          <w:tcPr>
            <w:tcW w:w="1496" w:type="dxa"/>
            <w:tcBorders/>
            <w:vAlign w:val="center"/>
          </w:tcPr>
          <w:p>
            <w:pPr>
              <w:pStyle w:val="TableContents"/>
              <w:bidi w:val="0"/>
              <w:spacing w:before="0" w:after="0"/>
              <w:ind w:left="0" w:right="0" w:hanging="0"/>
              <w:jc w:val="right"/>
              <w:rPr/>
            </w:pPr>
            <w:r>
              <w:rPr/>
              <w:drawing>
                <wp:inline distT="0" distB="0" distL="0" distR="0">
                  <wp:extent cx="828675" cy="1905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828675" cy="190500"/>
                          </a:xfrm>
                          <a:prstGeom prst="rect">
                            <a:avLst/>
                          </a:prstGeom>
                        </pic:spPr>
                      </pic:pic>
                    </a:graphicData>
                  </a:graphic>
                </wp:inline>
              </w:drawing>
            </w: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3027" w:type="dxa"/>
        <w:jc w:val="left"/>
        <w:tblInd w:w="0" w:type="dxa"/>
        <w:tblLayout w:type="fixed"/>
        <w:tblCellMar>
          <w:top w:w="28" w:type="dxa"/>
          <w:left w:w="28" w:type="dxa"/>
          <w:bottom w:w="28" w:type="dxa"/>
          <w:right w:w="28" w:type="dxa"/>
        </w:tblCellMar>
      </w:tblPr>
      <w:tblGrid>
        <w:gridCol w:w="2836"/>
        <w:gridCol w:w="191"/>
      </w:tblGrid>
      <w:tr>
        <w:trPr/>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Board and Governance Matters</w:t>
            </w:r>
          </w:p>
        </w:tc>
        <w:tc>
          <w:tcPr>
            <w:tcW w:w="191" w:type="dxa"/>
            <w:tcBorders/>
            <w:vAlign w:val="center"/>
          </w:tcPr>
          <w:p>
            <w:pPr>
              <w:pStyle w:val="TableContents"/>
              <w:bidi w:val="0"/>
              <w:spacing w:before="0" w:after="0"/>
              <w:ind w:left="0" w:right="0" w:hanging="0"/>
              <w:jc w:val="left"/>
              <w:rPr/>
            </w:pPr>
            <w:r>
              <w:rPr/>
              <w:t> </w:t>
            </w:r>
          </w:p>
        </w:tc>
      </w:tr>
      <w:tr>
        <w:trPr/>
        <w:tc>
          <w:tcPr>
            <w:tcW w:w="283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both"/>
        <w:rPr>
          <w:rFonts w:ascii="Arial;sans-serif" w:hAnsi="Arial;sans-serif"/>
          <w:b w:val="false"/>
          <w:sz w:val="24"/>
          <w:u w:val="single"/>
        </w:rPr>
      </w:pPr>
      <w:r>
        <w:rPr>
          <w:rFonts w:ascii="Arial;sans-serif" w:hAnsi="Arial;sans-serif"/>
          <w:b w:val="false"/>
          <w:sz w:val="24"/>
          <w:u w:val="single"/>
        </w:rPr>
        <w:t>Over-Boarding Policy</w:t>
      </w:r>
    </w:p>
    <w:p>
      <w:pPr>
        <w:pStyle w:val="TextBody"/>
        <w:bidi w:val="0"/>
        <w:spacing w:before="0" w:after="0"/>
        <w:jc w:val="both"/>
        <w:rPr>
          <w:rFonts w:ascii="Times New Roman" w:hAnsi="Times New Roman"/>
          <w:sz w:val="20"/>
        </w:rPr>
      </w:pPr>
      <w:r>
        <w:rPr>
          <w:rFonts w:ascii="Arial;sans-serif" w:hAnsi="Arial;sans-serif"/>
          <w:b w:val="false"/>
          <w:sz w:val="20"/>
        </w:rPr>
        <w:t>Our directors may not serve on more than three other public company boards, unless it is determined, based on the individual facts, that such service will not interfere with service on the Board. In connection with the evaluation of these facts, the Chairman of the Board and Chair of the NCG Committee will consider the time commitment required by the director’s service, if any, in leadership positions (e.g., board chair, committee chair, lead independent director, etc.) on the Board and any other public company board of directors. None of our director nominees serves on more than three other public company boards and our CEO does not serve on any other public company board. The NCG reviews annually the time commitments of our independent directors.</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4"/>
          <w:u w:val="single"/>
        </w:rPr>
        <w:t>Director Nominees</w:t>
      </w:r>
      <w:r>
        <w:rPr>
          <w:rFonts w:ascii="Times New Roman" w:hAnsi="Times New Roman"/>
          <w:sz w:val="20"/>
        </w:rPr>
        <w:t xml:space="preserve"> </w:t>
      </w:r>
    </w:p>
    <w:p>
      <w:pPr>
        <w:pStyle w:val="TextBody"/>
        <w:bidi w:val="0"/>
        <w:spacing w:before="0" w:after="0"/>
        <w:jc w:val="both"/>
        <w:rPr>
          <w:rFonts w:ascii="Arial;sans-serif" w:hAnsi="Arial;sans-serif"/>
          <w:b w:val="false"/>
          <w:sz w:val="20"/>
        </w:rPr>
      </w:pPr>
      <w:r>
        <w:rPr>
          <w:rFonts w:ascii="Arial;sans-serif" w:hAnsi="Arial;sans-serif"/>
          <w:b w:val="false"/>
          <w:sz w:val="20"/>
        </w:rPr>
        <w:t>The Board currently has eight members. Pursuant to the recommendation of the NCG Committee, the Board has nominated each current director for election at the 2023 Annual Meeting, except for Mr. Furman, who, after many years of distinguished service to the Board, is retiring from the Board effective at the 2023 Annual Meeting. Ms. Lohmeier, who was appointed to the Board in July 2023, was first identified as a director candidate by a third-party search firm and will stand for stockholder election for the first time at the 2023 Annual Meeting. If elected, each director nominee will hold office until the 2024 Annual Meeting and until his or her successor is elected and qualified. If any director nominee is unable or declines to serve as a director at the time of the 2023 Annual Meeting, the proxies will be voted for any nominee designated by our current Board to fill the vacancy. We do not expect that any director nominee will be unable or will decline to serve as a director.</w:t>
      </w:r>
    </w:p>
    <w:p>
      <w:pPr>
        <w:pStyle w:val="TextBody"/>
        <w:bidi w:val="0"/>
        <w:spacing w:before="0" w:after="0"/>
        <w:jc w:val="both"/>
        <w:rPr>
          <w:rFonts w:ascii="Times New Roman" w:hAnsi="Times New Roman"/>
          <w:sz w:val="20"/>
        </w:rPr>
      </w:pPr>
      <w:r>
        <w:rPr>
          <w:rFonts w:ascii="Arial;sans-serif" w:hAnsi="Arial;sans-serif"/>
          <w:b w:val="false"/>
          <w:sz w:val="20"/>
        </w:rPr>
        <w:t>Set forth below is information about each director nominee, including a description of his or her qualifications to serve on the Board and a listing of certain key skills and experiences from the Skills Matrix possessed by each director nominee.</w:t>
      </w:r>
      <w:r>
        <w:rPr>
          <w:rFonts w:ascii="Times New Roman" w:hAnsi="Times New Roman"/>
          <w:sz w:val="20"/>
        </w:rPr>
        <w:t xml:space="preserve"> </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1727"/>
        <w:gridCol w:w="8478"/>
      </w:tblGrid>
      <w:tr>
        <w:trPr/>
        <w:tc>
          <w:tcPr>
            <w:tcW w:w="1727" w:type="dxa"/>
            <w:tcBorders/>
            <w:vAlign w:val="center"/>
          </w:tcPr>
          <w:p>
            <w:pPr>
              <w:pStyle w:val="TableContents"/>
              <w:bidi w:val="0"/>
              <w:spacing w:before="0" w:after="283"/>
              <w:jc w:val="left"/>
              <w:rPr>
                <w:sz w:val="4"/>
                <w:szCs w:val="4"/>
              </w:rPr>
            </w:pPr>
            <w:r>
              <w:rPr>
                <w:sz w:val="4"/>
                <w:szCs w:val="4"/>
              </w:rPr>
            </w:r>
          </w:p>
        </w:tc>
        <w:tc>
          <w:tcPr>
            <w:tcW w:w="8478" w:type="dxa"/>
            <w:tcBorders/>
            <w:vAlign w:val="center"/>
          </w:tcPr>
          <w:p>
            <w:pPr>
              <w:pStyle w:val="TableContents"/>
              <w:bidi w:val="0"/>
              <w:spacing w:before="0" w:after="283"/>
              <w:ind w:left="0" w:right="0" w:firstLine="80"/>
              <w:jc w:val="left"/>
              <w:rPr>
                <w:sz w:val="4"/>
                <w:szCs w:val="4"/>
              </w:rPr>
            </w:pPr>
            <w:r>
              <w:rPr>
                <w:sz w:val="4"/>
                <w:szCs w:val="4"/>
              </w:rPr>
            </w:r>
          </w:p>
        </w:tc>
      </w:tr>
      <w:tr>
        <w:trPr/>
        <w:tc>
          <w:tcPr>
            <w:tcW w:w="10205" w:type="dxa"/>
            <w:gridSpan w:val="2"/>
            <w:tcBorders/>
            <w:vAlign w:val="center"/>
          </w:tcPr>
          <w:p>
            <w:pPr>
              <w:pStyle w:val="TableContents"/>
              <w:bidi w:val="0"/>
              <w:spacing w:before="120" w:after="120"/>
              <w:ind w:left="0" w:right="0" w:firstLine="80"/>
              <w:jc w:val="both"/>
              <w:rPr>
                <w:rFonts w:ascii="Arial;sans-serif" w:hAnsi="Arial;sans-serif"/>
                <w:b/>
                <w:sz w:val="20"/>
              </w:rPr>
            </w:pPr>
            <w:r>
              <w:rPr>
                <w:rFonts w:ascii="Arial;sans-serif" w:hAnsi="Arial;sans-serif"/>
                <w:b/>
                <w:sz w:val="20"/>
              </w:rPr>
              <w:t>ANITA D. BRITT</w:t>
            </w:r>
          </w:p>
        </w:tc>
      </w:tr>
      <w:tr>
        <w:trPr/>
        <w:tc>
          <w:tcPr>
            <w:tcW w:w="1727" w:type="dxa"/>
            <w:vMerge w:val="restart"/>
            <w:tcBorders/>
            <w:vAlign w:val="center"/>
          </w:tcPr>
          <w:p>
            <w:pPr>
              <w:pStyle w:val="TableContents"/>
              <w:bidi w:val="0"/>
              <w:spacing w:before="80" w:after="0"/>
              <w:ind w:left="80" w:right="0" w:hanging="0"/>
              <w:jc w:val="both"/>
              <w:rPr>
                <w:rFonts w:ascii="Times New Roman" w:hAnsi="Times New Roman"/>
                <w:sz w:val="18"/>
              </w:rPr>
            </w:pPr>
            <w:r>
              <w:rPr>
                <w:rFonts w:ascii="Arial;sans-serif" w:hAnsi="Arial;sans-serif"/>
                <w:b/>
                <w:sz w:val="18"/>
              </w:rPr>
              <w:t>Age:</w:t>
            </w:r>
            <w:r>
              <w:rPr>
                <w:rFonts w:ascii="Times New Roman" w:hAnsi="Times New Roman"/>
                <w:sz w:val="18"/>
              </w:rPr>
              <w:t xml:space="preserve"> </w:t>
            </w:r>
            <w:r>
              <w:rPr>
                <w:rFonts w:ascii="Arial;sans-serif" w:hAnsi="Arial;sans-serif"/>
                <w:b w:val="false"/>
                <w:sz w:val="18"/>
              </w:rPr>
              <w:t>60</w:t>
            </w:r>
          </w:p>
          <w:p>
            <w:pPr>
              <w:pStyle w:val="TableContents"/>
              <w:bidi w:val="0"/>
              <w:spacing w:before="120" w:after="0"/>
              <w:ind w:left="80" w:right="110" w:hanging="0"/>
              <w:jc w:val="both"/>
              <w:rPr>
                <w:rFonts w:ascii="Times New Roman" w:hAnsi="Times New Roman"/>
                <w:sz w:val="18"/>
              </w:rPr>
            </w:pPr>
            <w:r>
              <w:rPr>
                <w:rFonts w:ascii="Arial;sans-serif" w:hAnsi="Arial;sans-serif"/>
                <w:b/>
                <w:sz w:val="18"/>
              </w:rPr>
              <w:t>Director since:</w:t>
            </w:r>
            <w:r>
              <w:rPr>
                <w:rFonts w:ascii="Times New Roman" w:hAnsi="Times New Roman"/>
                <w:sz w:val="18"/>
              </w:rPr>
              <w:t xml:space="preserve"> </w:t>
            </w:r>
            <w:r>
              <w:rPr>
                <w:rFonts w:ascii="Arial;sans-serif" w:hAnsi="Arial;sans-serif"/>
                <w:b w:val="false"/>
                <w:sz w:val="18"/>
              </w:rPr>
              <w:t>2018</w:t>
            </w:r>
          </w:p>
          <w:p>
            <w:pPr>
              <w:pStyle w:val="TableContents"/>
              <w:bidi w:val="0"/>
              <w:spacing w:before="120" w:after="0"/>
              <w:ind w:left="80" w:right="110" w:hanging="0"/>
              <w:jc w:val="both"/>
              <w:rPr>
                <w:rFonts w:ascii="Arial;sans-serif" w:hAnsi="Arial;sans-serif"/>
                <w:b/>
                <w:sz w:val="18"/>
              </w:rPr>
            </w:pPr>
            <w:r>
              <w:rPr>
                <w:rFonts w:ascii="Arial;sans-serif" w:hAnsi="Arial;sans-serif"/>
                <w:b/>
                <w:sz w:val="18"/>
              </w:rPr>
              <w:t>Independent</w:t>
            </w:r>
          </w:p>
          <w:p>
            <w:pPr>
              <w:pStyle w:val="TableContents"/>
              <w:bidi w:val="0"/>
              <w:spacing w:before="120" w:after="0"/>
              <w:ind w:left="80" w:right="110" w:hanging="0"/>
              <w:jc w:val="both"/>
              <w:rPr>
                <w:rFonts w:ascii="Arial;sans-serif" w:hAnsi="Arial;sans-serif"/>
                <w:b/>
                <w:sz w:val="18"/>
              </w:rPr>
            </w:pPr>
            <w:r>
              <w:rPr>
                <w:rFonts w:ascii="Arial;sans-serif" w:hAnsi="Arial;sans-serif"/>
                <w:b/>
                <w:sz w:val="18"/>
              </w:rPr>
              <w:t>Board committees:</w:t>
            </w:r>
          </w:p>
          <w:p>
            <w:pPr>
              <w:pStyle w:val="TableContents"/>
              <w:pBdr/>
              <w:bidi w:val="0"/>
              <w:spacing w:before="0" w:after="0"/>
              <w:ind w:left="187" w:right="115" w:hanging="274"/>
              <w:jc w:val="both"/>
              <w:rPr>
                <w:rFonts w:ascii="Arial;sans-serif" w:hAnsi="Arial;sans-serif"/>
                <w:b w:val="false"/>
                <w:sz w:val="18"/>
              </w:rPr>
            </w:pPr>
            <w:r>
              <w:rPr>
                <w:rFonts w:ascii="Arial;sans-serif" w:hAnsi="Arial;sans-serif"/>
                <w:b w:val="false"/>
                <w:sz w:val="18"/>
              </w:rPr>
              <w:t> Audit</w:t>
            </w:r>
          </w:p>
          <w:p>
            <w:pPr>
              <w:pStyle w:val="TableContents"/>
              <w:pBdr/>
              <w:bidi w:val="0"/>
              <w:spacing w:before="0" w:after="0"/>
              <w:ind w:left="187" w:right="115" w:hanging="274"/>
              <w:jc w:val="both"/>
              <w:rPr>
                <w:rFonts w:ascii="Times New Roman" w:hAnsi="Times New Roman"/>
                <w:sz w:val="18"/>
              </w:rPr>
            </w:pPr>
            <w:r>
              <w:rPr>
                <w:rFonts w:ascii="Arial;sans-serif" w:hAnsi="Arial;sans-serif"/>
                <w:b w:val="false"/>
                <w:sz w:val="18"/>
              </w:rPr>
              <w:t> Compensation</w:t>
            </w:r>
            <w:r>
              <w:rPr>
                <w:rFonts w:ascii="Times New Roman" w:hAnsi="Times New Roman"/>
                <w:sz w:val="18"/>
              </w:rPr>
              <w:t xml:space="preserve"> </w:t>
            </w:r>
          </w:p>
          <w:p>
            <w:pPr>
              <w:pStyle w:val="TableContents"/>
              <w:pBdr/>
              <w:bidi w:val="0"/>
              <w:spacing w:before="0" w:after="0"/>
              <w:ind w:left="187" w:right="115" w:hanging="274"/>
              <w:jc w:val="both"/>
              <w:rPr>
                <w:rFonts w:ascii="Arial;sans-serif" w:hAnsi="Arial;sans-serif"/>
                <w:b w:val="false"/>
                <w:sz w:val="18"/>
              </w:rPr>
            </w:pPr>
            <w:r>
              <w:rPr>
                <w:rFonts w:ascii="Arial;sans-serif" w:hAnsi="Arial;sans-serif"/>
                <w:b w:val="false"/>
                <w:sz w:val="18"/>
              </w:rPr>
              <w:t> ESG</w:t>
            </w:r>
          </w:p>
          <w:p>
            <w:pPr>
              <w:pStyle w:val="TableContents"/>
              <w:bidi w:val="0"/>
              <w:spacing w:before="120" w:after="0"/>
              <w:ind w:left="80" w:right="110" w:hanging="0"/>
              <w:jc w:val="both"/>
              <w:rPr>
                <w:rFonts w:ascii="Arial;sans-serif" w:hAnsi="Arial;sans-serif"/>
                <w:b/>
                <w:sz w:val="18"/>
              </w:rPr>
            </w:pPr>
            <w:r>
              <w:rPr>
                <w:rFonts w:ascii="Arial;sans-serif" w:hAnsi="Arial;sans-serif"/>
                <w:b/>
                <w:sz w:val="18"/>
              </w:rPr>
              <w:t>Other public company boards:</w:t>
            </w:r>
          </w:p>
          <w:p>
            <w:pPr>
              <w:pStyle w:val="TableContents"/>
              <w:pBdr/>
              <w:bidi w:val="0"/>
              <w:spacing w:before="0" w:after="0"/>
              <w:ind w:left="187" w:right="115" w:hanging="274"/>
              <w:jc w:val="both"/>
              <w:rPr>
                <w:rFonts w:ascii="Arial;sans-serif" w:hAnsi="Arial;sans-serif"/>
                <w:b w:val="false"/>
                <w:sz w:val="18"/>
              </w:rPr>
            </w:pPr>
            <w:r>
              <w:rPr>
                <w:rFonts w:ascii="Arial;sans-serif" w:hAnsi="Arial;sans-serif"/>
                <w:b w:val="false"/>
                <w:sz w:val="18"/>
              </w:rPr>
              <w:t> Delta Apparel, Inc.</w:t>
            </w:r>
          </w:p>
          <w:p>
            <w:pPr>
              <w:pStyle w:val="TableContents"/>
              <w:pBdr/>
              <w:bidi w:val="0"/>
              <w:spacing w:before="0" w:after="0"/>
              <w:ind w:left="187" w:right="115" w:hanging="274"/>
              <w:jc w:val="both"/>
              <w:rPr>
                <w:rFonts w:ascii="Arial;sans-serif" w:hAnsi="Arial;sans-serif"/>
                <w:b w:val="false"/>
                <w:sz w:val="18"/>
              </w:rPr>
            </w:pPr>
            <w:r>
              <w:rPr>
                <w:rFonts w:ascii="Arial;sans-serif" w:hAnsi="Arial;sans-serif"/>
                <w:b w:val="false"/>
                <w:sz w:val="18"/>
              </w:rPr>
              <w:t> urban-gro, Inc.</w:t>
            </w:r>
          </w:p>
          <w:p>
            <w:pPr>
              <w:pStyle w:val="TableContents"/>
              <w:pBdr/>
              <w:bidi w:val="0"/>
              <w:spacing w:before="0" w:after="0"/>
              <w:ind w:left="187" w:right="115" w:hanging="274"/>
              <w:jc w:val="both"/>
              <w:rPr>
                <w:rFonts w:ascii="Arial;sans-serif" w:hAnsi="Arial;sans-serif"/>
                <w:b w:val="false"/>
                <w:sz w:val="18"/>
              </w:rPr>
            </w:pPr>
            <w:r>
              <w:rPr>
                <w:rFonts w:ascii="Arial;sans-serif" w:hAnsi="Arial;sans-serif"/>
                <w:b w:val="false"/>
                <w:sz w:val="18"/>
              </w:rPr>
              <w:t> VSE Corporation</w:t>
            </w:r>
          </w:p>
          <w:p>
            <w:pPr>
              <w:pStyle w:val="TableContents"/>
              <w:bidi w:val="0"/>
              <w:spacing w:before="120" w:after="0"/>
              <w:ind w:left="80" w:right="110" w:hanging="0"/>
              <w:jc w:val="both"/>
              <w:rPr>
                <w:rFonts w:ascii="Arial;sans-serif" w:hAnsi="Arial;sans-serif"/>
                <w:b/>
                <w:sz w:val="18"/>
              </w:rPr>
            </w:pPr>
            <w:r>
              <w:rPr>
                <w:rFonts w:ascii="Arial;sans-serif" w:hAnsi="Arial;sans-serif"/>
                <w:b/>
                <w:sz w:val="18"/>
              </w:rPr>
              <w:t>Other public company boards within five years:</w:t>
            </w:r>
          </w:p>
          <w:p>
            <w:pPr>
              <w:pStyle w:val="TableContents"/>
              <w:pBdr/>
              <w:bidi w:val="0"/>
              <w:spacing w:before="0" w:after="0"/>
              <w:ind w:left="0" w:right="0" w:firstLine="80"/>
              <w:jc w:val="both"/>
              <w:rPr>
                <w:rFonts w:ascii="Arial;sans-serif" w:hAnsi="Arial;sans-serif"/>
                <w:b w:val="false"/>
                <w:sz w:val="18"/>
              </w:rPr>
            </w:pPr>
            <w:r>
              <w:rPr>
                <w:rFonts w:ascii="Arial;sans-serif" w:hAnsi="Arial;sans-serif"/>
                <w:b w:val="false"/>
                <w:sz w:val="18"/>
              </w:rPr>
              <w:t> None</w:t>
            </w:r>
          </w:p>
        </w:tc>
        <w:tc>
          <w:tcPr>
            <w:tcW w:w="8478" w:type="dxa"/>
            <w:tcBorders/>
            <w:vAlign w:val="center"/>
          </w:tcPr>
          <w:p>
            <w:pPr>
              <w:pStyle w:val="TableContents"/>
              <w:bidi w:val="0"/>
              <w:spacing w:before="80" w:after="0"/>
              <w:ind w:left="80" w:right="80" w:hanging="0"/>
              <w:jc w:val="both"/>
              <w:rPr>
                <w:rFonts w:ascii="Arial;sans-serif" w:hAnsi="Arial;sans-serif"/>
                <w:b/>
                <w:sz w:val="18"/>
              </w:rPr>
            </w:pPr>
            <w:r>
              <w:rPr>
                <w:rFonts w:ascii="Arial;sans-serif" w:hAnsi="Arial;sans-serif"/>
                <w:b/>
                <w:sz w:val="18"/>
              </w:rPr>
              <w:t>Background:</w:t>
            </w:r>
          </w:p>
          <w:p>
            <w:pPr>
              <w:pStyle w:val="TableContents"/>
              <w:bidi w:val="0"/>
              <w:spacing w:before="0" w:after="0"/>
              <w:ind w:left="0" w:right="0" w:firstLine="80"/>
              <w:jc w:val="left"/>
              <w:rPr>
                <w:rFonts w:ascii="Arial;sans-serif" w:hAnsi="Arial;sans-serif"/>
                <w:b w:val="false"/>
                <w:sz w:val="18"/>
              </w:rPr>
            </w:pPr>
            <w:r>
              <w:rPr>
                <w:rFonts w:ascii="Arial;sans-serif" w:hAnsi="Arial;sans-serif"/>
                <w:b w:val="false"/>
                <w:sz w:val="18"/>
              </w:rPr>
              <w:t>Ms. Britt served as CFO of Perry Ellis International, Inc. from 2009 to 2017 and held senior financial leadership positions at Jones Apparel Group, Inc. (1993 to 2006) and Urban Brands, Inc. (2006 to 2009). Ms. Britt is a CPA and a member of the American Institute of Certified Public Accountants. She is also a Board Leadership Fellow, as designated by the National Association of Corporate Directors. Ms. Britt holds a Carnegie Mellon Cybersecurity Oversight Certification and a Harvard Kennedy School Executive Education Certificate in Cybersecurity: The Intersection of Policy and Technology.</w:t>
            </w:r>
          </w:p>
        </w:tc>
      </w:tr>
      <w:tr>
        <w:trPr/>
        <w:tc>
          <w:tcPr>
            <w:tcW w:w="1727" w:type="dxa"/>
            <w:vMerge w:val="continue"/>
            <w:tcBorders/>
            <w:vAlign w:val="center"/>
          </w:tcPr>
          <w:p>
            <w:pPr>
              <w:pStyle w:val="Normal"/>
              <w:bidi w:val="0"/>
              <w:jc w:val="left"/>
              <w:rPr/>
            </w:pPr>
            <w:r>
              <w:rPr/>
            </w:r>
          </w:p>
        </w:tc>
        <w:tc>
          <w:tcPr>
            <w:tcW w:w="8478" w:type="dxa"/>
            <w:tcBorders/>
            <w:vAlign w:val="center"/>
          </w:tcPr>
          <w:p>
            <w:pPr>
              <w:pStyle w:val="TableContents"/>
              <w:bidi w:val="0"/>
              <w:spacing w:before="80" w:after="0"/>
              <w:ind w:left="80" w:right="80" w:hanging="0"/>
              <w:jc w:val="left"/>
              <w:rPr>
                <w:rFonts w:ascii="Arial;sans-serif" w:hAnsi="Arial;sans-serif"/>
                <w:b/>
                <w:sz w:val="18"/>
              </w:rPr>
            </w:pPr>
            <w:r>
              <w:rPr>
                <w:rFonts w:ascii="Arial;sans-serif" w:hAnsi="Arial;sans-serif"/>
                <w:b/>
                <w:sz w:val="18"/>
              </w:rPr>
              <w:t>Key Qualifications and Skills Include:</w:t>
            </w:r>
          </w:p>
          <w:p>
            <w:pPr>
              <w:pStyle w:val="TableContents"/>
              <w:bidi w:val="0"/>
              <w:spacing w:before="0" w:after="0"/>
              <w:ind w:left="0" w:right="0" w:hanging="0"/>
              <w:jc w:val="both"/>
              <w:rPr/>
            </w:pPr>
            <w:r>
              <w:rPr/>
              <w:t>   </w:t>
            </w:r>
            <w:r>
              <w:rPr>
                <w:rFonts w:ascii="Arial;sans-serif" w:hAnsi="Arial;sans-serif"/>
                <w:b/>
                <w:sz w:val="18"/>
              </w:rPr>
              <w:t>Financial</w:t>
            </w:r>
            <w:r>
              <w:rPr>
                <w:rFonts w:ascii="Arial;sans-serif" w:hAnsi="Arial;sans-serif"/>
                <w:b w:val="false"/>
                <w:sz w:val="18"/>
              </w:rPr>
              <w:t>. Extensive corporate finance, investor relations, and capital markets</w:t>
            </w:r>
          </w:p>
          <w:p>
            <w:pPr>
              <w:pStyle w:val="TableContents"/>
              <w:bidi w:val="0"/>
              <w:spacing w:before="0" w:after="0"/>
              <w:ind w:left="0" w:right="0" w:hanging="0"/>
              <w:jc w:val="both"/>
              <w:rPr/>
            </w:pPr>
            <w:r>
              <w:rPr/>
              <w:t> </w:t>
            </w:r>
            <w:r>
              <w:rPr>
                <w:rFonts w:ascii="Arial;sans-serif" w:hAnsi="Arial;sans-serif"/>
                <w:b w:val="false"/>
                <w:sz w:val="18"/>
              </w:rPr>
              <w:t>experience gained through service as a public company CFO and other senior</w:t>
            </w:r>
          </w:p>
          <w:p>
            <w:pPr>
              <w:pStyle w:val="TableContents"/>
              <w:bidi w:val="0"/>
              <w:spacing w:before="0" w:after="0"/>
              <w:ind w:left="0" w:right="0" w:hanging="0"/>
              <w:jc w:val="both"/>
              <w:rPr/>
            </w:pPr>
            <w:r>
              <w:rPr/>
              <w:t>   </w:t>
            </w:r>
            <w:r>
              <w:rPr>
                <w:rFonts w:ascii="Arial;sans-serif" w:hAnsi="Arial;sans-serif"/>
                <w:b w:val="false"/>
                <w:sz w:val="18"/>
              </w:rPr>
              <w:t>financial roles; certified public accountant</w:t>
            </w:r>
          </w:p>
          <w:p>
            <w:pPr>
              <w:pStyle w:val="TableContents"/>
              <w:bidi w:val="0"/>
              <w:spacing w:before="20" w:after="0"/>
              <w:ind w:left="0" w:right="0" w:hanging="0"/>
              <w:jc w:val="both"/>
              <w:rPr/>
            </w:pPr>
            <w:r>
              <w:rPr/>
              <w:t>   </w:t>
            </w:r>
            <w:r>
              <w:rPr>
                <w:rFonts w:ascii="Arial;sans-serif" w:hAnsi="Arial;sans-serif"/>
                <w:b/>
                <w:sz w:val="18"/>
              </w:rPr>
              <w:t>Public Company Board</w:t>
            </w:r>
            <w:r>
              <w:rPr>
                <w:rFonts w:ascii="Arial;sans-serif" w:hAnsi="Arial;sans-serif"/>
                <w:b w:val="false"/>
                <w:sz w:val="18"/>
              </w:rPr>
              <w:t>. Service on three other boards (see related caption)</w:t>
            </w:r>
          </w:p>
          <w:p>
            <w:pPr>
              <w:pStyle w:val="TableContents"/>
              <w:bidi w:val="0"/>
              <w:spacing w:before="20" w:after="0"/>
              <w:ind w:left="0" w:right="0" w:hanging="0"/>
              <w:jc w:val="both"/>
              <w:rPr/>
            </w:pPr>
            <w:r>
              <w:rPr/>
              <w:t>   </w:t>
            </w:r>
            <w:r>
              <w:rPr>
                <w:rFonts w:ascii="Arial;sans-serif" w:hAnsi="Arial;sans-serif"/>
                <w:b/>
                <w:sz w:val="18"/>
              </w:rPr>
              <w:t>Risk Management</w:t>
            </w:r>
            <w:r>
              <w:rPr>
                <w:rFonts w:ascii="Arial;sans-serif" w:hAnsi="Arial;sans-serif"/>
                <w:b w:val="false"/>
                <w:sz w:val="18"/>
              </w:rPr>
              <w:t>. Certified public accountant; former public company</w:t>
            </w:r>
          </w:p>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CFO; holds multiple cybersecurity certifications (see above)</w:t>
            </w:r>
          </w:p>
        </w:tc>
      </w:tr>
    </w:tbl>
    <w:p>
      <w:pPr>
        <w:pStyle w:val="TextBody"/>
        <w:bidi w:val="0"/>
        <w:spacing w:before="0" w:after="0"/>
        <w:jc w:val="left"/>
        <w:rPr/>
      </w:pPr>
      <w:r>
        <w:rPr/>
        <w:t> </w:t>
      </w:r>
    </w:p>
    <w:tbl>
      <w:tblPr>
        <w:tblW w:w="3657" w:type="dxa"/>
        <w:jc w:val="left"/>
        <w:tblInd w:w="0" w:type="dxa"/>
        <w:tblLayout w:type="fixed"/>
        <w:tblCellMar>
          <w:top w:w="28" w:type="dxa"/>
          <w:left w:w="28" w:type="dxa"/>
          <w:bottom w:w="28" w:type="dxa"/>
          <w:right w:w="28" w:type="dxa"/>
        </w:tblCellMar>
      </w:tblPr>
      <w:tblGrid>
        <w:gridCol w:w="2161"/>
        <w:gridCol w:w="1496"/>
      </w:tblGrid>
      <w:tr>
        <w:trPr/>
        <w:tc>
          <w:tcPr>
            <w:tcW w:w="2161"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2161" w:type="dxa"/>
            <w:tcBorders/>
            <w:vAlign w:val="center"/>
          </w:tcPr>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6</w:t>
            </w:r>
            <w:r>
              <w:rPr>
                <w:rFonts w:ascii="Times New Roman" w:hAnsi="Times New Roman"/>
                <w:sz w:val="18"/>
              </w:rPr>
              <w:t> </w:t>
            </w:r>
            <w:r>
              <w:rPr>
                <w:rFonts w:ascii="Arial;sans-serif" w:hAnsi="Arial;sans-serif"/>
                <w:b w:val="false"/>
                <w:sz w:val="18"/>
              </w:rPr>
              <w:t>I 2023 Proxy Statement</w:t>
            </w:r>
          </w:p>
        </w:tc>
        <w:tc>
          <w:tcPr>
            <w:tcW w:w="1496" w:type="dxa"/>
            <w:tcBorders/>
            <w:vAlign w:val="center"/>
          </w:tcPr>
          <w:p>
            <w:pPr>
              <w:pStyle w:val="TableContents"/>
              <w:bidi w:val="0"/>
              <w:spacing w:before="0" w:after="0"/>
              <w:ind w:left="0" w:right="0" w:hanging="0"/>
              <w:jc w:val="right"/>
              <w:rPr/>
            </w:pPr>
            <w:r>
              <w:rPr/>
              <w:drawing>
                <wp:inline distT="0" distB="0" distL="0" distR="0">
                  <wp:extent cx="828675" cy="1905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828675" cy="190500"/>
                          </a:xfrm>
                          <a:prstGeom prst="rect">
                            <a:avLst/>
                          </a:prstGeom>
                        </pic:spPr>
                      </pic:pic>
                    </a:graphicData>
                  </a:graphic>
                </wp:inline>
              </w:drawing>
            </w: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3027" w:type="dxa"/>
        <w:jc w:val="left"/>
        <w:tblInd w:w="0" w:type="dxa"/>
        <w:tblLayout w:type="fixed"/>
        <w:tblCellMar>
          <w:top w:w="28" w:type="dxa"/>
          <w:left w:w="28" w:type="dxa"/>
          <w:bottom w:w="28" w:type="dxa"/>
          <w:right w:w="28" w:type="dxa"/>
        </w:tblCellMar>
      </w:tblPr>
      <w:tblGrid>
        <w:gridCol w:w="2836"/>
        <w:gridCol w:w="191"/>
      </w:tblGrid>
      <w:tr>
        <w:trPr/>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Board and Governance Matters</w:t>
            </w:r>
          </w:p>
        </w:tc>
        <w:tc>
          <w:tcPr>
            <w:tcW w:w="191" w:type="dxa"/>
            <w:tcBorders/>
            <w:vAlign w:val="center"/>
          </w:tcPr>
          <w:p>
            <w:pPr>
              <w:pStyle w:val="TableContents"/>
              <w:bidi w:val="0"/>
              <w:spacing w:before="0" w:after="0"/>
              <w:ind w:left="0" w:right="0" w:hanging="0"/>
              <w:jc w:val="left"/>
              <w:rPr/>
            </w:pPr>
            <w:r>
              <w:rPr/>
              <w:t> </w:t>
            </w:r>
          </w:p>
        </w:tc>
      </w:tr>
      <w:tr>
        <w:trPr/>
        <w:tc>
          <w:tcPr>
            <w:tcW w:w="283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557"/>
        <w:gridCol w:w="8648"/>
      </w:tblGrid>
      <w:tr>
        <w:trPr/>
        <w:tc>
          <w:tcPr>
            <w:tcW w:w="1557" w:type="dxa"/>
            <w:tcBorders/>
            <w:vAlign w:val="center"/>
          </w:tcPr>
          <w:p>
            <w:pPr>
              <w:pStyle w:val="TableContents"/>
              <w:bidi w:val="0"/>
              <w:spacing w:before="0" w:after="283"/>
              <w:jc w:val="left"/>
              <w:rPr>
                <w:sz w:val="4"/>
                <w:szCs w:val="4"/>
              </w:rPr>
            </w:pPr>
            <w:r>
              <w:rPr>
                <w:sz w:val="4"/>
                <w:szCs w:val="4"/>
              </w:rPr>
            </w:r>
          </w:p>
        </w:tc>
        <w:tc>
          <w:tcPr>
            <w:tcW w:w="8648" w:type="dxa"/>
            <w:tcBorders/>
            <w:vAlign w:val="center"/>
          </w:tcPr>
          <w:p>
            <w:pPr>
              <w:pStyle w:val="TableContents"/>
              <w:bidi w:val="0"/>
              <w:spacing w:before="0" w:after="283"/>
              <w:ind w:left="0" w:right="0" w:firstLine="86"/>
              <w:jc w:val="left"/>
              <w:rPr>
                <w:sz w:val="4"/>
                <w:szCs w:val="4"/>
              </w:rPr>
            </w:pPr>
            <w:r>
              <w:rPr>
                <w:sz w:val="4"/>
                <w:szCs w:val="4"/>
              </w:rPr>
            </w:r>
          </w:p>
        </w:tc>
      </w:tr>
      <w:tr>
        <w:trPr/>
        <w:tc>
          <w:tcPr>
            <w:tcW w:w="10205" w:type="dxa"/>
            <w:gridSpan w:val="2"/>
            <w:tcBorders/>
            <w:vAlign w:val="center"/>
          </w:tcPr>
          <w:p>
            <w:pPr>
              <w:pStyle w:val="TableContents"/>
              <w:bidi w:val="0"/>
              <w:spacing w:before="120" w:after="120"/>
              <w:ind w:left="0" w:right="0" w:firstLine="80"/>
              <w:jc w:val="both"/>
              <w:rPr>
                <w:rFonts w:ascii="Arial;sans-serif" w:hAnsi="Arial;sans-serif"/>
                <w:b/>
                <w:sz w:val="20"/>
              </w:rPr>
            </w:pPr>
            <w:r>
              <w:rPr>
                <w:rFonts w:ascii="Arial;sans-serif" w:hAnsi="Arial;sans-serif"/>
                <w:b/>
                <w:sz w:val="20"/>
              </w:rPr>
              <w:t>FRED M. DIAZ</w:t>
            </w:r>
          </w:p>
        </w:tc>
      </w:tr>
      <w:tr>
        <w:trPr/>
        <w:tc>
          <w:tcPr>
            <w:tcW w:w="1557" w:type="dxa"/>
            <w:vMerge w:val="restart"/>
            <w:tcBorders/>
            <w:vAlign w:val="center"/>
          </w:tcPr>
          <w:p>
            <w:pPr>
              <w:pStyle w:val="TableContents"/>
              <w:bidi w:val="0"/>
              <w:spacing w:before="80" w:after="0"/>
              <w:ind w:left="80" w:right="110" w:hanging="0"/>
              <w:jc w:val="both"/>
              <w:rPr>
                <w:rFonts w:ascii="Times New Roman" w:hAnsi="Times New Roman"/>
                <w:sz w:val="18"/>
              </w:rPr>
            </w:pPr>
            <w:r>
              <w:rPr>
                <w:rFonts w:ascii="Arial;sans-serif" w:hAnsi="Arial;sans-serif"/>
                <w:b/>
                <w:sz w:val="18"/>
              </w:rPr>
              <w:t>Age:</w:t>
            </w:r>
            <w:r>
              <w:rPr>
                <w:rFonts w:ascii="Times New Roman" w:hAnsi="Times New Roman"/>
                <w:sz w:val="18"/>
              </w:rPr>
              <w:t xml:space="preserve"> </w:t>
            </w:r>
            <w:r>
              <w:rPr>
                <w:rFonts w:ascii="Arial;sans-serif" w:hAnsi="Arial;sans-serif"/>
                <w:b w:val="false"/>
                <w:sz w:val="18"/>
              </w:rPr>
              <w:t>57</w:t>
            </w:r>
          </w:p>
          <w:p>
            <w:pPr>
              <w:pStyle w:val="TableContents"/>
              <w:bidi w:val="0"/>
              <w:spacing w:before="80" w:after="0"/>
              <w:ind w:left="80" w:right="110" w:hanging="0"/>
              <w:jc w:val="both"/>
              <w:rPr>
                <w:rFonts w:ascii="Times New Roman" w:hAnsi="Times New Roman"/>
                <w:sz w:val="18"/>
              </w:rPr>
            </w:pPr>
            <w:r>
              <w:rPr>
                <w:rFonts w:ascii="Arial;sans-serif" w:hAnsi="Arial;sans-serif"/>
                <w:b/>
                <w:sz w:val="18"/>
              </w:rPr>
              <w:t>Director since:</w:t>
            </w:r>
            <w:r>
              <w:rPr>
                <w:rFonts w:ascii="Times New Roman" w:hAnsi="Times New Roman"/>
                <w:sz w:val="18"/>
              </w:rPr>
              <w:t xml:space="preserve"> </w:t>
            </w:r>
            <w:r>
              <w:rPr>
                <w:rFonts w:ascii="Arial;sans-serif" w:hAnsi="Arial;sans-serif"/>
                <w:b w:val="false"/>
                <w:sz w:val="18"/>
              </w:rPr>
              <w:t>2021</w:t>
            </w:r>
          </w:p>
          <w:p>
            <w:pPr>
              <w:pStyle w:val="TableContents"/>
              <w:bidi w:val="0"/>
              <w:spacing w:before="80" w:after="0"/>
              <w:ind w:left="80" w:right="110" w:hanging="0"/>
              <w:jc w:val="both"/>
              <w:rPr>
                <w:rFonts w:ascii="Arial;sans-serif" w:hAnsi="Arial;sans-serif"/>
                <w:b/>
                <w:sz w:val="18"/>
              </w:rPr>
            </w:pPr>
            <w:r>
              <w:rPr>
                <w:rFonts w:ascii="Arial;sans-serif" w:hAnsi="Arial;sans-serif"/>
                <w:b/>
                <w:sz w:val="18"/>
              </w:rPr>
              <w:t>Independent</w:t>
            </w:r>
          </w:p>
          <w:p>
            <w:pPr>
              <w:pStyle w:val="TableContents"/>
              <w:bidi w:val="0"/>
              <w:spacing w:before="80" w:after="0"/>
              <w:ind w:left="80" w:right="110" w:hanging="0"/>
              <w:jc w:val="both"/>
              <w:rPr>
                <w:rFonts w:ascii="Arial;sans-serif" w:hAnsi="Arial;sans-serif"/>
                <w:b/>
                <w:sz w:val="18"/>
              </w:rPr>
            </w:pPr>
            <w:r>
              <w:rPr>
                <w:rFonts w:ascii="Arial;sans-serif" w:hAnsi="Arial;sans-serif"/>
                <w:b/>
                <w:sz w:val="18"/>
              </w:rPr>
              <w:t>Board committees:</w:t>
            </w:r>
          </w:p>
          <w:p>
            <w:pPr>
              <w:pStyle w:val="TableContents"/>
              <w:pBdr/>
              <w:bidi w:val="0"/>
              <w:spacing w:before="0" w:after="0"/>
              <w:ind w:left="187" w:right="115" w:hanging="274"/>
              <w:jc w:val="both"/>
              <w:rPr>
                <w:rFonts w:ascii="Times New Roman" w:hAnsi="Times New Roman"/>
                <w:sz w:val="18"/>
              </w:rPr>
            </w:pPr>
            <w:r>
              <w:rPr>
                <w:rFonts w:ascii="Arial;sans-serif" w:hAnsi="Arial;sans-serif"/>
                <w:b w:val="false"/>
                <w:sz w:val="18"/>
              </w:rPr>
              <w:t> Compensation</w:t>
            </w:r>
            <w:r>
              <w:rPr>
                <w:rFonts w:ascii="Times New Roman" w:hAnsi="Times New Roman"/>
                <w:sz w:val="18"/>
              </w:rPr>
              <w:t xml:space="preserve"> </w:t>
            </w:r>
          </w:p>
          <w:p>
            <w:pPr>
              <w:pStyle w:val="TableContents"/>
              <w:pBdr/>
              <w:bidi w:val="0"/>
              <w:spacing w:before="0" w:after="0"/>
              <w:ind w:left="187" w:right="115" w:hanging="274"/>
              <w:jc w:val="both"/>
              <w:rPr>
                <w:rFonts w:ascii="Arial;sans-serif" w:hAnsi="Arial;sans-serif"/>
                <w:b w:val="false"/>
                <w:sz w:val="18"/>
              </w:rPr>
            </w:pPr>
            <w:r>
              <w:rPr>
                <w:rFonts w:ascii="Arial;sans-serif" w:hAnsi="Arial;sans-serif"/>
                <w:b w:val="false"/>
                <w:sz w:val="18"/>
              </w:rPr>
              <w:t> ESG</w:t>
            </w:r>
          </w:p>
          <w:p>
            <w:pPr>
              <w:pStyle w:val="TableContents"/>
              <w:bidi w:val="0"/>
              <w:spacing w:before="80" w:after="0"/>
              <w:ind w:left="80" w:right="110" w:hanging="0"/>
              <w:jc w:val="both"/>
              <w:rPr>
                <w:rFonts w:ascii="Arial;sans-serif" w:hAnsi="Arial;sans-serif"/>
                <w:b/>
                <w:sz w:val="18"/>
              </w:rPr>
            </w:pPr>
            <w:r>
              <w:rPr>
                <w:rFonts w:ascii="Arial;sans-serif" w:hAnsi="Arial;sans-serif"/>
                <w:b/>
                <w:sz w:val="18"/>
              </w:rPr>
              <w:t>Other public company boards:</w:t>
            </w:r>
          </w:p>
          <w:p>
            <w:pPr>
              <w:pStyle w:val="TableContents"/>
              <w:pBdr/>
              <w:bidi w:val="0"/>
              <w:spacing w:before="0" w:after="0"/>
              <w:ind w:left="187" w:right="115" w:hanging="274"/>
              <w:jc w:val="left"/>
              <w:rPr>
                <w:rFonts w:ascii="Arial;sans-serif" w:hAnsi="Arial;sans-serif"/>
                <w:b w:val="false"/>
                <w:sz w:val="18"/>
              </w:rPr>
            </w:pPr>
            <w:r>
              <w:rPr>
                <w:rFonts w:ascii="Arial;sans-serif" w:hAnsi="Arial;sans-serif"/>
                <w:b w:val="false"/>
                <w:sz w:val="18"/>
              </w:rPr>
              <w:t> Archer Aviation Inc.</w:t>
            </w:r>
          </w:p>
          <w:p>
            <w:pPr>
              <w:pStyle w:val="TableContents"/>
              <w:pBdr/>
              <w:bidi w:val="0"/>
              <w:spacing w:before="0" w:after="0"/>
              <w:ind w:left="187" w:right="115" w:hanging="274"/>
              <w:jc w:val="left"/>
              <w:rPr>
                <w:rFonts w:ascii="Arial;sans-serif" w:hAnsi="Arial;sans-serif"/>
                <w:b w:val="false"/>
                <w:sz w:val="18"/>
              </w:rPr>
            </w:pPr>
            <w:r>
              <w:rPr>
                <w:rFonts w:ascii="Arial;sans-serif" w:hAnsi="Arial;sans-serif"/>
                <w:b w:val="false"/>
                <w:sz w:val="18"/>
              </w:rPr>
              <w:t> SiteOne Landscape Supply,</w:t>
              <w:br/>
              <w:t>Inc.</w:t>
            </w:r>
          </w:p>
          <w:p>
            <w:pPr>
              <w:pStyle w:val="TableContents"/>
              <w:pBdr/>
              <w:bidi w:val="0"/>
              <w:spacing w:before="0" w:after="0"/>
              <w:ind w:left="187" w:right="115" w:hanging="274"/>
              <w:jc w:val="left"/>
              <w:rPr>
                <w:rFonts w:ascii="Arial;sans-serif" w:hAnsi="Arial;sans-serif"/>
                <w:b w:val="false"/>
                <w:sz w:val="18"/>
              </w:rPr>
            </w:pPr>
            <w:r>
              <w:rPr>
                <w:rFonts w:ascii="Arial;sans-serif" w:hAnsi="Arial;sans-serif"/>
                <w:b w:val="false"/>
                <w:sz w:val="18"/>
              </w:rPr>
              <w:t> Valero Energy Corporation</w:t>
            </w:r>
          </w:p>
          <w:p>
            <w:pPr>
              <w:pStyle w:val="TableContents"/>
              <w:bidi w:val="0"/>
              <w:spacing w:before="80" w:after="0"/>
              <w:ind w:left="80" w:right="110" w:hanging="0"/>
              <w:jc w:val="both"/>
              <w:rPr>
                <w:rFonts w:ascii="Arial;sans-serif" w:hAnsi="Arial;sans-serif"/>
                <w:b/>
                <w:sz w:val="18"/>
              </w:rPr>
            </w:pPr>
            <w:r>
              <w:rPr>
                <w:rFonts w:ascii="Arial;sans-serif" w:hAnsi="Arial;sans-serif"/>
                <w:b/>
                <w:sz w:val="18"/>
              </w:rPr>
              <w:t>Other public company boards within five years:</w:t>
            </w:r>
          </w:p>
          <w:p>
            <w:pPr>
              <w:pStyle w:val="TableContents"/>
              <w:pBdr/>
              <w:bidi w:val="0"/>
              <w:spacing w:before="0" w:after="0"/>
              <w:ind w:left="0" w:right="0" w:firstLine="80"/>
              <w:jc w:val="both"/>
              <w:rPr>
                <w:rFonts w:ascii="Arial;sans-serif" w:hAnsi="Arial;sans-serif"/>
                <w:b w:val="false"/>
                <w:sz w:val="18"/>
              </w:rPr>
            </w:pPr>
            <w:r>
              <w:rPr>
                <w:rFonts w:ascii="Arial;sans-serif" w:hAnsi="Arial;sans-serif"/>
                <w:b w:val="false"/>
                <w:sz w:val="18"/>
              </w:rPr>
              <w:t> None</w:t>
            </w:r>
          </w:p>
        </w:tc>
        <w:tc>
          <w:tcPr>
            <w:tcW w:w="8648" w:type="dxa"/>
            <w:tcBorders/>
            <w:vAlign w:val="center"/>
          </w:tcPr>
          <w:p>
            <w:pPr>
              <w:pStyle w:val="TableContents"/>
              <w:bidi w:val="0"/>
              <w:spacing w:before="80" w:after="0"/>
              <w:ind w:left="80" w:right="80" w:hanging="0"/>
              <w:jc w:val="both"/>
              <w:rPr>
                <w:rFonts w:ascii="Arial;sans-serif" w:hAnsi="Arial;sans-serif"/>
                <w:b/>
                <w:sz w:val="18"/>
              </w:rPr>
            </w:pPr>
            <w:r>
              <w:rPr>
                <w:rFonts w:ascii="Arial;sans-serif" w:hAnsi="Arial;sans-serif"/>
                <w:b/>
                <w:sz w:val="18"/>
              </w:rPr>
              <w:t>Background:</w:t>
            </w:r>
          </w:p>
          <w:p>
            <w:pPr>
              <w:pStyle w:val="TableContents"/>
              <w:bidi w:val="0"/>
              <w:spacing w:before="0" w:after="0"/>
              <w:ind w:left="0" w:right="0" w:firstLine="80"/>
              <w:jc w:val="left"/>
              <w:rPr>
                <w:rFonts w:ascii="Arial;sans-serif" w:hAnsi="Arial;sans-serif"/>
                <w:b w:val="false"/>
                <w:sz w:val="18"/>
              </w:rPr>
            </w:pPr>
            <w:r>
              <w:rPr>
                <w:rFonts w:ascii="Arial;sans-serif" w:hAnsi="Arial;sans-serif"/>
                <w:b w:val="false"/>
                <w:sz w:val="18"/>
              </w:rPr>
              <w:t>Mr. Diaz served as President and CEO of Mitsubishi Motor North America, Inc. from 2018 to 2020 and as General Manager, Performance Optimization Global Marketing and Sales of Mitsubishi Motors Corporation in Tokyo, Japan from 2017 to 2018. He served in various executive level positions with Nissan North America Inc. for four years and Chrysler Corporation LLC for 24 years, including as the President and CEO of the Ram Truck Brand and Chrysler of Mexico.</w:t>
            </w:r>
          </w:p>
        </w:tc>
      </w:tr>
      <w:tr>
        <w:trPr/>
        <w:tc>
          <w:tcPr>
            <w:tcW w:w="1557" w:type="dxa"/>
            <w:vMerge w:val="continue"/>
            <w:tcBorders/>
            <w:vAlign w:val="center"/>
          </w:tcPr>
          <w:p>
            <w:pPr>
              <w:pStyle w:val="Normal"/>
              <w:bidi w:val="0"/>
              <w:jc w:val="left"/>
              <w:rPr/>
            </w:pPr>
            <w:r>
              <w:rPr/>
            </w:r>
          </w:p>
        </w:tc>
        <w:tc>
          <w:tcPr>
            <w:tcW w:w="8648" w:type="dxa"/>
            <w:tcBorders/>
            <w:vAlign w:val="center"/>
          </w:tcPr>
          <w:p>
            <w:pPr>
              <w:pStyle w:val="TableContents"/>
              <w:bidi w:val="0"/>
              <w:spacing w:before="120" w:after="0"/>
              <w:ind w:left="80" w:right="80" w:hanging="0"/>
              <w:jc w:val="left"/>
              <w:rPr>
                <w:rFonts w:ascii="Arial;sans-serif" w:hAnsi="Arial;sans-serif"/>
                <w:b/>
                <w:sz w:val="18"/>
              </w:rPr>
            </w:pPr>
            <w:r>
              <w:rPr>
                <w:rFonts w:ascii="Arial;sans-serif" w:hAnsi="Arial;sans-serif"/>
                <w:b/>
                <w:sz w:val="18"/>
              </w:rPr>
              <w:t>Key Qualifications and Skills Include:</w:t>
            </w:r>
          </w:p>
          <w:p>
            <w:pPr>
              <w:pStyle w:val="TableContents"/>
              <w:bidi w:val="0"/>
              <w:spacing w:before="0" w:after="0"/>
              <w:ind w:left="0" w:right="0" w:hanging="0"/>
              <w:jc w:val="both"/>
              <w:rPr/>
            </w:pPr>
            <w:r>
              <w:rPr/>
              <w:t>   </w:t>
            </w:r>
            <w:r>
              <w:rPr>
                <w:rFonts w:ascii="Arial;sans-serif" w:hAnsi="Arial;sans-serif"/>
                <w:b/>
                <w:sz w:val="18"/>
              </w:rPr>
              <w:t>Executive</w:t>
            </w:r>
            <w:r>
              <w:rPr>
                <w:rFonts w:ascii="Arial;sans-serif" w:hAnsi="Arial;sans-serif"/>
                <w:b w:val="false"/>
                <w:sz w:val="18"/>
              </w:rPr>
              <w:t>. Former President and CEO of Mitsubishi Motor North America, the</w:t>
            </w:r>
          </w:p>
          <w:p>
            <w:pPr>
              <w:pStyle w:val="TableContents"/>
              <w:bidi w:val="0"/>
              <w:spacing w:before="0" w:after="0"/>
              <w:ind w:left="0" w:right="0" w:hanging="0"/>
              <w:jc w:val="both"/>
              <w:rPr>
                <w:rFonts w:ascii="Arial;sans-serif" w:hAnsi="Arial;sans-serif"/>
                <w:b w:val="false"/>
                <w:sz w:val="18"/>
              </w:rPr>
            </w:pPr>
            <w:r>
              <w:rPr>
                <w:rFonts w:ascii="Arial;sans-serif" w:hAnsi="Arial;sans-serif"/>
                <w:b w:val="false"/>
                <w:sz w:val="18"/>
              </w:rPr>
              <w:t>Ram Truck Brand, and Chrysler of Mexico</w:t>
            </w:r>
          </w:p>
          <w:p>
            <w:pPr>
              <w:pStyle w:val="TableContents"/>
              <w:bidi w:val="0"/>
              <w:spacing w:before="20" w:after="0"/>
              <w:ind w:left="0" w:right="0" w:hanging="0"/>
              <w:jc w:val="both"/>
              <w:rPr/>
            </w:pPr>
            <w:r>
              <w:rPr/>
              <w:t>   </w:t>
            </w:r>
            <w:r>
              <w:rPr>
                <w:rFonts w:ascii="Arial;sans-serif" w:hAnsi="Arial;sans-serif"/>
                <w:b/>
                <w:sz w:val="18"/>
              </w:rPr>
              <w:t>Manufacturing</w:t>
            </w:r>
            <w:r>
              <w:rPr>
                <w:rFonts w:ascii="Arial;sans-serif" w:hAnsi="Arial;sans-serif"/>
                <w:b w:val="false"/>
                <w:sz w:val="18"/>
              </w:rPr>
              <w:t>. Extensive operations experience gained through service as</w:t>
            </w:r>
          </w:p>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executive of multinational manufacturers, including Mitsubishi and Chrysler</w:t>
            </w:r>
            <w:r>
              <w:rPr>
                <w:rFonts w:ascii="Times New Roman" w:hAnsi="Times New Roman"/>
                <w:sz w:val="18"/>
              </w:rPr>
              <w:t xml:space="preserve"> </w:t>
            </w:r>
          </w:p>
          <w:p>
            <w:pPr>
              <w:pStyle w:val="TableContents"/>
              <w:bidi w:val="0"/>
              <w:spacing w:before="20" w:after="0"/>
              <w:ind w:left="0" w:right="0" w:hanging="0"/>
              <w:jc w:val="both"/>
              <w:rPr/>
            </w:pPr>
            <w:r>
              <w:rPr/>
              <w:t>   </w:t>
            </w:r>
            <w:r>
              <w:rPr>
                <w:rFonts w:ascii="Arial;sans-serif" w:hAnsi="Arial;sans-serif"/>
                <w:b/>
                <w:sz w:val="18"/>
              </w:rPr>
              <w:t>Public Company Board</w:t>
            </w:r>
            <w:r>
              <w:rPr>
                <w:rFonts w:ascii="Arial;sans-serif" w:hAnsi="Arial;sans-serif"/>
                <w:b w:val="false"/>
                <w:sz w:val="18"/>
              </w:rPr>
              <w:t>. Service on three other boards (see related caption)</w:t>
            </w:r>
            <w:r>
              <w:rPr>
                <w:rFonts w:ascii="Times New Roman" w:hAnsi="Times New Roman"/>
                <w:sz w:val="18"/>
              </w:rPr>
              <w:t xml:space="preserve"> </w:t>
            </w:r>
          </w:p>
          <w:p>
            <w:pPr>
              <w:pStyle w:val="TableContents"/>
              <w:bidi w:val="0"/>
              <w:spacing w:before="20" w:after="0"/>
              <w:ind w:left="0" w:right="0" w:hanging="0"/>
              <w:jc w:val="both"/>
              <w:rPr/>
            </w:pPr>
            <w:r>
              <w:rPr/>
              <w:t>   </w:t>
            </w:r>
            <w:r>
              <w:rPr>
                <w:rFonts w:ascii="Arial;sans-serif" w:hAnsi="Arial;sans-serif"/>
                <w:b/>
                <w:sz w:val="18"/>
              </w:rPr>
              <w:t>Sales and Marketing</w:t>
            </w:r>
            <w:r>
              <w:rPr>
                <w:rFonts w:ascii="Arial;sans-serif" w:hAnsi="Arial;sans-serif"/>
                <w:b w:val="false"/>
                <w:sz w:val="18"/>
              </w:rPr>
              <w:t>. Former SVP, Sales &amp; Marketing and Operations USA</w:t>
            </w:r>
          </w:p>
          <w:p>
            <w:pPr>
              <w:pStyle w:val="TableContents"/>
              <w:bidi w:val="0"/>
              <w:spacing w:before="0" w:after="0"/>
              <w:ind w:left="0" w:right="0" w:firstLine="80"/>
              <w:jc w:val="both"/>
              <w:rPr>
                <w:rFonts w:ascii="Arial;sans-serif" w:hAnsi="Arial;sans-serif"/>
                <w:b w:val="false"/>
                <w:sz w:val="18"/>
              </w:rPr>
            </w:pPr>
            <w:r>
              <w:rPr>
                <w:rFonts w:ascii="Arial;sans-serif" w:hAnsi="Arial;sans-serif"/>
                <w:b w:val="false"/>
                <w:sz w:val="18"/>
              </w:rPr>
              <w:t>for Nissan North America and Head of National Sales of Ram Truck Brand</w:t>
            </w:r>
          </w:p>
        </w:tc>
      </w:tr>
      <w:tr>
        <w:trPr/>
        <w:tc>
          <w:tcPr>
            <w:tcW w:w="10205" w:type="dxa"/>
            <w:gridSpan w:val="2"/>
            <w:tcBorders/>
            <w:vAlign w:val="center"/>
          </w:tcPr>
          <w:p>
            <w:pPr>
              <w:pStyle w:val="TableContents"/>
              <w:bidi w:val="0"/>
              <w:spacing w:before="120" w:after="120"/>
              <w:ind w:left="0" w:right="0" w:firstLine="80"/>
              <w:jc w:val="both"/>
              <w:rPr>
                <w:rFonts w:ascii="Arial;sans-serif" w:hAnsi="Arial;sans-serif"/>
                <w:b/>
                <w:sz w:val="20"/>
              </w:rPr>
            </w:pPr>
            <w:r>
              <w:rPr>
                <w:rFonts w:ascii="Arial;sans-serif" w:hAnsi="Arial;sans-serif"/>
                <w:b/>
                <w:sz w:val="20"/>
              </w:rPr>
              <w:t>MICHELLE J. LOHMEIER</w:t>
            </w:r>
          </w:p>
        </w:tc>
      </w:tr>
      <w:tr>
        <w:trPr/>
        <w:tc>
          <w:tcPr>
            <w:tcW w:w="1557" w:type="dxa"/>
            <w:vMerge w:val="restart"/>
            <w:tcBorders/>
            <w:vAlign w:val="center"/>
          </w:tcPr>
          <w:p>
            <w:pPr>
              <w:pStyle w:val="TableContents"/>
              <w:bidi w:val="0"/>
              <w:spacing w:before="80" w:after="0"/>
              <w:ind w:left="80" w:right="110" w:hanging="0"/>
              <w:jc w:val="both"/>
              <w:rPr>
                <w:rFonts w:ascii="Times New Roman" w:hAnsi="Times New Roman"/>
                <w:sz w:val="18"/>
              </w:rPr>
            </w:pPr>
            <w:r>
              <w:rPr>
                <w:rFonts w:ascii="Arial;sans-serif" w:hAnsi="Arial;sans-serif"/>
                <w:b/>
                <w:sz w:val="18"/>
              </w:rPr>
              <w:t>Age:</w:t>
            </w:r>
            <w:r>
              <w:rPr>
                <w:rFonts w:ascii="Times New Roman" w:hAnsi="Times New Roman"/>
                <w:sz w:val="18"/>
              </w:rPr>
              <w:t xml:space="preserve"> </w:t>
            </w:r>
            <w:r>
              <w:rPr>
                <w:rFonts w:ascii="Arial;sans-serif" w:hAnsi="Arial;sans-serif"/>
                <w:b w:val="false"/>
                <w:sz w:val="18"/>
              </w:rPr>
              <w:t>60</w:t>
            </w:r>
          </w:p>
          <w:p>
            <w:pPr>
              <w:pStyle w:val="TableContents"/>
              <w:bidi w:val="0"/>
              <w:spacing w:before="120" w:after="0"/>
              <w:ind w:left="80" w:right="110" w:hanging="0"/>
              <w:jc w:val="both"/>
              <w:rPr>
                <w:rFonts w:ascii="Times New Roman" w:hAnsi="Times New Roman"/>
                <w:sz w:val="18"/>
              </w:rPr>
            </w:pPr>
            <w:r>
              <w:rPr>
                <w:rFonts w:ascii="Arial;sans-serif" w:hAnsi="Arial;sans-serif"/>
                <w:b/>
                <w:sz w:val="18"/>
              </w:rPr>
              <w:t>Director since:</w:t>
            </w:r>
            <w:r>
              <w:rPr>
                <w:rFonts w:ascii="Times New Roman" w:hAnsi="Times New Roman"/>
                <w:sz w:val="18"/>
              </w:rPr>
              <w:t xml:space="preserve"> </w:t>
            </w:r>
            <w:r>
              <w:rPr>
                <w:rFonts w:ascii="Arial;sans-serif" w:hAnsi="Arial;sans-serif"/>
                <w:b w:val="false"/>
                <w:sz w:val="18"/>
              </w:rPr>
              <w:t>2023</w:t>
            </w:r>
          </w:p>
          <w:p>
            <w:pPr>
              <w:pStyle w:val="TableContents"/>
              <w:bidi w:val="0"/>
              <w:spacing w:before="120" w:after="0"/>
              <w:ind w:left="80" w:right="110" w:hanging="0"/>
              <w:jc w:val="both"/>
              <w:rPr>
                <w:rFonts w:ascii="Arial;sans-serif" w:hAnsi="Arial;sans-serif"/>
                <w:b/>
                <w:sz w:val="18"/>
              </w:rPr>
            </w:pPr>
            <w:r>
              <w:rPr>
                <w:rFonts w:ascii="Arial;sans-serif" w:hAnsi="Arial;sans-serif"/>
                <w:b/>
                <w:sz w:val="18"/>
              </w:rPr>
              <w:t>Independent</w:t>
            </w:r>
          </w:p>
          <w:p>
            <w:pPr>
              <w:pStyle w:val="TableContents"/>
              <w:bidi w:val="0"/>
              <w:spacing w:before="120" w:after="0"/>
              <w:ind w:left="80" w:right="110" w:hanging="0"/>
              <w:jc w:val="both"/>
              <w:rPr>
                <w:rFonts w:ascii="Arial;sans-serif" w:hAnsi="Arial;sans-serif"/>
                <w:b/>
                <w:sz w:val="18"/>
              </w:rPr>
            </w:pPr>
            <w:r>
              <w:rPr>
                <w:rFonts w:ascii="Arial;sans-serif" w:hAnsi="Arial;sans-serif"/>
                <w:b/>
                <w:sz w:val="18"/>
              </w:rPr>
              <w:t>Board committees:</w:t>
            </w:r>
          </w:p>
          <w:p>
            <w:pPr>
              <w:pStyle w:val="TableContents"/>
              <w:pBdr/>
              <w:bidi w:val="0"/>
              <w:spacing w:before="0" w:after="0"/>
              <w:ind w:left="187" w:right="115" w:hanging="274"/>
              <w:jc w:val="both"/>
              <w:rPr>
                <w:rFonts w:ascii="Arial;sans-serif" w:hAnsi="Arial;sans-serif"/>
                <w:b w:val="false"/>
                <w:sz w:val="18"/>
              </w:rPr>
            </w:pPr>
            <w:r>
              <w:rPr>
                <w:rFonts w:ascii="Arial;sans-serif" w:hAnsi="Arial;sans-serif"/>
                <w:b w:val="false"/>
                <w:sz w:val="18"/>
              </w:rPr>
              <w:t> Compensation</w:t>
            </w:r>
          </w:p>
          <w:p>
            <w:pPr>
              <w:pStyle w:val="TableContents"/>
              <w:pBdr/>
              <w:bidi w:val="0"/>
              <w:spacing w:before="0" w:after="0"/>
              <w:ind w:left="187" w:right="115" w:hanging="274"/>
              <w:jc w:val="both"/>
              <w:rPr>
                <w:rFonts w:ascii="Arial;sans-serif" w:hAnsi="Arial;sans-serif"/>
                <w:b w:val="false"/>
                <w:sz w:val="18"/>
              </w:rPr>
            </w:pPr>
            <w:r>
              <w:rPr>
                <w:rFonts w:ascii="Arial;sans-serif" w:hAnsi="Arial;sans-serif"/>
                <w:b w:val="false"/>
                <w:sz w:val="18"/>
              </w:rPr>
              <w:t> ESG</w:t>
            </w:r>
          </w:p>
          <w:p>
            <w:pPr>
              <w:pStyle w:val="TableContents"/>
              <w:bidi w:val="0"/>
              <w:spacing w:before="120" w:after="0"/>
              <w:ind w:left="80" w:right="110" w:hanging="0"/>
              <w:jc w:val="both"/>
              <w:rPr>
                <w:rFonts w:ascii="Arial;sans-serif" w:hAnsi="Arial;sans-serif"/>
                <w:b/>
                <w:sz w:val="18"/>
              </w:rPr>
            </w:pPr>
            <w:r>
              <w:rPr>
                <w:rFonts w:ascii="Arial;sans-serif" w:hAnsi="Arial;sans-serif"/>
                <w:b/>
                <w:sz w:val="18"/>
              </w:rPr>
              <w:t>Other public company boards:</w:t>
            </w:r>
          </w:p>
          <w:p>
            <w:pPr>
              <w:pStyle w:val="TableContents"/>
              <w:pBdr/>
              <w:bidi w:val="0"/>
              <w:spacing w:before="0" w:after="0"/>
              <w:ind w:left="187" w:right="115" w:hanging="274"/>
              <w:jc w:val="both"/>
              <w:rPr>
                <w:rFonts w:ascii="Times New Roman" w:hAnsi="Times New Roman"/>
                <w:sz w:val="18"/>
              </w:rPr>
            </w:pPr>
            <w:r>
              <w:rPr>
                <w:rFonts w:ascii="Arial;sans-serif" w:hAnsi="Arial;sans-serif"/>
                <w:b w:val="false"/>
                <w:sz w:val="18"/>
              </w:rPr>
              <w:t xml:space="preserve"> </w:t>
            </w:r>
            <w:r>
              <w:rPr>
                <w:rFonts w:ascii="Times New Roman" w:hAnsi="Times New Roman"/>
                <w:sz w:val="18"/>
              </w:rPr>
              <w:t> </w:t>
            </w:r>
            <w:r>
              <w:rPr>
                <w:rFonts w:ascii="Arial;sans-serif" w:hAnsi="Arial;sans-serif"/>
                <w:b w:val="false"/>
                <w:sz w:val="18"/>
              </w:rPr>
              <w:t>Kaman Corp.</w:t>
            </w:r>
          </w:p>
          <w:p>
            <w:pPr>
              <w:pStyle w:val="TableContents"/>
              <w:pBdr/>
              <w:bidi w:val="0"/>
              <w:spacing w:before="0" w:after="0"/>
              <w:ind w:left="187" w:right="115" w:hanging="274"/>
              <w:jc w:val="both"/>
              <w:rPr>
                <w:rFonts w:ascii="Times New Roman" w:hAnsi="Times New Roman"/>
                <w:sz w:val="18"/>
              </w:rPr>
            </w:pPr>
            <w:r>
              <w:rPr>
                <w:rFonts w:ascii="Arial;sans-serif" w:hAnsi="Arial;sans-serif"/>
                <w:b w:val="false"/>
                <w:sz w:val="18"/>
              </w:rPr>
              <w:t xml:space="preserve"> </w:t>
            </w:r>
            <w:r>
              <w:rPr>
                <w:rFonts w:ascii="Times New Roman" w:hAnsi="Times New Roman"/>
                <w:sz w:val="18"/>
              </w:rPr>
              <w:t> </w:t>
            </w:r>
            <w:r>
              <w:rPr>
                <w:rFonts w:ascii="Arial;sans-serif" w:hAnsi="Arial;sans-serif"/>
                <w:b w:val="false"/>
                <w:sz w:val="18"/>
              </w:rPr>
              <w:t>Mistras Group, Inc.</w:t>
            </w:r>
            <w:r>
              <w:rPr>
                <w:rFonts w:ascii="Times New Roman" w:hAnsi="Times New Roman"/>
                <w:sz w:val="18"/>
              </w:rPr>
              <w:t xml:space="preserve"> </w:t>
            </w:r>
          </w:p>
          <w:p>
            <w:pPr>
              <w:pStyle w:val="TableContents"/>
              <w:bidi w:val="0"/>
              <w:spacing w:before="120" w:after="0"/>
              <w:ind w:left="80" w:right="110" w:hanging="0"/>
              <w:jc w:val="both"/>
              <w:rPr>
                <w:rFonts w:ascii="Arial;sans-serif" w:hAnsi="Arial;sans-serif"/>
                <w:b/>
                <w:sz w:val="18"/>
              </w:rPr>
            </w:pPr>
            <w:r>
              <w:rPr>
                <w:rFonts w:ascii="Arial;sans-serif" w:hAnsi="Arial;sans-serif"/>
                <w:b/>
                <w:sz w:val="18"/>
              </w:rPr>
              <w:t>Other public company boards within five years:</w:t>
            </w:r>
          </w:p>
          <w:p>
            <w:pPr>
              <w:pStyle w:val="TableContents"/>
              <w:pBdr/>
              <w:bidi w:val="0"/>
              <w:spacing w:before="0" w:after="0"/>
              <w:ind w:left="0" w:right="0" w:firstLine="80"/>
              <w:jc w:val="both"/>
              <w:rPr>
                <w:rFonts w:ascii="Arial;sans-serif" w:hAnsi="Arial;sans-serif"/>
                <w:b w:val="false"/>
                <w:sz w:val="18"/>
              </w:rPr>
            </w:pPr>
            <w:r>
              <w:rPr>
                <w:rFonts w:ascii="Arial;sans-serif" w:hAnsi="Arial;sans-serif"/>
                <w:b w:val="false"/>
                <w:sz w:val="18"/>
              </w:rPr>
              <w:t> None</w:t>
            </w:r>
          </w:p>
        </w:tc>
        <w:tc>
          <w:tcPr>
            <w:tcW w:w="8648" w:type="dxa"/>
            <w:tcBorders/>
            <w:vAlign w:val="center"/>
          </w:tcPr>
          <w:p>
            <w:pPr>
              <w:pStyle w:val="TableContents"/>
              <w:bidi w:val="0"/>
              <w:spacing w:before="80" w:after="0"/>
              <w:ind w:left="80" w:right="80" w:hanging="0"/>
              <w:jc w:val="both"/>
              <w:rPr>
                <w:rFonts w:ascii="Arial;sans-serif" w:hAnsi="Arial;sans-serif"/>
                <w:b/>
                <w:sz w:val="18"/>
              </w:rPr>
            </w:pPr>
            <w:r>
              <w:rPr>
                <w:rFonts w:ascii="Arial;sans-serif" w:hAnsi="Arial;sans-serif"/>
                <w:b/>
                <w:sz w:val="18"/>
              </w:rPr>
              <w:t>Background:</w:t>
            </w:r>
          </w:p>
          <w:p>
            <w:pPr>
              <w:pStyle w:val="TableContents"/>
              <w:bidi w:val="0"/>
              <w:spacing w:before="0" w:after="0"/>
              <w:ind w:left="0" w:right="0" w:firstLine="80"/>
              <w:jc w:val="left"/>
              <w:rPr>
                <w:rFonts w:ascii="Times New Roman" w:hAnsi="Times New Roman"/>
                <w:sz w:val="18"/>
              </w:rPr>
            </w:pPr>
            <w:r>
              <w:rPr>
                <w:rFonts w:ascii="Arial;sans-serif" w:hAnsi="Arial;sans-serif"/>
                <w:b w:val="false"/>
                <w:sz w:val="18"/>
              </w:rPr>
              <w:t>Ms. Lohmeier has been a director since July 2023. She is a former senior advisor to the CEO of Spirit AeroSystems Holdings, Inc. having served in that position from 2019 to 2021. Prior to that, she had served as SVP and General Manager of Airbus Programs at Spirit AeroSystems. Before joining Spirit AeroSystems, Ms. Lohmeier held senior positions at Raytheon Company, including VP of the Land Warfare Systems product line at Raytheon Missile Systems. Previously, she was the program director at Raytheon for the design, development, and production implementation of the Standard Missile-6 weapon system for the U.S. Navy. She began her career with Hughes Aircraft Company as a system test engineer in 1985.</w:t>
            </w:r>
            <w:r>
              <w:rPr>
                <w:rFonts w:ascii="Times New Roman" w:hAnsi="Times New Roman"/>
                <w:sz w:val="18"/>
              </w:rPr>
              <w:t xml:space="preserve"> </w:t>
            </w:r>
          </w:p>
        </w:tc>
      </w:tr>
      <w:tr>
        <w:trPr/>
        <w:tc>
          <w:tcPr>
            <w:tcW w:w="1557" w:type="dxa"/>
            <w:vMerge w:val="continue"/>
            <w:tcBorders/>
            <w:vAlign w:val="center"/>
          </w:tcPr>
          <w:p>
            <w:pPr>
              <w:pStyle w:val="Normal"/>
              <w:bidi w:val="0"/>
              <w:jc w:val="left"/>
              <w:rPr/>
            </w:pPr>
            <w:r>
              <w:rPr/>
            </w:r>
          </w:p>
        </w:tc>
        <w:tc>
          <w:tcPr>
            <w:tcW w:w="8648" w:type="dxa"/>
            <w:tcBorders/>
            <w:vAlign w:val="center"/>
          </w:tcPr>
          <w:p>
            <w:pPr>
              <w:pStyle w:val="TableContents"/>
              <w:bidi w:val="0"/>
              <w:spacing w:before="80" w:after="0"/>
              <w:ind w:left="80" w:right="80" w:hanging="0"/>
              <w:jc w:val="left"/>
              <w:rPr>
                <w:rFonts w:ascii="Arial;sans-serif" w:hAnsi="Arial;sans-serif"/>
                <w:b/>
                <w:sz w:val="18"/>
              </w:rPr>
            </w:pPr>
            <w:r>
              <w:rPr>
                <w:rFonts w:ascii="Arial;sans-serif" w:hAnsi="Arial;sans-serif"/>
                <w:b/>
                <w:sz w:val="18"/>
              </w:rPr>
              <w:t>Key Qualifications and Skills Include:</w:t>
            </w:r>
          </w:p>
          <w:p>
            <w:pPr>
              <w:pStyle w:val="TableContents"/>
              <w:bidi w:val="0"/>
              <w:spacing w:before="0" w:after="0"/>
              <w:ind w:left="0" w:right="0" w:hanging="0"/>
              <w:jc w:val="both"/>
              <w:rPr/>
            </w:pPr>
            <w:r>
              <w:rPr/>
              <w:t>    </w:t>
            </w:r>
            <w:r>
              <w:rPr>
                <w:rFonts w:ascii="Arial;sans-serif" w:hAnsi="Arial;sans-serif"/>
                <w:b/>
                <w:sz w:val="18"/>
              </w:rPr>
              <w:t>Manufacturing</w:t>
            </w:r>
            <w:r>
              <w:rPr>
                <w:rFonts w:ascii="Arial;sans-serif" w:hAnsi="Arial;sans-serif"/>
                <w:b w:val="false"/>
                <w:sz w:val="18"/>
              </w:rPr>
              <w:t>. Extensive operations experience gained through roles with</w:t>
            </w:r>
          </w:p>
          <w:p>
            <w:pPr>
              <w:pStyle w:val="TableContents"/>
              <w:bidi w:val="0"/>
              <w:spacing w:before="0" w:after="0"/>
              <w:ind w:left="0" w:right="0" w:hanging="0"/>
              <w:jc w:val="both"/>
              <w:rPr/>
            </w:pPr>
            <w:r>
              <w:rPr/>
              <w:t>    </w:t>
            </w:r>
            <w:r>
              <w:rPr>
                <w:rFonts w:ascii="Arial;sans-serif" w:hAnsi="Arial;sans-serif"/>
                <w:b w:val="false"/>
                <w:sz w:val="18"/>
              </w:rPr>
              <w:t>Spirit AeroSystems, Raytheon, and Hughes Aircraft</w:t>
            </w:r>
          </w:p>
          <w:p>
            <w:pPr>
              <w:pStyle w:val="TableContents"/>
              <w:bidi w:val="0"/>
              <w:spacing w:before="20" w:after="0"/>
              <w:ind w:left="0" w:right="0" w:hanging="0"/>
              <w:jc w:val="both"/>
              <w:rPr/>
            </w:pPr>
            <w:r>
              <w:rPr/>
              <w:t>    </w:t>
            </w:r>
            <w:r>
              <w:rPr>
                <w:rFonts w:ascii="Arial;sans-serif" w:hAnsi="Arial;sans-serif"/>
                <w:b/>
                <w:sz w:val="18"/>
              </w:rPr>
              <w:t>Public Company Board</w:t>
            </w:r>
            <w:r>
              <w:rPr>
                <w:rFonts w:ascii="Arial;sans-serif" w:hAnsi="Arial;sans-serif"/>
                <w:b w:val="false"/>
                <w:sz w:val="18"/>
              </w:rPr>
              <w:t>. Service on two other boards (see related caption)</w:t>
            </w:r>
          </w:p>
          <w:p>
            <w:pPr>
              <w:pStyle w:val="TableContents"/>
              <w:bidi w:val="0"/>
              <w:spacing w:before="20" w:after="0"/>
              <w:ind w:left="0" w:right="0" w:hanging="0"/>
              <w:jc w:val="both"/>
              <w:rPr/>
            </w:pPr>
            <w:r>
              <w:rPr/>
              <w:t>    </w:t>
            </w:r>
            <w:r>
              <w:rPr>
                <w:rFonts w:ascii="Arial;sans-serif" w:hAnsi="Arial;sans-serif"/>
                <w:b/>
                <w:sz w:val="18"/>
              </w:rPr>
              <w:t>Regulated Industry/Government</w:t>
            </w:r>
            <w:r>
              <w:rPr>
                <w:rFonts w:ascii="Arial;sans-serif" w:hAnsi="Arial;sans-serif"/>
                <w:b w:val="false"/>
                <w:sz w:val="18"/>
              </w:rPr>
              <w:t>. Extensive experience in the highly</w:t>
            </w:r>
          </w:p>
          <w:p>
            <w:pPr>
              <w:pStyle w:val="TableContents"/>
              <w:bidi w:val="0"/>
              <w:spacing w:before="0" w:after="0"/>
              <w:ind w:left="0" w:right="0" w:firstLine="80"/>
              <w:jc w:val="both"/>
              <w:rPr/>
            </w:pPr>
            <w:r>
              <w:rPr/>
              <w:t>    </w:t>
            </w:r>
            <w:r>
              <w:rPr>
                <w:rFonts w:ascii="Arial;sans-serif" w:hAnsi="Arial;sans-serif"/>
                <w:b w:val="false"/>
                <w:sz w:val="18"/>
              </w:rPr>
              <w:t>regulated aerospace and defense industries</w:t>
            </w:r>
          </w:p>
        </w:tc>
      </w:tr>
      <w:tr>
        <w:trPr/>
        <w:tc>
          <w:tcPr>
            <w:tcW w:w="10205" w:type="dxa"/>
            <w:gridSpan w:val="2"/>
            <w:tcBorders/>
            <w:vAlign w:val="center"/>
          </w:tcPr>
          <w:p>
            <w:pPr>
              <w:pStyle w:val="TableContents"/>
              <w:bidi w:val="0"/>
              <w:spacing w:before="120" w:after="120"/>
              <w:ind w:left="0" w:right="0" w:firstLine="80"/>
              <w:jc w:val="both"/>
              <w:rPr/>
            </w:pPr>
            <w:r>
              <w:rPr/>
              <w:t>  </w:t>
            </w:r>
            <w:r>
              <w:rPr>
                <w:rFonts w:ascii="Arial;sans-serif" w:hAnsi="Arial;sans-serif"/>
                <w:b/>
                <w:sz w:val="20"/>
              </w:rPr>
              <w:t>BARRY M. MONHEIT</w:t>
            </w:r>
          </w:p>
        </w:tc>
      </w:tr>
      <w:tr>
        <w:trPr/>
        <w:tc>
          <w:tcPr>
            <w:tcW w:w="1557" w:type="dxa"/>
            <w:vMerge w:val="restart"/>
            <w:tcBorders/>
            <w:vAlign w:val="center"/>
          </w:tcPr>
          <w:p>
            <w:pPr>
              <w:pStyle w:val="TableContents"/>
              <w:bidi w:val="0"/>
              <w:spacing w:before="80" w:after="0"/>
              <w:ind w:left="80" w:right="110" w:hanging="0"/>
              <w:jc w:val="both"/>
              <w:rPr>
                <w:rFonts w:ascii="Times New Roman" w:hAnsi="Times New Roman"/>
                <w:sz w:val="18"/>
              </w:rPr>
            </w:pPr>
            <w:r>
              <w:rPr>
                <w:rFonts w:ascii="Arial;sans-serif" w:hAnsi="Arial;sans-serif"/>
                <w:b/>
                <w:sz w:val="18"/>
              </w:rPr>
              <w:t>Age:</w:t>
            </w:r>
            <w:r>
              <w:rPr>
                <w:rFonts w:ascii="Times New Roman" w:hAnsi="Times New Roman"/>
                <w:sz w:val="18"/>
              </w:rPr>
              <w:t xml:space="preserve"> </w:t>
            </w:r>
            <w:r>
              <w:rPr>
                <w:rFonts w:ascii="Arial;sans-serif" w:hAnsi="Arial;sans-serif"/>
                <w:b w:val="false"/>
                <w:sz w:val="18"/>
              </w:rPr>
              <w:t>76</w:t>
            </w:r>
          </w:p>
          <w:p>
            <w:pPr>
              <w:pStyle w:val="TableContents"/>
              <w:bidi w:val="0"/>
              <w:spacing w:before="120" w:after="0"/>
              <w:ind w:left="80" w:right="110" w:hanging="0"/>
              <w:jc w:val="both"/>
              <w:rPr>
                <w:rFonts w:ascii="Times New Roman" w:hAnsi="Times New Roman"/>
                <w:sz w:val="18"/>
              </w:rPr>
            </w:pPr>
            <w:r>
              <w:rPr>
                <w:rFonts w:ascii="Arial;sans-serif" w:hAnsi="Arial;sans-serif"/>
                <w:b/>
                <w:sz w:val="18"/>
              </w:rPr>
              <w:t>Director since:</w:t>
            </w:r>
            <w:r>
              <w:rPr>
                <w:rFonts w:ascii="Times New Roman" w:hAnsi="Times New Roman"/>
                <w:sz w:val="18"/>
              </w:rPr>
              <w:t xml:space="preserve"> </w:t>
            </w:r>
            <w:r>
              <w:rPr>
                <w:rFonts w:ascii="Arial;sans-serif" w:hAnsi="Arial;sans-serif"/>
                <w:b w:val="false"/>
                <w:sz w:val="18"/>
              </w:rPr>
              <w:t>2004</w:t>
            </w:r>
          </w:p>
          <w:p>
            <w:pPr>
              <w:pStyle w:val="TableContents"/>
              <w:bidi w:val="0"/>
              <w:spacing w:before="120" w:after="0"/>
              <w:ind w:left="80" w:right="110" w:hanging="0"/>
              <w:jc w:val="both"/>
              <w:rPr>
                <w:rFonts w:ascii="Arial;sans-serif" w:hAnsi="Arial;sans-serif"/>
                <w:b/>
                <w:sz w:val="18"/>
              </w:rPr>
            </w:pPr>
            <w:r>
              <w:rPr>
                <w:rFonts w:ascii="Arial;sans-serif" w:hAnsi="Arial;sans-serif"/>
                <w:b/>
                <w:sz w:val="18"/>
              </w:rPr>
              <w:t>Independent</w:t>
            </w:r>
          </w:p>
          <w:p>
            <w:pPr>
              <w:pStyle w:val="TableContents"/>
              <w:bidi w:val="0"/>
              <w:spacing w:before="120" w:after="0"/>
              <w:ind w:left="80" w:right="110" w:hanging="0"/>
              <w:jc w:val="both"/>
              <w:rPr>
                <w:rFonts w:ascii="Arial;sans-serif" w:hAnsi="Arial;sans-serif"/>
                <w:b/>
                <w:sz w:val="18"/>
              </w:rPr>
            </w:pPr>
            <w:r>
              <w:rPr>
                <w:rFonts w:ascii="Arial;sans-serif" w:hAnsi="Arial;sans-serif"/>
                <w:b/>
                <w:sz w:val="18"/>
              </w:rPr>
              <w:t>Board committees:</w:t>
            </w:r>
          </w:p>
          <w:p>
            <w:pPr>
              <w:pStyle w:val="TableContents"/>
              <w:pBdr/>
              <w:bidi w:val="0"/>
              <w:spacing w:before="0" w:after="0"/>
              <w:ind w:left="187" w:right="115" w:hanging="274"/>
              <w:jc w:val="both"/>
              <w:rPr>
                <w:rFonts w:ascii="Arial;sans-serif" w:hAnsi="Arial;sans-serif"/>
                <w:b w:val="false"/>
                <w:sz w:val="18"/>
              </w:rPr>
            </w:pPr>
            <w:r>
              <w:rPr>
                <w:rFonts w:ascii="Arial;sans-serif" w:hAnsi="Arial;sans-serif"/>
                <w:b w:val="false"/>
                <w:sz w:val="18"/>
              </w:rPr>
              <w:t> Compensation</w:t>
            </w:r>
          </w:p>
          <w:p>
            <w:pPr>
              <w:pStyle w:val="TableContents"/>
              <w:pBdr/>
              <w:bidi w:val="0"/>
              <w:spacing w:before="0" w:after="0"/>
              <w:ind w:left="187" w:right="115" w:hanging="274"/>
              <w:jc w:val="both"/>
              <w:rPr>
                <w:rFonts w:ascii="Arial;sans-serif" w:hAnsi="Arial;sans-serif"/>
                <w:b w:val="false"/>
                <w:sz w:val="18"/>
              </w:rPr>
            </w:pPr>
            <w:r>
              <w:rPr>
                <w:rFonts w:ascii="Arial;sans-serif" w:hAnsi="Arial;sans-serif"/>
                <w:b w:val="false"/>
                <w:sz w:val="18"/>
              </w:rPr>
              <w:t> NCG</w:t>
            </w:r>
          </w:p>
          <w:p>
            <w:pPr>
              <w:pStyle w:val="TableContents"/>
              <w:bidi w:val="0"/>
              <w:spacing w:before="120" w:after="0"/>
              <w:ind w:left="80" w:right="110" w:hanging="0"/>
              <w:jc w:val="both"/>
              <w:rPr>
                <w:rFonts w:ascii="Arial;sans-serif" w:hAnsi="Arial;sans-serif"/>
                <w:b/>
                <w:sz w:val="18"/>
              </w:rPr>
            </w:pPr>
            <w:r>
              <w:rPr>
                <w:rFonts w:ascii="Arial;sans-serif" w:hAnsi="Arial;sans-serif"/>
                <w:b/>
                <w:sz w:val="18"/>
              </w:rPr>
              <w:t>Other public company boards:</w:t>
            </w:r>
          </w:p>
          <w:p>
            <w:pPr>
              <w:pStyle w:val="TableContents"/>
              <w:pBdr/>
              <w:bidi w:val="0"/>
              <w:spacing w:before="0" w:after="0"/>
              <w:ind w:left="187" w:right="115" w:hanging="274"/>
              <w:jc w:val="both"/>
              <w:rPr>
                <w:rFonts w:ascii="Arial;sans-serif" w:hAnsi="Arial;sans-serif"/>
                <w:b w:val="false"/>
                <w:sz w:val="18"/>
              </w:rPr>
            </w:pPr>
            <w:r>
              <w:rPr>
                <w:rFonts w:ascii="Arial;sans-serif" w:hAnsi="Arial;sans-serif"/>
                <w:b w:val="false"/>
                <w:sz w:val="18"/>
              </w:rPr>
              <w:t> American Outdoor Brands, Inc.</w:t>
            </w:r>
          </w:p>
          <w:p>
            <w:pPr>
              <w:pStyle w:val="TableContents"/>
              <w:bidi w:val="0"/>
              <w:spacing w:before="120" w:after="0"/>
              <w:ind w:left="80" w:right="110" w:hanging="0"/>
              <w:jc w:val="both"/>
              <w:rPr>
                <w:rFonts w:ascii="Arial;sans-serif" w:hAnsi="Arial;sans-serif"/>
                <w:b/>
                <w:sz w:val="18"/>
              </w:rPr>
            </w:pPr>
            <w:r>
              <w:rPr>
                <w:rFonts w:ascii="Arial;sans-serif" w:hAnsi="Arial;sans-serif"/>
                <w:b/>
                <w:sz w:val="18"/>
              </w:rPr>
              <w:t>Other public company boards within five years:</w:t>
            </w:r>
          </w:p>
          <w:p>
            <w:pPr>
              <w:pStyle w:val="TableContents"/>
              <w:pBdr/>
              <w:bidi w:val="0"/>
              <w:spacing w:before="0" w:after="0"/>
              <w:ind w:left="0" w:right="0" w:firstLine="80"/>
              <w:jc w:val="left"/>
              <w:rPr>
                <w:rFonts w:ascii="Arial;sans-serif" w:hAnsi="Arial;sans-serif"/>
                <w:b w:val="false"/>
                <w:sz w:val="18"/>
              </w:rPr>
            </w:pPr>
            <w:r>
              <w:rPr>
                <w:rFonts w:ascii="Arial;sans-serif" w:hAnsi="Arial;sans-serif"/>
                <w:b w:val="false"/>
                <w:sz w:val="18"/>
              </w:rPr>
              <w:t> None</w:t>
            </w:r>
          </w:p>
        </w:tc>
        <w:tc>
          <w:tcPr>
            <w:tcW w:w="8648" w:type="dxa"/>
            <w:tcBorders/>
            <w:vAlign w:val="center"/>
          </w:tcPr>
          <w:p>
            <w:pPr>
              <w:pStyle w:val="TableContents"/>
              <w:bidi w:val="0"/>
              <w:spacing w:before="80" w:after="0"/>
              <w:ind w:left="80" w:right="80" w:hanging="0"/>
              <w:jc w:val="both"/>
              <w:rPr>
                <w:rFonts w:ascii="Arial;sans-serif" w:hAnsi="Arial;sans-serif"/>
                <w:b/>
                <w:sz w:val="18"/>
              </w:rPr>
            </w:pPr>
            <w:r>
              <w:rPr>
                <w:rFonts w:ascii="Arial;sans-serif" w:hAnsi="Arial;sans-serif"/>
                <w:b/>
                <w:sz w:val="18"/>
              </w:rPr>
              <w:t>Background:</w:t>
            </w:r>
          </w:p>
          <w:p>
            <w:pPr>
              <w:pStyle w:val="TableContents"/>
              <w:bidi w:val="0"/>
              <w:spacing w:before="0" w:after="0"/>
              <w:ind w:left="0" w:right="0" w:firstLine="80"/>
              <w:jc w:val="left"/>
              <w:rPr>
                <w:rFonts w:ascii="Times New Roman" w:hAnsi="Times New Roman"/>
                <w:sz w:val="20"/>
              </w:rPr>
            </w:pPr>
            <w:r>
              <w:rPr>
                <w:rFonts w:ascii="Arial;sans-serif" w:hAnsi="Arial;sans-serif"/>
                <w:b w:val="false"/>
                <w:sz w:val="18"/>
              </w:rPr>
              <w:t>Mr. Monheit served as Chairman of the Board from 2004 until the completion (on August 24, 2020) of the spin-off of our former outdoor products and accessories business (the “Separation”). Since the Separation, he has served as Chairman of American Outdoor Brands, Inc. From 2020 to July 2023, Mr. Monheit served as a Senior Managing Director of J.S. Held, LLC, a consulting company providing services in forensic accounting, fraud investigations, receivership and restructuring, and lost profit exams. He formerly served as President and CEO of Quest Resource Holding Corp., a publicly traded company, as a Senior Managing Director of FTI Palladium Partners, in various capacities with FTI Consulting, Inc., including President of its Financial Consulting Division, and as a partner with Arthur Andersen &amp; Co., where he served as partner-in-charge of its New York Consulting Division and its U.S. Bankruptcy and Reorganization Practice.</w:t>
            </w:r>
            <w:r>
              <w:rPr>
                <w:rFonts w:ascii="Times New Roman" w:hAnsi="Times New Roman"/>
                <w:sz w:val="20"/>
              </w:rPr>
              <w:t xml:space="preserve"> </w:t>
            </w:r>
          </w:p>
        </w:tc>
      </w:tr>
      <w:tr>
        <w:trPr/>
        <w:tc>
          <w:tcPr>
            <w:tcW w:w="1557" w:type="dxa"/>
            <w:vMerge w:val="continue"/>
            <w:tcBorders/>
            <w:vAlign w:val="center"/>
          </w:tcPr>
          <w:p>
            <w:pPr>
              <w:pStyle w:val="Normal"/>
              <w:bidi w:val="0"/>
              <w:jc w:val="left"/>
              <w:rPr/>
            </w:pPr>
            <w:r>
              <w:rPr/>
            </w:r>
          </w:p>
        </w:tc>
        <w:tc>
          <w:tcPr>
            <w:tcW w:w="8648" w:type="dxa"/>
            <w:tcBorders/>
            <w:vAlign w:val="center"/>
          </w:tcPr>
          <w:p>
            <w:pPr>
              <w:pStyle w:val="TableContents"/>
              <w:bidi w:val="0"/>
              <w:spacing w:before="80" w:after="0"/>
              <w:ind w:left="80" w:right="80" w:hanging="0"/>
              <w:jc w:val="left"/>
              <w:rPr>
                <w:rFonts w:ascii="Arial;sans-serif" w:hAnsi="Arial;sans-serif"/>
                <w:b/>
                <w:sz w:val="18"/>
              </w:rPr>
            </w:pPr>
            <w:r>
              <w:rPr>
                <w:rFonts w:ascii="Arial;sans-serif" w:hAnsi="Arial;sans-serif"/>
                <w:b/>
                <w:sz w:val="18"/>
              </w:rPr>
              <w:t>Key Qualifications and Skills Include:</w:t>
            </w:r>
          </w:p>
          <w:p>
            <w:pPr>
              <w:pStyle w:val="TableContents"/>
              <w:bidi w:val="0"/>
              <w:spacing w:before="0" w:after="0"/>
              <w:ind w:left="0" w:right="0" w:hanging="0"/>
              <w:jc w:val="left"/>
              <w:rPr/>
            </w:pPr>
            <w:r>
              <w:rPr/>
              <w:t>    </w:t>
            </w:r>
            <w:r>
              <w:rPr>
                <w:rFonts w:ascii="Arial;sans-serif" w:hAnsi="Arial;sans-serif"/>
                <w:b/>
                <w:sz w:val="18"/>
              </w:rPr>
              <w:t>Executive</w:t>
            </w:r>
            <w:r>
              <w:rPr>
                <w:rFonts w:ascii="Arial;sans-serif" w:hAnsi="Arial;sans-serif"/>
                <w:b w:val="false"/>
                <w:sz w:val="18"/>
              </w:rPr>
              <w:t>. Former CEO of Quest Resource; Division President of FTI</w:t>
            </w:r>
          </w:p>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Consulting; and partner of Arthur Andersen</w:t>
            </w:r>
          </w:p>
          <w:p>
            <w:pPr>
              <w:pStyle w:val="TableContents"/>
              <w:bidi w:val="0"/>
              <w:spacing w:before="0" w:after="0"/>
              <w:ind w:left="0" w:right="0" w:hanging="0"/>
              <w:jc w:val="left"/>
              <w:rPr/>
            </w:pPr>
            <w:r>
              <w:rPr/>
              <w:t>    </w:t>
            </w:r>
            <w:r>
              <w:rPr>
                <w:rFonts w:ascii="Arial;sans-serif" w:hAnsi="Arial;sans-serif"/>
                <w:b/>
                <w:sz w:val="18"/>
              </w:rPr>
              <w:t>Financial</w:t>
            </w:r>
            <w:r>
              <w:rPr>
                <w:rFonts w:ascii="Arial;sans-serif" w:hAnsi="Arial;sans-serif"/>
                <w:b w:val="false"/>
                <w:sz w:val="18"/>
              </w:rPr>
              <w:t>. Retired certified public accountant; former partner of</w:t>
              <w:br/>
              <w:t>    Arthur Andersen</w:t>
            </w:r>
          </w:p>
          <w:p>
            <w:pPr>
              <w:pStyle w:val="TableContents"/>
              <w:bidi w:val="0"/>
              <w:spacing w:before="0" w:after="0"/>
              <w:ind w:left="0" w:right="0" w:hanging="0"/>
              <w:jc w:val="left"/>
              <w:rPr/>
            </w:pPr>
            <w:r>
              <w:rPr/>
              <w:t>    </w:t>
            </w:r>
            <w:r>
              <w:rPr>
                <w:rFonts w:ascii="Arial;sans-serif" w:hAnsi="Arial;sans-serif"/>
                <w:b/>
                <w:sz w:val="18"/>
              </w:rPr>
              <w:t>Public Company Board</w:t>
            </w:r>
            <w:r>
              <w:rPr>
                <w:rFonts w:ascii="Arial;sans-serif" w:hAnsi="Arial;sans-serif"/>
                <w:b w:val="false"/>
                <w:sz w:val="18"/>
              </w:rPr>
              <w:t>. Current Chairman of American Outdoor Brands, Inc.</w:t>
            </w:r>
          </w:p>
        </w:tc>
      </w:tr>
    </w:tbl>
    <w:p>
      <w:pPr>
        <w:pStyle w:val="TextBody"/>
        <w:bidi w:val="0"/>
        <w:spacing w:before="0" w:after="0"/>
        <w:jc w:val="left"/>
        <w:rPr/>
      </w:pPr>
      <w:r>
        <w:rPr/>
        <w:t> </w:t>
      </w:r>
    </w:p>
    <w:tbl>
      <w:tblPr>
        <w:tblW w:w="3657" w:type="dxa"/>
        <w:jc w:val="left"/>
        <w:tblInd w:w="0" w:type="dxa"/>
        <w:tblLayout w:type="fixed"/>
        <w:tblCellMar>
          <w:top w:w="28" w:type="dxa"/>
          <w:left w:w="28" w:type="dxa"/>
          <w:bottom w:w="28" w:type="dxa"/>
          <w:right w:w="28" w:type="dxa"/>
        </w:tblCellMar>
      </w:tblPr>
      <w:tblGrid>
        <w:gridCol w:w="2161"/>
        <w:gridCol w:w="1496"/>
      </w:tblGrid>
      <w:tr>
        <w:trPr/>
        <w:tc>
          <w:tcPr>
            <w:tcW w:w="2161"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2161" w:type="dxa"/>
            <w:tcBorders/>
            <w:vAlign w:val="center"/>
          </w:tcPr>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7</w:t>
            </w:r>
            <w:r>
              <w:rPr>
                <w:rFonts w:ascii="Times New Roman" w:hAnsi="Times New Roman"/>
                <w:sz w:val="18"/>
              </w:rPr>
              <w:t> </w:t>
            </w:r>
            <w:r>
              <w:rPr>
                <w:rFonts w:ascii="Arial;sans-serif" w:hAnsi="Arial;sans-serif"/>
                <w:b w:val="false"/>
                <w:sz w:val="18"/>
              </w:rPr>
              <w:t>I 2023 Proxy Statement</w:t>
            </w:r>
          </w:p>
        </w:tc>
        <w:tc>
          <w:tcPr>
            <w:tcW w:w="1496" w:type="dxa"/>
            <w:tcBorders/>
            <w:vAlign w:val="center"/>
          </w:tcPr>
          <w:p>
            <w:pPr>
              <w:pStyle w:val="TableContents"/>
              <w:bidi w:val="0"/>
              <w:spacing w:before="0" w:after="0"/>
              <w:ind w:left="0" w:right="0" w:hanging="0"/>
              <w:jc w:val="right"/>
              <w:rPr/>
            </w:pPr>
            <w:r>
              <w:rPr/>
              <w:drawing>
                <wp:inline distT="0" distB="0" distL="0" distR="0">
                  <wp:extent cx="828675" cy="1905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828675" cy="190500"/>
                          </a:xfrm>
                          <a:prstGeom prst="rect">
                            <a:avLst/>
                          </a:prstGeom>
                        </pic:spPr>
                      </pic:pic>
                    </a:graphicData>
                  </a:graphic>
                </wp:inline>
              </w:drawing>
            </w: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3027" w:type="dxa"/>
        <w:jc w:val="left"/>
        <w:tblInd w:w="0" w:type="dxa"/>
        <w:tblLayout w:type="fixed"/>
        <w:tblCellMar>
          <w:top w:w="28" w:type="dxa"/>
          <w:left w:w="28" w:type="dxa"/>
          <w:bottom w:w="28" w:type="dxa"/>
          <w:right w:w="28" w:type="dxa"/>
        </w:tblCellMar>
      </w:tblPr>
      <w:tblGrid>
        <w:gridCol w:w="2836"/>
        <w:gridCol w:w="191"/>
      </w:tblGrid>
      <w:tr>
        <w:trPr/>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Board and Governance Matters</w:t>
            </w:r>
          </w:p>
        </w:tc>
        <w:tc>
          <w:tcPr>
            <w:tcW w:w="191" w:type="dxa"/>
            <w:tcBorders/>
            <w:vAlign w:val="center"/>
          </w:tcPr>
          <w:p>
            <w:pPr>
              <w:pStyle w:val="TableContents"/>
              <w:bidi w:val="0"/>
              <w:spacing w:before="0" w:after="0"/>
              <w:ind w:left="0" w:right="0" w:hanging="0"/>
              <w:jc w:val="left"/>
              <w:rPr/>
            </w:pPr>
            <w:r>
              <w:rPr/>
              <w:t> </w:t>
            </w:r>
          </w:p>
        </w:tc>
      </w:tr>
      <w:tr>
        <w:trPr/>
        <w:tc>
          <w:tcPr>
            <w:tcW w:w="283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1559"/>
        <w:gridCol w:w="8646"/>
      </w:tblGrid>
      <w:tr>
        <w:trPr/>
        <w:tc>
          <w:tcPr>
            <w:tcW w:w="1559" w:type="dxa"/>
            <w:tcBorders/>
            <w:vAlign w:val="center"/>
          </w:tcPr>
          <w:p>
            <w:pPr>
              <w:pStyle w:val="TableContents"/>
              <w:bidi w:val="0"/>
              <w:spacing w:before="0" w:after="283"/>
              <w:jc w:val="left"/>
              <w:rPr>
                <w:sz w:val="4"/>
                <w:szCs w:val="4"/>
              </w:rPr>
            </w:pPr>
            <w:r>
              <w:rPr>
                <w:sz w:val="4"/>
                <w:szCs w:val="4"/>
              </w:rPr>
            </w:r>
          </w:p>
        </w:tc>
        <w:tc>
          <w:tcPr>
            <w:tcW w:w="8646" w:type="dxa"/>
            <w:tcBorders/>
            <w:vAlign w:val="center"/>
          </w:tcPr>
          <w:p>
            <w:pPr>
              <w:pStyle w:val="TableContents"/>
              <w:bidi w:val="0"/>
              <w:spacing w:before="0" w:after="283"/>
              <w:ind w:left="0" w:right="0" w:firstLine="80"/>
              <w:jc w:val="left"/>
              <w:rPr>
                <w:sz w:val="4"/>
                <w:szCs w:val="4"/>
              </w:rPr>
            </w:pPr>
            <w:r>
              <w:rPr>
                <w:sz w:val="4"/>
                <w:szCs w:val="4"/>
              </w:rPr>
            </w:r>
          </w:p>
        </w:tc>
      </w:tr>
      <w:tr>
        <w:trPr/>
        <w:tc>
          <w:tcPr>
            <w:tcW w:w="10205" w:type="dxa"/>
            <w:gridSpan w:val="2"/>
            <w:tcBorders/>
            <w:vAlign w:val="center"/>
          </w:tcPr>
          <w:p>
            <w:pPr>
              <w:pStyle w:val="TableContents"/>
              <w:bidi w:val="0"/>
              <w:spacing w:before="120" w:after="120"/>
              <w:ind w:left="0" w:right="0" w:firstLine="80"/>
              <w:jc w:val="both"/>
              <w:rPr>
                <w:rFonts w:ascii="Arial;sans-serif" w:hAnsi="Arial;sans-serif"/>
                <w:b/>
                <w:sz w:val="20"/>
              </w:rPr>
            </w:pPr>
            <w:r>
              <w:rPr>
                <w:rFonts w:ascii="Arial;sans-serif" w:hAnsi="Arial;sans-serif"/>
                <w:b/>
                <w:sz w:val="20"/>
              </w:rPr>
              <w:t>ROBERT L. SCOTT</w:t>
            </w:r>
          </w:p>
        </w:tc>
      </w:tr>
      <w:tr>
        <w:trPr/>
        <w:tc>
          <w:tcPr>
            <w:tcW w:w="1559" w:type="dxa"/>
            <w:vMerge w:val="restart"/>
            <w:tcBorders/>
            <w:vAlign w:val="center"/>
          </w:tcPr>
          <w:p>
            <w:pPr>
              <w:pStyle w:val="TableContents"/>
              <w:bidi w:val="0"/>
              <w:spacing w:before="80" w:after="0"/>
              <w:ind w:left="80" w:right="110" w:hanging="0"/>
              <w:jc w:val="both"/>
              <w:rPr>
                <w:rFonts w:ascii="Times New Roman" w:hAnsi="Times New Roman"/>
                <w:sz w:val="18"/>
              </w:rPr>
            </w:pPr>
            <w:r>
              <w:rPr>
                <w:rFonts w:ascii="Arial;sans-serif" w:hAnsi="Arial;sans-serif"/>
                <w:b/>
                <w:sz w:val="18"/>
              </w:rPr>
              <w:t>Age:</w:t>
            </w:r>
            <w:r>
              <w:rPr>
                <w:rFonts w:ascii="Times New Roman" w:hAnsi="Times New Roman"/>
                <w:sz w:val="18"/>
              </w:rPr>
              <w:t xml:space="preserve"> </w:t>
            </w:r>
            <w:r>
              <w:rPr>
                <w:rFonts w:ascii="Arial;sans-serif" w:hAnsi="Arial;sans-serif"/>
                <w:b w:val="false"/>
                <w:sz w:val="18"/>
              </w:rPr>
              <w:t>77</w:t>
            </w:r>
          </w:p>
          <w:p>
            <w:pPr>
              <w:pStyle w:val="TableContents"/>
              <w:bidi w:val="0"/>
              <w:spacing w:before="120" w:after="0"/>
              <w:ind w:left="80" w:right="110" w:hanging="0"/>
              <w:jc w:val="both"/>
              <w:rPr>
                <w:rFonts w:ascii="Times New Roman" w:hAnsi="Times New Roman"/>
                <w:sz w:val="18"/>
              </w:rPr>
            </w:pPr>
            <w:r>
              <w:rPr>
                <w:rFonts w:ascii="Arial;sans-serif" w:hAnsi="Arial;sans-serif"/>
                <w:b/>
                <w:sz w:val="18"/>
              </w:rPr>
              <w:t>Director since:</w:t>
            </w:r>
            <w:r>
              <w:rPr>
                <w:rFonts w:ascii="Times New Roman" w:hAnsi="Times New Roman"/>
                <w:sz w:val="18"/>
              </w:rPr>
              <w:t xml:space="preserve"> </w:t>
            </w:r>
            <w:r>
              <w:rPr>
                <w:rFonts w:ascii="Arial;sans-serif" w:hAnsi="Arial;sans-serif"/>
                <w:b w:val="false"/>
                <w:sz w:val="18"/>
              </w:rPr>
              <w:t>1999</w:t>
            </w:r>
          </w:p>
          <w:p>
            <w:pPr>
              <w:pStyle w:val="TableContents"/>
              <w:bidi w:val="0"/>
              <w:spacing w:before="120" w:after="0"/>
              <w:ind w:left="80" w:right="110" w:hanging="0"/>
              <w:jc w:val="both"/>
              <w:rPr>
                <w:rFonts w:ascii="Arial;sans-serif" w:hAnsi="Arial;sans-serif"/>
                <w:b/>
                <w:sz w:val="18"/>
              </w:rPr>
            </w:pPr>
            <w:r>
              <w:rPr>
                <w:rFonts w:ascii="Arial;sans-serif" w:hAnsi="Arial;sans-serif"/>
                <w:b/>
                <w:sz w:val="18"/>
              </w:rPr>
              <w:t>Independent</w:t>
            </w:r>
          </w:p>
          <w:p>
            <w:pPr>
              <w:pStyle w:val="TableContents"/>
              <w:bidi w:val="0"/>
              <w:spacing w:before="120" w:after="0"/>
              <w:ind w:left="80" w:right="110" w:hanging="0"/>
              <w:jc w:val="both"/>
              <w:rPr>
                <w:rFonts w:ascii="Arial;sans-serif" w:hAnsi="Arial;sans-serif"/>
                <w:b/>
                <w:sz w:val="18"/>
              </w:rPr>
            </w:pPr>
            <w:r>
              <w:rPr>
                <w:rFonts w:ascii="Arial;sans-serif" w:hAnsi="Arial;sans-serif"/>
                <w:b/>
                <w:sz w:val="18"/>
              </w:rPr>
              <w:t>Board committees:</w:t>
            </w:r>
          </w:p>
          <w:p>
            <w:pPr>
              <w:pStyle w:val="TableContents"/>
              <w:pBdr/>
              <w:bidi w:val="0"/>
              <w:spacing w:before="0" w:after="0"/>
              <w:ind w:left="187" w:right="115" w:hanging="274"/>
              <w:jc w:val="both"/>
              <w:rPr>
                <w:rFonts w:ascii="Arial;sans-serif" w:hAnsi="Arial;sans-serif"/>
                <w:b w:val="false"/>
                <w:sz w:val="18"/>
              </w:rPr>
            </w:pPr>
            <w:r>
              <w:rPr>
                <w:rFonts w:ascii="Arial;sans-serif" w:hAnsi="Arial;sans-serif"/>
                <w:b w:val="false"/>
                <w:sz w:val="18"/>
              </w:rPr>
              <w:t> Audit</w:t>
            </w:r>
          </w:p>
          <w:p>
            <w:pPr>
              <w:pStyle w:val="TableContents"/>
              <w:pBdr/>
              <w:bidi w:val="0"/>
              <w:spacing w:before="0" w:after="0"/>
              <w:ind w:left="187" w:right="115" w:hanging="274"/>
              <w:jc w:val="both"/>
              <w:rPr>
                <w:rFonts w:ascii="Arial;sans-serif" w:hAnsi="Arial;sans-serif"/>
                <w:b w:val="false"/>
                <w:sz w:val="18"/>
              </w:rPr>
            </w:pPr>
            <w:r>
              <w:rPr>
                <w:rFonts w:ascii="Arial;sans-serif" w:hAnsi="Arial;sans-serif"/>
                <w:b w:val="false"/>
                <w:sz w:val="18"/>
              </w:rPr>
              <w:t> NCG</w:t>
            </w:r>
          </w:p>
          <w:p>
            <w:pPr>
              <w:pStyle w:val="TableContents"/>
              <w:bidi w:val="0"/>
              <w:spacing w:before="120" w:after="0"/>
              <w:ind w:left="80" w:right="110" w:hanging="0"/>
              <w:jc w:val="both"/>
              <w:rPr>
                <w:rFonts w:ascii="Arial;sans-serif" w:hAnsi="Arial;sans-serif"/>
                <w:b/>
                <w:sz w:val="18"/>
              </w:rPr>
            </w:pPr>
            <w:r>
              <w:rPr>
                <w:rFonts w:ascii="Arial;sans-serif" w:hAnsi="Arial;sans-serif"/>
                <w:b/>
                <w:sz w:val="18"/>
              </w:rPr>
              <w:t>Other public company boards:</w:t>
            </w:r>
          </w:p>
          <w:p>
            <w:pPr>
              <w:pStyle w:val="TableContents"/>
              <w:pBdr/>
              <w:bidi w:val="0"/>
              <w:spacing w:before="0" w:after="0"/>
              <w:ind w:left="187" w:right="115" w:hanging="274"/>
              <w:jc w:val="both"/>
              <w:rPr>
                <w:rFonts w:ascii="Arial;sans-serif" w:hAnsi="Arial;sans-serif"/>
                <w:b w:val="false"/>
                <w:sz w:val="18"/>
              </w:rPr>
            </w:pPr>
            <w:r>
              <w:rPr>
                <w:rFonts w:ascii="Arial;sans-serif" w:hAnsi="Arial;sans-serif"/>
                <w:b w:val="false"/>
                <w:sz w:val="18"/>
              </w:rPr>
              <w:t> None</w:t>
            </w:r>
          </w:p>
          <w:p>
            <w:pPr>
              <w:pStyle w:val="TableContents"/>
              <w:bidi w:val="0"/>
              <w:spacing w:before="120" w:after="0"/>
              <w:ind w:left="86" w:right="115" w:hanging="0"/>
              <w:jc w:val="both"/>
              <w:rPr>
                <w:rFonts w:ascii="Arial;sans-serif" w:hAnsi="Arial;sans-serif"/>
                <w:b/>
                <w:sz w:val="18"/>
              </w:rPr>
            </w:pPr>
            <w:r>
              <w:rPr>
                <w:rFonts w:ascii="Arial;sans-serif" w:hAnsi="Arial;sans-serif"/>
                <w:b/>
                <w:sz w:val="18"/>
              </w:rPr>
              <w:t>Other public company boards within five years:</w:t>
            </w:r>
          </w:p>
          <w:p>
            <w:pPr>
              <w:pStyle w:val="TableContents"/>
              <w:pBdr/>
              <w:bidi w:val="0"/>
              <w:spacing w:before="0" w:after="0"/>
              <w:ind w:left="0" w:right="0" w:firstLine="80"/>
              <w:jc w:val="both"/>
              <w:rPr>
                <w:rFonts w:ascii="Arial;sans-serif" w:hAnsi="Arial;sans-serif"/>
                <w:b w:val="false"/>
                <w:sz w:val="18"/>
              </w:rPr>
            </w:pPr>
            <w:r>
              <w:rPr>
                <w:rFonts w:ascii="Arial;sans-serif" w:hAnsi="Arial;sans-serif"/>
                <w:b w:val="false"/>
                <w:sz w:val="18"/>
              </w:rPr>
              <w:t> None</w:t>
            </w:r>
          </w:p>
        </w:tc>
        <w:tc>
          <w:tcPr>
            <w:tcW w:w="8646" w:type="dxa"/>
            <w:tcBorders/>
            <w:vAlign w:val="center"/>
          </w:tcPr>
          <w:p>
            <w:pPr>
              <w:pStyle w:val="TableContents"/>
              <w:bidi w:val="0"/>
              <w:spacing w:before="80" w:after="0"/>
              <w:ind w:left="80" w:right="80" w:hanging="0"/>
              <w:jc w:val="both"/>
              <w:rPr>
                <w:rFonts w:ascii="Arial;sans-serif" w:hAnsi="Arial;sans-serif"/>
                <w:b/>
                <w:sz w:val="18"/>
              </w:rPr>
            </w:pPr>
            <w:r>
              <w:rPr>
                <w:rFonts w:ascii="Arial;sans-serif" w:hAnsi="Arial;sans-serif"/>
                <w:b/>
                <w:sz w:val="18"/>
              </w:rPr>
              <w:t>Background:</w:t>
            </w:r>
          </w:p>
          <w:p>
            <w:pPr>
              <w:pStyle w:val="TableContents"/>
              <w:bidi w:val="0"/>
              <w:spacing w:before="0" w:after="0"/>
              <w:ind w:left="0" w:right="0" w:firstLine="80"/>
              <w:jc w:val="left"/>
              <w:rPr>
                <w:rFonts w:ascii="Arial;sans-serif" w:hAnsi="Arial;sans-serif"/>
                <w:b w:val="false"/>
                <w:sz w:val="18"/>
              </w:rPr>
            </w:pPr>
            <w:r>
              <w:rPr>
                <w:rFonts w:ascii="Arial;sans-serif" w:hAnsi="Arial;sans-serif"/>
                <w:b w:val="false"/>
                <w:sz w:val="18"/>
              </w:rPr>
              <w:t>Mr. Scott has served as our Chairman since 2020. He also serves as Chairman of the National Shooting Sports Foundation, or NSSF, and served from 2005 to 2008 on the board of directors of the Sporting Arms and Ammunition Manufacturers' Institute, or SAAMI. Mr. Scott served as a consultant to us (2004 to 2006); our President (1999 to 2002); Chairman of our wholly owned subsidiary, Smith &amp; Wesson Corp. (2003); and President of Smith &amp; Wesson Corp. (2001 to 2002). From 1989 to 1999, he served as Vice President of Sales and Marketing and later as Vice President of Business Development of Smith &amp; Wesson Corp. prior to its acquisition by us. Prior to that, Mr. Scott served in senior positions with Berkley &amp; Company and Tasco Sales Inc., two leading companies in the outdoor industry. He previously served as a director of Primos Hunting, a leader in the hunting category, and OPT Holdings, a hunting accessories marketer.</w:t>
            </w:r>
          </w:p>
        </w:tc>
      </w:tr>
      <w:tr>
        <w:trPr/>
        <w:tc>
          <w:tcPr>
            <w:tcW w:w="1559" w:type="dxa"/>
            <w:vMerge w:val="continue"/>
            <w:tcBorders/>
            <w:vAlign w:val="center"/>
          </w:tcPr>
          <w:p>
            <w:pPr>
              <w:pStyle w:val="Normal"/>
              <w:bidi w:val="0"/>
              <w:jc w:val="left"/>
              <w:rPr/>
            </w:pPr>
            <w:r>
              <w:rPr/>
            </w:r>
          </w:p>
        </w:tc>
        <w:tc>
          <w:tcPr>
            <w:tcW w:w="8646" w:type="dxa"/>
            <w:tcBorders/>
            <w:vAlign w:val="center"/>
          </w:tcPr>
          <w:p>
            <w:pPr>
              <w:pStyle w:val="TableContents"/>
              <w:bidi w:val="0"/>
              <w:spacing w:before="80" w:after="0"/>
              <w:ind w:left="80" w:right="80" w:hanging="0"/>
              <w:jc w:val="left"/>
              <w:rPr>
                <w:rFonts w:ascii="Arial;sans-serif" w:hAnsi="Arial;sans-serif"/>
                <w:b/>
                <w:sz w:val="18"/>
              </w:rPr>
            </w:pPr>
            <w:r>
              <w:rPr>
                <w:rFonts w:ascii="Arial;sans-serif" w:hAnsi="Arial;sans-serif"/>
                <w:b/>
                <w:sz w:val="18"/>
              </w:rPr>
              <w:t>Key Qualifications and Skills Include:</w:t>
            </w:r>
          </w:p>
          <w:p>
            <w:pPr>
              <w:pStyle w:val="TableContents"/>
              <w:bidi w:val="0"/>
              <w:spacing w:before="0" w:after="0"/>
              <w:ind w:left="0" w:right="0" w:hanging="0"/>
              <w:jc w:val="both"/>
              <w:rPr/>
            </w:pPr>
            <w:r>
              <w:rPr/>
              <w:t>   </w:t>
            </w:r>
            <w:r>
              <w:rPr>
                <w:rFonts w:ascii="Arial;sans-serif" w:hAnsi="Arial;sans-serif"/>
                <w:b/>
                <w:sz w:val="18"/>
              </w:rPr>
              <w:t>Executive</w:t>
            </w:r>
            <w:r>
              <w:rPr>
                <w:rFonts w:ascii="Arial;sans-serif" w:hAnsi="Arial;sans-serif"/>
                <w:b w:val="false"/>
                <w:sz w:val="18"/>
              </w:rPr>
              <w:t>. Our former President, VP of Sales and Marketing, and</w:t>
            </w:r>
            <w:r>
              <w:rPr>
                <w:rFonts w:ascii="Times New Roman" w:hAnsi="Times New Roman"/>
                <w:sz w:val="18"/>
              </w:rPr>
              <w:t xml:space="preserve"> </w:t>
            </w:r>
          </w:p>
          <w:p>
            <w:pPr>
              <w:pStyle w:val="TableContents"/>
              <w:bidi w:val="0"/>
              <w:spacing w:before="0" w:after="0"/>
              <w:ind w:left="0" w:right="0" w:hanging="0"/>
              <w:jc w:val="both"/>
              <w:rPr>
                <w:rFonts w:ascii="Arial;sans-serif" w:hAnsi="Arial;sans-serif"/>
                <w:b w:val="false"/>
                <w:sz w:val="18"/>
              </w:rPr>
            </w:pPr>
            <w:r>
              <w:rPr>
                <w:rFonts w:ascii="Arial;sans-serif" w:hAnsi="Arial;sans-serif"/>
                <w:b w:val="false"/>
                <w:sz w:val="18"/>
              </w:rPr>
              <w:t>VP of Business Development</w:t>
            </w:r>
          </w:p>
          <w:p>
            <w:pPr>
              <w:pStyle w:val="TableContents"/>
              <w:bidi w:val="0"/>
              <w:spacing w:before="20" w:after="0"/>
              <w:ind w:left="0" w:right="0" w:hanging="0"/>
              <w:jc w:val="both"/>
              <w:rPr/>
            </w:pPr>
            <w:r>
              <w:rPr/>
              <w:t>   </w:t>
            </w:r>
            <w:r>
              <w:rPr>
                <w:rFonts w:ascii="Arial;sans-serif" w:hAnsi="Arial;sans-serif"/>
                <w:b/>
                <w:sz w:val="18"/>
              </w:rPr>
              <w:t>Regulated Industry/Government</w:t>
            </w:r>
            <w:r>
              <w:rPr>
                <w:rFonts w:ascii="Arial;sans-serif" w:hAnsi="Arial;sans-serif"/>
                <w:b w:val="false"/>
                <w:sz w:val="18"/>
              </w:rPr>
              <w:t>. Extensive leadership experience in</w:t>
            </w:r>
          </w:p>
          <w:p>
            <w:pPr>
              <w:pStyle w:val="TableContents"/>
              <w:bidi w:val="0"/>
              <w:spacing w:before="0" w:after="0"/>
              <w:ind w:left="0" w:right="0" w:hanging="0"/>
              <w:jc w:val="both"/>
              <w:rPr>
                <w:rFonts w:ascii="Arial;sans-serif" w:hAnsi="Arial;sans-serif"/>
                <w:b w:val="false"/>
                <w:sz w:val="18"/>
              </w:rPr>
            </w:pPr>
            <w:r>
              <w:rPr>
                <w:rFonts w:ascii="Arial;sans-serif" w:hAnsi="Arial;sans-serif"/>
                <w:b w:val="false"/>
                <w:sz w:val="18"/>
              </w:rPr>
              <w:t>firearm and outdoor industries through affiliations with us, NSSF, SAAMI,</w:t>
            </w:r>
          </w:p>
          <w:p>
            <w:pPr>
              <w:pStyle w:val="TableContents"/>
              <w:bidi w:val="0"/>
              <w:spacing w:before="0" w:after="0"/>
              <w:ind w:left="0" w:right="0" w:hanging="0"/>
              <w:jc w:val="both"/>
              <w:rPr/>
            </w:pPr>
            <w:r>
              <w:rPr/>
              <w:t>   </w:t>
            </w:r>
            <w:r>
              <w:rPr>
                <w:rFonts w:ascii="Arial;sans-serif" w:hAnsi="Arial;sans-serif"/>
                <w:b w:val="false"/>
                <w:sz w:val="18"/>
              </w:rPr>
              <w:t>Primos Hunting, and OPT Holdings</w:t>
            </w:r>
          </w:p>
          <w:p>
            <w:pPr>
              <w:pStyle w:val="TableContents"/>
              <w:bidi w:val="0"/>
              <w:spacing w:before="20" w:after="0"/>
              <w:ind w:left="0" w:right="0" w:hanging="0"/>
              <w:jc w:val="both"/>
              <w:rPr/>
            </w:pPr>
            <w:r>
              <w:rPr/>
              <w:t>   </w:t>
            </w:r>
            <w:r>
              <w:rPr>
                <w:rFonts w:ascii="Arial;sans-serif" w:hAnsi="Arial;sans-serif"/>
                <w:b/>
                <w:sz w:val="18"/>
              </w:rPr>
              <w:t>Sales and Marketing</w:t>
            </w:r>
            <w:r>
              <w:rPr>
                <w:rFonts w:ascii="Arial;sans-serif" w:hAnsi="Arial;sans-serif"/>
                <w:b w:val="false"/>
                <w:sz w:val="18"/>
              </w:rPr>
              <w:t>. Our former VP of Sales and Marketing;</w:t>
            </w:r>
            <w:r>
              <w:rPr>
                <w:rFonts w:ascii="Times New Roman" w:hAnsi="Times New Roman"/>
                <w:sz w:val="18"/>
              </w:rPr>
              <w:t xml:space="preserve"> </w:t>
            </w:r>
          </w:p>
          <w:p>
            <w:pPr>
              <w:pStyle w:val="TableContents"/>
              <w:bidi w:val="0"/>
              <w:spacing w:before="0" w:after="0"/>
              <w:ind w:left="0" w:right="0" w:firstLine="80"/>
              <w:jc w:val="left"/>
              <w:rPr>
                <w:rFonts w:ascii="Arial;sans-serif" w:hAnsi="Arial;sans-serif"/>
                <w:b w:val="false"/>
                <w:sz w:val="18"/>
              </w:rPr>
            </w:pPr>
            <w:r>
              <w:rPr>
                <w:rFonts w:ascii="Arial;sans-serif" w:hAnsi="Arial;sans-serif"/>
                <w:b w:val="false"/>
                <w:sz w:val="18"/>
              </w:rPr>
              <w:t>previously served in senior sales roles with Berkley and Tasco Sales</w:t>
            </w:r>
          </w:p>
        </w:tc>
      </w:tr>
      <w:tr>
        <w:trPr/>
        <w:tc>
          <w:tcPr>
            <w:tcW w:w="10205" w:type="dxa"/>
            <w:gridSpan w:val="2"/>
            <w:tcBorders/>
            <w:vAlign w:val="center"/>
          </w:tcPr>
          <w:p>
            <w:pPr>
              <w:pStyle w:val="TableContents"/>
              <w:bidi w:val="0"/>
              <w:spacing w:before="120" w:after="120"/>
              <w:ind w:left="0" w:right="0" w:firstLine="80"/>
              <w:jc w:val="both"/>
              <w:rPr>
                <w:rFonts w:ascii="Arial;sans-serif" w:hAnsi="Arial;sans-serif"/>
                <w:b/>
                <w:sz w:val="20"/>
              </w:rPr>
            </w:pPr>
            <w:r>
              <w:rPr>
                <w:rFonts w:ascii="Arial;sans-serif" w:hAnsi="Arial;sans-serif"/>
                <w:b/>
                <w:sz w:val="20"/>
              </w:rPr>
              <w:t>MARK P. SMITH</w:t>
            </w:r>
          </w:p>
        </w:tc>
      </w:tr>
      <w:tr>
        <w:trPr/>
        <w:tc>
          <w:tcPr>
            <w:tcW w:w="1559" w:type="dxa"/>
            <w:vMerge w:val="restart"/>
            <w:tcBorders/>
            <w:vAlign w:val="center"/>
          </w:tcPr>
          <w:p>
            <w:pPr>
              <w:pStyle w:val="TableContents"/>
              <w:bidi w:val="0"/>
              <w:spacing w:before="80" w:after="120"/>
              <w:ind w:left="80" w:right="110" w:hanging="0"/>
              <w:jc w:val="both"/>
              <w:rPr>
                <w:rFonts w:ascii="Times New Roman" w:hAnsi="Times New Roman"/>
                <w:sz w:val="18"/>
              </w:rPr>
            </w:pPr>
            <w:r>
              <w:rPr>
                <w:rFonts w:ascii="Arial;sans-serif" w:hAnsi="Arial;sans-serif"/>
                <w:b/>
                <w:sz w:val="18"/>
              </w:rPr>
              <w:t>Age:</w:t>
            </w:r>
            <w:r>
              <w:rPr>
                <w:rFonts w:ascii="Times New Roman" w:hAnsi="Times New Roman"/>
                <w:sz w:val="18"/>
              </w:rPr>
              <w:t xml:space="preserve"> </w:t>
            </w:r>
            <w:r>
              <w:rPr>
                <w:rFonts w:ascii="Arial;sans-serif" w:hAnsi="Arial;sans-serif"/>
                <w:b w:val="false"/>
                <w:sz w:val="18"/>
              </w:rPr>
              <w:t>47</w:t>
            </w:r>
          </w:p>
          <w:p>
            <w:pPr>
              <w:pStyle w:val="TableContents"/>
              <w:bidi w:val="0"/>
              <w:spacing w:before="120" w:after="120"/>
              <w:ind w:left="80" w:right="110" w:hanging="0"/>
              <w:jc w:val="both"/>
              <w:rPr>
                <w:rFonts w:ascii="Times New Roman" w:hAnsi="Times New Roman"/>
                <w:sz w:val="18"/>
              </w:rPr>
            </w:pPr>
            <w:r>
              <w:rPr>
                <w:rFonts w:ascii="Arial;sans-serif" w:hAnsi="Arial;sans-serif"/>
                <w:b/>
                <w:sz w:val="18"/>
              </w:rPr>
              <w:t>Director since:</w:t>
            </w:r>
            <w:r>
              <w:rPr>
                <w:rFonts w:ascii="Times New Roman" w:hAnsi="Times New Roman"/>
                <w:sz w:val="18"/>
              </w:rPr>
              <w:t xml:space="preserve"> </w:t>
            </w:r>
            <w:r>
              <w:rPr>
                <w:rFonts w:ascii="Arial;sans-serif" w:hAnsi="Arial;sans-serif"/>
                <w:b w:val="false"/>
                <w:sz w:val="18"/>
              </w:rPr>
              <w:t>2020</w:t>
            </w:r>
          </w:p>
          <w:p>
            <w:pPr>
              <w:pStyle w:val="TableContents"/>
              <w:bidi w:val="0"/>
              <w:spacing w:before="120" w:after="120"/>
              <w:ind w:left="80" w:right="110" w:hanging="0"/>
              <w:jc w:val="both"/>
              <w:rPr>
                <w:rFonts w:ascii="Arial;sans-serif" w:hAnsi="Arial;sans-serif"/>
                <w:b/>
                <w:sz w:val="18"/>
              </w:rPr>
            </w:pPr>
            <w:r>
              <w:rPr>
                <w:rFonts w:ascii="Arial;sans-serif" w:hAnsi="Arial;sans-serif"/>
                <w:b/>
                <w:sz w:val="18"/>
              </w:rPr>
              <w:t>Not Independent</w:t>
            </w:r>
          </w:p>
          <w:p>
            <w:pPr>
              <w:pStyle w:val="TableContents"/>
              <w:bidi w:val="0"/>
              <w:spacing w:before="120" w:after="0"/>
              <w:ind w:left="86" w:right="115" w:hanging="0"/>
              <w:jc w:val="both"/>
              <w:rPr>
                <w:rFonts w:ascii="Arial;sans-serif" w:hAnsi="Arial;sans-serif"/>
                <w:b/>
                <w:sz w:val="18"/>
              </w:rPr>
            </w:pPr>
            <w:r>
              <w:rPr>
                <w:rFonts w:ascii="Arial;sans-serif" w:hAnsi="Arial;sans-serif"/>
                <w:b/>
                <w:sz w:val="18"/>
              </w:rPr>
              <w:t>Board committees:</w:t>
            </w:r>
          </w:p>
          <w:p>
            <w:pPr>
              <w:pStyle w:val="TableContents"/>
              <w:pBdr/>
              <w:bidi w:val="0"/>
              <w:spacing w:before="0" w:after="0"/>
              <w:ind w:left="187" w:right="115" w:hanging="274"/>
              <w:jc w:val="both"/>
              <w:rPr>
                <w:rFonts w:ascii="Arial;sans-serif" w:hAnsi="Arial;sans-serif"/>
                <w:b w:val="false"/>
                <w:sz w:val="18"/>
              </w:rPr>
            </w:pPr>
            <w:r>
              <w:rPr>
                <w:rFonts w:ascii="Arial;sans-serif" w:hAnsi="Arial;sans-serif"/>
                <w:b w:val="false"/>
                <w:sz w:val="18"/>
              </w:rPr>
              <w:t> None</w:t>
            </w:r>
          </w:p>
          <w:p>
            <w:pPr>
              <w:pStyle w:val="TableContents"/>
              <w:bidi w:val="0"/>
              <w:spacing w:before="120" w:after="0"/>
              <w:ind w:left="86" w:right="115" w:hanging="0"/>
              <w:jc w:val="both"/>
              <w:rPr>
                <w:rFonts w:ascii="Arial;sans-serif" w:hAnsi="Arial;sans-serif"/>
                <w:b/>
                <w:sz w:val="18"/>
              </w:rPr>
            </w:pPr>
            <w:r>
              <w:rPr>
                <w:rFonts w:ascii="Arial;sans-serif" w:hAnsi="Arial;sans-serif"/>
                <w:b/>
                <w:sz w:val="18"/>
              </w:rPr>
              <w:t>Other public company boards:</w:t>
            </w:r>
          </w:p>
          <w:p>
            <w:pPr>
              <w:pStyle w:val="TableContents"/>
              <w:pBdr/>
              <w:bidi w:val="0"/>
              <w:spacing w:before="0" w:after="0"/>
              <w:ind w:left="187" w:right="115" w:hanging="274"/>
              <w:jc w:val="both"/>
              <w:rPr>
                <w:rFonts w:ascii="Arial;sans-serif" w:hAnsi="Arial;sans-serif"/>
                <w:b w:val="false"/>
                <w:sz w:val="18"/>
              </w:rPr>
            </w:pPr>
            <w:r>
              <w:rPr>
                <w:rFonts w:ascii="Arial;sans-serif" w:hAnsi="Arial;sans-serif"/>
                <w:b w:val="false"/>
                <w:sz w:val="18"/>
              </w:rPr>
              <w:t> None</w:t>
            </w:r>
          </w:p>
          <w:p>
            <w:pPr>
              <w:pStyle w:val="TableContents"/>
              <w:bidi w:val="0"/>
              <w:spacing w:before="120" w:after="0"/>
              <w:ind w:left="86" w:right="115" w:hanging="0"/>
              <w:jc w:val="both"/>
              <w:rPr>
                <w:rFonts w:ascii="Arial;sans-serif" w:hAnsi="Arial;sans-serif"/>
                <w:b/>
                <w:sz w:val="18"/>
              </w:rPr>
            </w:pPr>
            <w:r>
              <w:rPr>
                <w:rFonts w:ascii="Arial;sans-serif" w:hAnsi="Arial;sans-serif"/>
                <w:b/>
                <w:sz w:val="18"/>
              </w:rPr>
              <w:t>Other public company boards within five years:</w:t>
            </w:r>
          </w:p>
          <w:p>
            <w:pPr>
              <w:pStyle w:val="TableContents"/>
              <w:pBdr/>
              <w:bidi w:val="0"/>
              <w:spacing w:before="0" w:after="0"/>
              <w:ind w:left="0" w:right="0" w:firstLine="80"/>
              <w:jc w:val="both"/>
              <w:rPr>
                <w:rFonts w:ascii="Arial;sans-serif" w:hAnsi="Arial;sans-serif"/>
                <w:b w:val="false"/>
                <w:sz w:val="18"/>
              </w:rPr>
            </w:pPr>
            <w:r>
              <w:rPr>
                <w:rFonts w:ascii="Arial;sans-serif" w:hAnsi="Arial;sans-serif"/>
                <w:b w:val="false"/>
                <w:sz w:val="18"/>
              </w:rPr>
              <w:t> None</w:t>
            </w:r>
          </w:p>
        </w:tc>
        <w:tc>
          <w:tcPr>
            <w:tcW w:w="8646" w:type="dxa"/>
            <w:tcBorders/>
            <w:vAlign w:val="center"/>
          </w:tcPr>
          <w:p>
            <w:pPr>
              <w:pStyle w:val="TableContents"/>
              <w:bidi w:val="0"/>
              <w:spacing w:before="80" w:after="0"/>
              <w:ind w:left="80" w:right="80" w:hanging="0"/>
              <w:jc w:val="both"/>
              <w:rPr>
                <w:rFonts w:ascii="Arial;sans-serif" w:hAnsi="Arial;sans-serif"/>
                <w:b/>
                <w:sz w:val="18"/>
              </w:rPr>
            </w:pPr>
            <w:r>
              <w:rPr>
                <w:rFonts w:ascii="Arial;sans-serif" w:hAnsi="Arial;sans-serif"/>
                <w:b/>
                <w:sz w:val="18"/>
              </w:rPr>
              <w:t>Background:</w:t>
            </w:r>
          </w:p>
          <w:p>
            <w:pPr>
              <w:pStyle w:val="TableContents"/>
              <w:bidi w:val="0"/>
              <w:spacing w:before="0" w:after="0"/>
              <w:ind w:left="0" w:right="0" w:firstLine="80"/>
              <w:jc w:val="left"/>
              <w:rPr>
                <w:rFonts w:ascii="Arial;sans-serif" w:hAnsi="Arial;sans-serif"/>
                <w:b w:val="false"/>
                <w:sz w:val="18"/>
              </w:rPr>
            </w:pPr>
            <w:r>
              <w:rPr>
                <w:rFonts w:ascii="Arial;sans-serif" w:hAnsi="Arial;sans-serif"/>
                <w:b w:val="false"/>
                <w:sz w:val="18"/>
              </w:rPr>
              <w:t>Mr. Smith has served as our President and CEO and as a director since August 2020. Since joining us in 2010, he has served in a number of roles with increasing responsibility, including Vice President of Supply Chain Management (2010 to 2011), Vice President of Manufacturing and Supply Chain Management (2011 to 2016), President, Manufacturing Services (2016 to 2020), and Co-President and Co-Chief Executive Officer (January 2020 to August 2020). Prior to joining us, Mr. Smith served as Director Supply Chain Solutions for Alvarez &amp; Marsal Business Consulting, LLC (2007 to 2010), in various positions with Ecolab, Inc. (2001 to 2007) and as a Production Supervisor for Bell Aromatics (1999 to 2001).</w:t>
            </w:r>
          </w:p>
        </w:tc>
      </w:tr>
      <w:tr>
        <w:trPr/>
        <w:tc>
          <w:tcPr>
            <w:tcW w:w="1559" w:type="dxa"/>
            <w:vMerge w:val="continue"/>
            <w:tcBorders/>
            <w:vAlign w:val="center"/>
          </w:tcPr>
          <w:p>
            <w:pPr>
              <w:pStyle w:val="Normal"/>
              <w:bidi w:val="0"/>
              <w:jc w:val="left"/>
              <w:rPr/>
            </w:pPr>
            <w:r>
              <w:rPr/>
            </w:r>
          </w:p>
        </w:tc>
        <w:tc>
          <w:tcPr>
            <w:tcW w:w="8646" w:type="dxa"/>
            <w:tcBorders/>
            <w:vAlign w:val="center"/>
          </w:tcPr>
          <w:p>
            <w:pPr>
              <w:pStyle w:val="TableContents"/>
              <w:bidi w:val="0"/>
              <w:spacing w:before="80" w:after="0"/>
              <w:ind w:left="80" w:right="80" w:hanging="0"/>
              <w:jc w:val="left"/>
              <w:rPr>
                <w:rFonts w:ascii="Arial;sans-serif" w:hAnsi="Arial;sans-serif"/>
                <w:b/>
                <w:sz w:val="18"/>
              </w:rPr>
            </w:pPr>
            <w:r>
              <w:rPr>
                <w:rFonts w:ascii="Arial;sans-serif" w:hAnsi="Arial;sans-serif"/>
                <w:b/>
                <w:sz w:val="18"/>
              </w:rPr>
              <w:t>Key Qualifications and Skills Include:</w:t>
            </w:r>
          </w:p>
          <w:p>
            <w:pPr>
              <w:pStyle w:val="TableContents"/>
              <w:bidi w:val="0"/>
              <w:spacing w:before="0" w:after="0"/>
              <w:ind w:left="0" w:right="0" w:hanging="0"/>
              <w:jc w:val="both"/>
              <w:rPr/>
            </w:pPr>
            <w:r>
              <w:rPr/>
              <w:t>    </w:t>
            </w:r>
            <w:r>
              <w:rPr>
                <w:rFonts w:ascii="Arial;sans-serif" w:hAnsi="Arial;sans-serif"/>
                <w:b/>
                <w:sz w:val="18"/>
              </w:rPr>
              <w:t>Executive</w:t>
            </w:r>
            <w:r>
              <w:rPr>
                <w:rFonts w:ascii="Arial;sans-serif" w:hAnsi="Arial;sans-serif"/>
                <w:b w:val="false"/>
                <w:sz w:val="18"/>
              </w:rPr>
              <w:t>. Our President and CEO</w:t>
            </w:r>
          </w:p>
          <w:p>
            <w:pPr>
              <w:pStyle w:val="TableContents"/>
              <w:bidi w:val="0"/>
              <w:spacing w:before="20" w:after="0"/>
              <w:ind w:left="0" w:right="0" w:hanging="0"/>
              <w:jc w:val="both"/>
              <w:rPr/>
            </w:pPr>
            <w:r>
              <w:rPr/>
              <w:t>    </w:t>
            </w:r>
            <w:r>
              <w:rPr>
                <w:rFonts w:ascii="Arial;sans-serif" w:hAnsi="Arial;sans-serif"/>
                <w:b/>
                <w:sz w:val="18"/>
              </w:rPr>
              <w:t>Manufacturing</w:t>
            </w:r>
            <w:r>
              <w:rPr>
                <w:rFonts w:ascii="Arial;sans-serif" w:hAnsi="Arial;sans-serif"/>
                <w:b w:val="false"/>
                <w:sz w:val="18"/>
              </w:rPr>
              <w:t>. Extensive operations experience gained through roles with us,</w:t>
            </w:r>
          </w:p>
          <w:p>
            <w:pPr>
              <w:pStyle w:val="TableContents"/>
              <w:bidi w:val="0"/>
              <w:spacing w:before="0" w:after="0"/>
              <w:ind w:left="0" w:right="0" w:hanging="0"/>
              <w:jc w:val="both"/>
              <w:rPr/>
            </w:pPr>
            <w:r>
              <w:rPr/>
              <w:t>  </w:t>
            </w:r>
            <w:r>
              <w:rPr>
                <w:rFonts w:ascii="Arial;sans-serif" w:hAnsi="Arial;sans-serif"/>
                <w:b w:val="false"/>
                <w:sz w:val="18"/>
              </w:rPr>
              <w:t>including as President, Manufacturing Services and VP of</w:t>
            </w:r>
          </w:p>
          <w:p>
            <w:pPr>
              <w:pStyle w:val="TableContents"/>
              <w:bidi w:val="0"/>
              <w:spacing w:before="0" w:after="0"/>
              <w:ind w:left="0" w:right="0" w:hanging="0"/>
              <w:jc w:val="left"/>
              <w:rPr/>
            </w:pPr>
            <w:r>
              <w:rPr/>
              <w:t>    </w:t>
            </w:r>
            <w:r>
              <w:rPr>
                <w:rFonts w:ascii="Arial;sans-serif" w:hAnsi="Arial;sans-serif"/>
                <w:b w:val="false"/>
                <w:sz w:val="18"/>
              </w:rPr>
              <w:t>Manufacturing and Supply Chain Management, and Alvarez &amp; Marsal</w:t>
            </w:r>
          </w:p>
          <w:p>
            <w:pPr>
              <w:pStyle w:val="TableContents"/>
              <w:bidi w:val="0"/>
              <w:spacing w:before="20" w:after="0"/>
              <w:ind w:left="0" w:right="0" w:hanging="0"/>
              <w:jc w:val="both"/>
              <w:rPr/>
            </w:pPr>
            <w:r>
              <w:rPr/>
              <w:t>    </w:t>
            </w:r>
            <w:r>
              <w:rPr>
                <w:rFonts w:ascii="Arial;sans-serif" w:hAnsi="Arial;sans-serif"/>
                <w:b/>
                <w:sz w:val="18"/>
              </w:rPr>
              <w:t>Regulated Industry/Government</w:t>
            </w:r>
            <w:r>
              <w:rPr>
                <w:rFonts w:ascii="Arial;sans-serif" w:hAnsi="Arial;sans-serif"/>
                <w:b w:val="false"/>
                <w:sz w:val="18"/>
              </w:rPr>
              <w:t>. Extensive leadership experience in</w:t>
            </w:r>
          </w:p>
          <w:p>
            <w:pPr>
              <w:pStyle w:val="TableContents"/>
              <w:bidi w:val="0"/>
              <w:spacing w:before="0" w:after="0"/>
              <w:ind w:left="0" w:right="0" w:hanging="0"/>
              <w:jc w:val="both"/>
              <w:rPr/>
            </w:pPr>
            <w:r>
              <w:rPr/>
              <w:t>  </w:t>
            </w:r>
            <w:r>
              <w:rPr>
                <w:rFonts w:ascii="Arial;sans-serif" w:hAnsi="Arial;sans-serif"/>
                <w:b w:val="false"/>
                <w:sz w:val="18"/>
              </w:rPr>
              <w:t>firearm industry through affiliation with us</w:t>
            </w:r>
          </w:p>
        </w:tc>
      </w:tr>
    </w:tbl>
    <w:p>
      <w:pPr>
        <w:pStyle w:val="TextBody"/>
        <w:bidi w:val="0"/>
        <w:spacing w:before="0" w:after="0"/>
        <w:jc w:val="both"/>
        <w:rPr/>
      </w:pPr>
      <w:r>
        <w:rPr/>
        <w:t> </w:t>
      </w:r>
    </w:p>
    <w:p>
      <w:pPr>
        <w:pStyle w:val="TextBody"/>
        <w:bidi w:val="0"/>
        <w:spacing w:before="0" w:after="0"/>
        <w:jc w:val="left"/>
        <w:rPr/>
      </w:pPr>
      <w:r>
        <w:rPr/>
        <w:t> </w:t>
      </w:r>
    </w:p>
    <w:tbl>
      <w:tblPr>
        <w:tblW w:w="3657" w:type="dxa"/>
        <w:jc w:val="left"/>
        <w:tblInd w:w="0" w:type="dxa"/>
        <w:tblLayout w:type="fixed"/>
        <w:tblCellMar>
          <w:top w:w="28" w:type="dxa"/>
          <w:left w:w="28" w:type="dxa"/>
          <w:bottom w:w="28" w:type="dxa"/>
          <w:right w:w="28" w:type="dxa"/>
        </w:tblCellMar>
      </w:tblPr>
      <w:tblGrid>
        <w:gridCol w:w="2161"/>
        <w:gridCol w:w="1496"/>
      </w:tblGrid>
      <w:tr>
        <w:trPr/>
        <w:tc>
          <w:tcPr>
            <w:tcW w:w="2161"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2161" w:type="dxa"/>
            <w:tcBorders/>
            <w:vAlign w:val="center"/>
          </w:tcPr>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8</w:t>
            </w:r>
            <w:r>
              <w:rPr>
                <w:rFonts w:ascii="Times New Roman" w:hAnsi="Times New Roman"/>
                <w:sz w:val="18"/>
              </w:rPr>
              <w:t> </w:t>
            </w:r>
            <w:r>
              <w:rPr>
                <w:rFonts w:ascii="Arial;sans-serif" w:hAnsi="Arial;sans-serif"/>
                <w:b w:val="false"/>
                <w:sz w:val="18"/>
              </w:rPr>
              <w:t>I 2023 Proxy Statement</w:t>
            </w:r>
          </w:p>
        </w:tc>
        <w:tc>
          <w:tcPr>
            <w:tcW w:w="1496" w:type="dxa"/>
            <w:tcBorders/>
            <w:vAlign w:val="center"/>
          </w:tcPr>
          <w:p>
            <w:pPr>
              <w:pStyle w:val="TableContents"/>
              <w:bidi w:val="0"/>
              <w:spacing w:before="0" w:after="0"/>
              <w:ind w:left="0" w:right="0" w:hanging="0"/>
              <w:jc w:val="right"/>
              <w:rPr/>
            </w:pPr>
            <w:r>
              <w:rPr/>
              <w:drawing>
                <wp:inline distT="0" distB="0" distL="0" distR="0">
                  <wp:extent cx="828675" cy="1905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828675" cy="190500"/>
                          </a:xfrm>
                          <a:prstGeom prst="rect">
                            <a:avLst/>
                          </a:prstGeom>
                        </pic:spPr>
                      </pic:pic>
                    </a:graphicData>
                  </a:graphic>
                </wp:inline>
              </w:drawing>
            </w: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3027" w:type="dxa"/>
        <w:jc w:val="left"/>
        <w:tblInd w:w="0" w:type="dxa"/>
        <w:tblLayout w:type="fixed"/>
        <w:tblCellMar>
          <w:top w:w="28" w:type="dxa"/>
          <w:left w:w="28" w:type="dxa"/>
          <w:bottom w:w="28" w:type="dxa"/>
          <w:right w:w="28" w:type="dxa"/>
        </w:tblCellMar>
      </w:tblPr>
      <w:tblGrid>
        <w:gridCol w:w="2836"/>
        <w:gridCol w:w="191"/>
      </w:tblGrid>
      <w:tr>
        <w:trPr/>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Board and Governance Matters</w:t>
            </w:r>
          </w:p>
        </w:tc>
        <w:tc>
          <w:tcPr>
            <w:tcW w:w="191" w:type="dxa"/>
            <w:tcBorders/>
            <w:vAlign w:val="center"/>
          </w:tcPr>
          <w:p>
            <w:pPr>
              <w:pStyle w:val="TableContents"/>
              <w:bidi w:val="0"/>
              <w:spacing w:before="0" w:after="0"/>
              <w:ind w:left="0" w:right="0" w:hanging="0"/>
              <w:jc w:val="left"/>
              <w:rPr/>
            </w:pPr>
            <w:r>
              <w:rPr/>
              <w:t> </w:t>
            </w:r>
          </w:p>
        </w:tc>
      </w:tr>
      <w:tr>
        <w:trPr/>
        <w:tc>
          <w:tcPr>
            <w:tcW w:w="283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1977"/>
        <w:gridCol w:w="8228"/>
      </w:tblGrid>
      <w:tr>
        <w:trPr/>
        <w:tc>
          <w:tcPr>
            <w:tcW w:w="1977" w:type="dxa"/>
            <w:tcBorders/>
            <w:vAlign w:val="center"/>
          </w:tcPr>
          <w:p>
            <w:pPr>
              <w:pStyle w:val="TableContents"/>
              <w:bidi w:val="0"/>
              <w:spacing w:before="0" w:after="283"/>
              <w:jc w:val="left"/>
              <w:rPr>
                <w:sz w:val="4"/>
                <w:szCs w:val="4"/>
              </w:rPr>
            </w:pPr>
            <w:r>
              <w:rPr>
                <w:sz w:val="4"/>
                <w:szCs w:val="4"/>
              </w:rPr>
            </w:r>
          </w:p>
        </w:tc>
        <w:tc>
          <w:tcPr>
            <w:tcW w:w="8228" w:type="dxa"/>
            <w:tcBorders/>
            <w:vAlign w:val="center"/>
          </w:tcPr>
          <w:p>
            <w:pPr>
              <w:pStyle w:val="TableContents"/>
              <w:bidi w:val="0"/>
              <w:spacing w:before="0" w:after="283"/>
              <w:ind w:left="0" w:right="0" w:firstLine="80"/>
              <w:jc w:val="left"/>
              <w:rPr>
                <w:sz w:val="4"/>
                <w:szCs w:val="4"/>
              </w:rPr>
            </w:pPr>
            <w:r>
              <w:rPr>
                <w:sz w:val="4"/>
                <w:szCs w:val="4"/>
              </w:rPr>
            </w:r>
          </w:p>
        </w:tc>
      </w:tr>
      <w:tr>
        <w:trPr/>
        <w:tc>
          <w:tcPr>
            <w:tcW w:w="10205" w:type="dxa"/>
            <w:gridSpan w:val="2"/>
            <w:tcBorders/>
            <w:vAlign w:val="center"/>
          </w:tcPr>
          <w:p>
            <w:pPr>
              <w:pStyle w:val="TableContents"/>
              <w:bidi w:val="0"/>
              <w:spacing w:before="120" w:after="120"/>
              <w:ind w:left="0" w:right="0" w:firstLine="80"/>
              <w:jc w:val="both"/>
              <w:rPr>
                <w:rFonts w:ascii="Arial;sans-serif" w:hAnsi="Arial;sans-serif"/>
                <w:b/>
                <w:sz w:val="20"/>
              </w:rPr>
            </w:pPr>
            <w:r>
              <w:rPr>
                <w:rFonts w:ascii="Arial;sans-serif" w:hAnsi="Arial;sans-serif"/>
                <w:b/>
                <w:sz w:val="20"/>
              </w:rPr>
              <w:t>DENIS G. SUGGS</w:t>
            </w:r>
          </w:p>
        </w:tc>
      </w:tr>
      <w:tr>
        <w:trPr/>
        <w:tc>
          <w:tcPr>
            <w:tcW w:w="1977" w:type="dxa"/>
            <w:vMerge w:val="restart"/>
            <w:tcBorders/>
            <w:vAlign w:val="center"/>
          </w:tcPr>
          <w:p>
            <w:pPr>
              <w:pStyle w:val="TableContents"/>
              <w:bidi w:val="0"/>
              <w:spacing w:before="80" w:after="0"/>
              <w:ind w:left="80" w:right="90" w:hanging="0"/>
              <w:jc w:val="both"/>
              <w:rPr>
                <w:rFonts w:ascii="Times New Roman" w:hAnsi="Times New Roman"/>
                <w:sz w:val="18"/>
              </w:rPr>
            </w:pPr>
            <w:r>
              <w:rPr>
                <w:rFonts w:ascii="Arial;sans-serif" w:hAnsi="Arial;sans-serif"/>
                <w:b/>
                <w:sz w:val="18"/>
              </w:rPr>
              <w:t>Age:</w:t>
            </w:r>
            <w:r>
              <w:rPr>
                <w:rFonts w:ascii="Times New Roman" w:hAnsi="Times New Roman"/>
                <w:sz w:val="18"/>
              </w:rPr>
              <w:t xml:space="preserve"> </w:t>
            </w:r>
            <w:r>
              <w:rPr>
                <w:rFonts w:ascii="Arial;sans-serif" w:hAnsi="Arial;sans-serif"/>
                <w:b w:val="false"/>
                <w:sz w:val="18"/>
              </w:rPr>
              <w:t>57</w:t>
            </w:r>
          </w:p>
          <w:p>
            <w:pPr>
              <w:pStyle w:val="TableContents"/>
              <w:bidi w:val="0"/>
              <w:spacing w:before="120" w:after="0"/>
              <w:ind w:left="80" w:right="90" w:hanging="0"/>
              <w:jc w:val="both"/>
              <w:rPr>
                <w:rFonts w:ascii="Times New Roman" w:hAnsi="Times New Roman"/>
                <w:sz w:val="18"/>
              </w:rPr>
            </w:pPr>
            <w:r>
              <w:rPr>
                <w:rFonts w:ascii="Arial;sans-serif" w:hAnsi="Arial;sans-serif"/>
                <w:b/>
                <w:sz w:val="18"/>
              </w:rPr>
              <w:t>Director since:</w:t>
            </w:r>
            <w:r>
              <w:rPr>
                <w:rFonts w:ascii="Times New Roman" w:hAnsi="Times New Roman"/>
                <w:sz w:val="18"/>
              </w:rPr>
              <w:t xml:space="preserve"> </w:t>
            </w:r>
            <w:r>
              <w:rPr>
                <w:rFonts w:ascii="Arial;sans-serif" w:hAnsi="Arial;sans-serif"/>
                <w:b w:val="false"/>
                <w:sz w:val="18"/>
              </w:rPr>
              <w:t>2021</w:t>
            </w:r>
          </w:p>
          <w:p>
            <w:pPr>
              <w:pStyle w:val="TableContents"/>
              <w:bidi w:val="0"/>
              <w:spacing w:before="120" w:after="0"/>
              <w:ind w:left="80" w:right="90" w:hanging="0"/>
              <w:jc w:val="both"/>
              <w:rPr>
                <w:rFonts w:ascii="Arial;sans-serif" w:hAnsi="Arial;sans-serif"/>
                <w:b/>
                <w:sz w:val="18"/>
              </w:rPr>
            </w:pPr>
            <w:r>
              <w:rPr>
                <w:rFonts w:ascii="Arial;sans-serif" w:hAnsi="Arial;sans-serif"/>
                <w:b/>
                <w:sz w:val="18"/>
              </w:rPr>
              <w:t>Independent</w:t>
            </w:r>
          </w:p>
          <w:p>
            <w:pPr>
              <w:pStyle w:val="TableContents"/>
              <w:bidi w:val="0"/>
              <w:spacing w:before="120" w:after="0"/>
              <w:ind w:left="80" w:right="90" w:hanging="0"/>
              <w:jc w:val="both"/>
              <w:rPr>
                <w:rFonts w:ascii="Arial;sans-serif" w:hAnsi="Arial;sans-serif"/>
                <w:b/>
                <w:sz w:val="18"/>
              </w:rPr>
            </w:pPr>
            <w:r>
              <w:rPr>
                <w:rFonts w:ascii="Arial;sans-serif" w:hAnsi="Arial;sans-serif"/>
                <w:b/>
                <w:sz w:val="18"/>
              </w:rPr>
              <w:t>Board committees:</w:t>
            </w:r>
          </w:p>
          <w:p>
            <w:pPr>
              <w:pStyle w:val="TableContents"/>
              <w:pBdr/>
              <w:bidi w:val="0"/>
              <w:spacing w:before="0" w:after="0"/>
              <w:ind w:left="187" w:right="86" w:hanging="274"/>
              <w:jc w:val="both"/>
              <w:rPr>
                <w:rFonts w:ascii="Arial;sans-serif" w:hAnsi="Arial;sans-serif"/>
                <w:b w:val="false"/>
                <w:sz w:val="18"/>
              </w:rPr>
            </w:pPr>
            <w:r>
              <w:rPr>
                <w:rFonts w:ascii="Arial;sans-serif" w:hAnsi="Arial;sans-serif"/>
                <w:b w:val="false"/>
                <w:sz w:val="18"/>
              </w:rPr>
              <w:t> Audit</w:t>
            </w:r>
          </w:p>
          <w:p>
            <w:pPr>
              <w:pStyle w:val="TableContents"/>
              <w:pBdr/>
              <w:bidi w:val="0"/>
              <w:spacing w:before="0" w:after="0"/>
              <w:ind w:left="187" w:right="86" w:hanging="274"/>
              <w:jc w:val="both"/>
              <w:rPr>
                <w:rFonts w:ascii="Arial;sans-serif" w:hAnsi="Arial;sans-serif"/>
                <w:b w:val="false"/>
                <w:sz w:val="18"/>
              </w:rPr>
            </w:pPr>
            <w:r>
              <w:rPr>
                <w:rFonts w:ascii="Arial;sans-serif" w:hAnsi="Arial;sans-serif"/>
                <w:b w:val="false"/>
                <w:sz w:val="18"/>
              </w:rPr>
              <w:t> NCG</w:t>
            </w:r>
          </w:p>
          <w:p>
            <w:pPr>
              <w:pStyle w:val="TableContents"/>
              <w:bidi w:val="0"/>
              <w:spacing w:before="120" w:after="0"/>
              <w:ind w:left="80" w:right="90" w:hanging="0"/>
              <w:jc w:val="left"/>
              <w:rPr>
                <w:rFonts w:ascii="Arial;sans-serif" w:hAnsi="Arial;sans-serif"/>
                <w:b/>
                <w:sz w:val="18"/>
              </w:rPr>
            </w:pPr>
            <w:r>
              <w:rPr>
                <w:rFonts w:ascii="Arial;sans-serif" w:hAnsi="Arial;sans-serif"/>
                <w:b/>
                <w:sz w:val="18"/>
              </w:rPr>
              <w:t>Other public company boards:</w:t>
            </w:r>
          </w:p>
          <w:p>
            <w:pPr>
              <w:pStyle w:val="TableContents"/>
              <w:pBdr/>
              <w:bidi w:val="0"/>
              <w:spacing w:before="0" w:after="0"/>
              <w:ind w:left="187" w:right="86" w:hanging="274"/>
              <w:jc w:val="both"/>
              <w:rPr>
                <w:rFonts w:ascii="Arial;sans-serif" w:hAnsi="Arial;sans-serif"/>
                <w:b w:val="false"/>
                <w:sz w:val="18"/>
              </w:rPr>
            </w:pPr>
            <w:r>
              <w:rPr>
                <w:rFonts w:ascii="Arial;sans-serif" w:hAnsi="Arial;sans-serif"/>
                <w:b w:val="false"/>
                <w:sz w:val="18"/>
              </w:rPr>
              <w:t> Patrick Industries</w:t>
            </w:r>
          </w:p>
          <w:p>
            <w:pPr>
              <w:pStyle w:val="TableContents"/>
              <w:bidi w:val="0"/>
              <w:spacing w:before="120" w:after="0"/>
              <w:ind w:left="80" w:right="90" w:hanging="0"/>
              <w:jc w:val="both"/>
              <w:rPr>
                <w:rFonts w:ascii="Arial;sans-serif" w:hAnsi="Arial;sans-serif"/>
                <w:b/>
                <w:sz w:val="18"/>
              </w:rPr>
            </w:pPr>
            <w:r>
              <w:rPr>
                <w:rFonts w:ascii="Arial;sans-serif" w:hAnsi="Arial;sans-serif"/>
                <w:b/>
                <w:sz w:val="18"/>
              </w:rPr>
              <w:t>Other public company boards within five years:</w:t>
            </w:r>
          </w:p>
          <w:p>
            <w:pPr>
              <w:pStyle w:val="TableContents"/>
              <w:pBdr/>
              <w:bidi w:val="0"/>
              <w:spacing w:before="0" w:after="0"/>
              <w:ind w:left="0" w:right="0" w:firstLine="80"/>
              <w:jc w:val="both"/>
              <w:rPr>
                <w:rFonts w:ascii="Arial;sans-serif" w:hAnsi="Arial;sans-serif"/>
                <w:b w:val="false"/>
                <w:sz w:val="18"/>
              </w:rPr>
            </w:pPr>
            <w:r>
              <w:rPr>
                <w:rFonts w:ascii="Arial;sans-serif" w:hAnsi="Arial;sans-serif"/>
                <w:b w:val="false"/>
                <w:sz w:val="18"/>
              </w:rPr>
              <w:t> None</w:t>
            </w:r>
          </w:p>
        </w:tc>
        <w:tc>
          <w:tcPr>
            <w:tcW w:w="8228" w:type="dxa"/>
            <w:tcBorders/>
            <w:vAlign w:val="center"/>
          </w:tcPr>
          <w:p>
            <w:pPr>
              <w:pStyle w:val="TableContents"/>
              <w:bidi w:val="0"/>
              <w:spacing w:before="80" w:after="0"/>
              <w:ind w:left="80" w:right="80" w:hanging="0"/>
              <w:jc w:val="both"/>
              <w:rPr>
                <w:rFonts w:ascii="Arial;sans-serif" w:hAnsi="Arial;sans-serif"/>
                <w:b/>
                <w:sz w:val="18"/>
              </w:rPr>
            </w:pPr>
            <w:r>
              <w:rPr>
                <w:rFonts w:ascii="Arial;sans-serif" w:hAnsi="Arial;sans-serif"/>
                <w:b/>
                <w:sz w:val="18"/>
              </w:rPr>
              <w:t>Background:</w:t>
            </w:r>
          </w:p>
          <w:p>
            <w:pPr>
              <w:pStyle w:val="TableContents"/>
              <w:bidi w:val="0"/>
              <w:spacing w:before="0" w:after="0"/>
              <w:ind w:left="0" w:right="0" w:firstLine="80"/>
              <w:jc w:val="left"/>
              <w:rPr>
                <w:rFonts w:ascii="Arial;sans-serif" w:hAnsi="Arial;sans-serif"/>
                <w:b w:val="false"/>
                <w:sz w:val="18"/>
              </w:rPr>
            </w:pPr>
            <w:r>
              <w:rPr>
                <w:rFonts w:ascii="Arial;sans-serif" w:hAnsi="Arial;sans-serif"/>
                <w:b w:val="false"/>
                <w:sz w:val="18"/>
              </w:rPr>
              <w:t>Mr. Suggs has served as CEO of LCP Transportation LLC, a non-emergency medical transportation provider, since 2020. From 2014 to 2020, he served as President and CEO of Strategic Materials, Inc., a provider of environmental services. Mr. Suggs previously served in executive capacities with Belden, Inc., Danaher Corporation, and Public Storage Inc.</w:t>
            </w:r>
          </w:p>
        </w:tc>
      </w:tr>
      <w:tr>
        <w:trPr/>
        <w:tc>
          <w:tcPr>
            <w:tcW w:w="1977" w:type="dxa"/>
            <w:vMerge w:val="continue"/>
            <w:tcBorders/>
            <w:vAlign w:val="center"/>
          </w:tcPr>
          <w:p>
            <w:pPr>
              <w:pStyle w:val="Normal"/>
              <w:bidi w:val="0"/>
              <w:jc w:val="left"/>
              <w:rPr/>
            </w:pPr>
            <w:r>
              <w:rPr/>
            </w:r>
          </w:p>
        </w:tc>
        <w:tc>
          <w:tcPr>
            <w:tcW w:w="8228" w:type="dxa"/>
            <w:tcBorders/>
            <w:vAlign w:val="center"/>
          </w:tcPr>
          <w:p>
            <w:pPr>
              <w:pStyle w:val="TableContents"/>
              <w:bidi w:val="0"/>
              <w:spacing w:before="80" w:after="0"/>
              <w:ind w:left="80" w:right="80" w:hanging="0"/>
              <w:jc w:val="left"/>
              <w:rPr>
                <w:rFonts w:ascii="Arial;sans-serif" w:hAnsi="Arial;sans-serif"/>
                <w:b/>
                <w:sz w:val="18"/>
              </w:rPr>
            </w:pPr>
            <w:r>
              <w:rPr>
                <w:rFonts w:ascii="Arial;sans-serif" w:hAnsi="Arial;sans-serif"/>
                <w:b/>
                <w:sz w:val="18"/>
              </w:rPr>
              <w:t>Key Qualifications and Skills Include:</w:t>
            </w:r>
          </w:p>
          <w:p>
            <w:pPr>
              <w:pStyle w:val="TableContents"/>
              <w:bidi w:val="0"/>
              <w:spacing w:before="60" w:after="0"/>
              <w:ind w:left="0" w:right="0" w:hanging="0"/>
              <w:jc w:val="both"/>
              <w:rPr/>
            </w:pPr>
            <w:r>
              <w:rPr/>
              <w:t>   </w:t>
            </w:r>
            <w:r>
              <w:rPr>
                <w:rFonts w:ascii="Arial;sans-serif" w:hAnsi="Arial;sans-serif"/>
                <w:b/>
                <w:sz w:val="18"/>
              </w:rPr>
              <w:t>ESG</w:t>
            </w:r>
            <w:r>
              <w:rPr>
                <w:rFonts w:ascii="Arial;sans-serif" w:hAnsi="Arial;sans-serif"/>
                <w:b w:val="false"/>
                <w:sz w:val="18"/>
              </w:rPr>
              <w:t>. Experience as President and CEO of Strategic Materials, a leading glass</w:t>
            </w:r>
            <w:r>
              <w:rPr>
                <w:rFonts w:ascii="Times New Roman" w:hAnsi="Times New Roman"/>
                <w:sz w:val="18"/>
              </w:rPr>
              <w:t xml:space="preserve"> </w:t>
            </w:r>
          </w:p>
          <w:p>
            <w:pPr>
              <w:pStyle w:val="TableContents"/>
              <w:bidi w:val="0"/>
              <w:spacing w:before="0" w:after="0"/>
              <w:ind w:left="0" w:right="0" w:hanging="0"/>
              <w:jc w:val="both"/>
              <w:rPr>
                <w:rFonts w:ascii="Arial;sans-serif" w:hAnsi="Arial;sans-serif"/>
                <w:b w:val="false"/>
                <w:sz w:val="18"/>
              </w:rPr>
            </w:pPr>
            <w:r>
              <w:rPr>
                <w:rFonts w:ascii="Arial;sans-serif" w:hAnsi="Arial;sans-serif"/>
                <w:b w:val="false"/>
                <w:sz w:val="18"/>
              </w:rPr>
              <w:t>and plastics recycler, as well as through service on board of directors of Glass</w:t>
            </w:r>
          </w:p>
          <w:p>
            <w:pPr>
              <w:pStyle w:val="TableContents"/>
              <w:bidi w:val="0"/>
              <w:spacing w:before="0" w:after="0"/>
              <w:ind w:left="0" w:right="0" w:hanging="0"/>
              <w:jc w:val="both"/>
              <w:rPr/>
            </w:pPr>
            <w:r>
              <w:rPr/>
              <w:t>   </w:t>
            </w:r>
            <w:r>
              <w:rPr>
                <w:rFonts w:ascii="Arial;sans-serif" w:hAnsi="Arial;sans-serif"/>
                <w:b w:val="false"/>
                <w:sz w:val="18"/>
              </w:rPr>
              <w:t>Packaging Institute, which focuses on sustainability issues</w:t>
            </w:r>
          </w:p>
          <w:p>
            <w:pPr>
              <w:pStyle w:val="TableContents"/>
              <w:bidi w:val="0"/>
              <w:spacing w:before="20" w:after="0"/>
              <w:ind w:left="0" w:right="0" w:hanging="0"/>
              <w:jc w:val="both"/>
              <w:rPr/>
            </w:pPr>
            <w:r>
              <w:rPr/>
              <w:t>   </w:t>
            </w:r>
            <w:r>
              <w:rPr>
                <w:rFonts w:ascii="Arial;sans-serif" w:hAnsi="Arial;sans-serif"/>
                <w:b/>
                <w:sz w:val="18"/>
              </w:rPr>
              <w:t>Manufacturing</w:t>
            </w:r>
            <w:r>
              <w:rPr>
                <w:rFonts w:ascii="Arial;sans-serif" w:hAnsi="Arial;sans-serif"/>
                <w:b w:val="false"/>
                <w:sz w:val="18"/>
              </w:rPr>
              <w:t>. Extensive operations experience gained through service as</w:t>
            </w:r>
            <w:r>
              <w:rPr>
                <w:rFonts w:ascii="Times New Roman" w:hAnsi="Times New Roman"/>
                <w:sz w:val="18"/>
              </w:rPr>
              <w:t xml:space="preserve"> </w:t>
            </w:r>
          </w:p>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executive of Belden and Danaher</w:t>
            </w:r>
            <w:r>
              <w:rPr>
                <w:rFonts w:ascii="Times New Roman" w:hAnsi="Times New Roman"/>
                <w:sz w:val="18"/>
              </w:rPr>
              <w:t xml:space="preserve"> </w:t>
            </w:r>
          </w:p>
          <w:p>
            <w:pPr>
              <w:pStyle w:val="TableContents"/>
              <w:bidi w:val="0"/>
              <w:spacing w:before="20" w:after="0"/>
              <w:ind w:left="0" w:right="0" w:hanging="0"/>
              <w:jc w:val="both"/>
              <w:rPr/>
            </w:pPr>
            <w:r>
              <w:rPr/>
              <w:t>   </w:t>
            </w:r>
            <w:r>
              <w:rPr>
                <w:rFonts w:ascii="Arial;sans-serif" w:hAnsi="Arial;sans-serif"/>
                <w:b/>
                <w:sz w:val="18"/>
              </w:rPr>
              <w:t>Regulated Industry/Government</w:t>
            </w:r>
            <w:r>
              <w:rPr>
                <w:rFonts w:ascii="Arial;sans-serif" w:hAnsi="Arial;sans-serif"/>
                <w:b w:val="false"/>
                <w:sz w:val="18"/>
              </w:rPr>
              <w:t>. Experience as CEO of LCP Transportation,</w:t>
            </w:r>
          </w:p>
          <w:p>
            <w:pPr>
              <w:pStyle w:val="TableContents"/>
              <w:bidi w:val="0"/>
              <w:spacing w:before="0" w:after="0"/>
              <w:ind w:left="0" w:right="0" w:hanging="0"/>
              <w:jc w:val="both"/>
              <w:rPr>
                <w:rFonts w:ascii="Times New Roman" w:hAnsi="Times New Roman"/>
                <w:sz w:val="18"/>
              </w:rPr>
            </w:pPr>
            <w:r>
              <w:rPr>
                <w:rFonts w:ascii="Arial;sans-serif" w:hAnsi="Arial;sans-serif"/>
                <w:b w:val="false"/>
                <w:sz w:val="18"/>
              </w:rPr>
              <w:t>which operates in a heavily regulated industry, as well as leading organizations</w:t>
            </w:r>
            <w:r>
              <w:rPr>
                <w:rFonts w:ascii="Times New Roman" w:hAnsi="Times New Roman"/>
                <w:sz w:val="18"/>
              </w:rPr>
              <w:t xml:space="preserve"> </w:t>
            </w:r>
          </w:p>
          <w:p>
            <w:pPr>
              <w:pStyle w:val="TableContents"/>
              <w:bidi w:val="0"/>
              <w:spacing w:before="0" w:after="0"/>
              <w:ind w:left="0" w:right="0" w:hanging="0"/>
              <w:jc w:val="both"/>
              <w:rPr/>
            </w:pPr>
            <w:r>
              <w:rPr/>
              <w:t>   </w:t>
            </w:r>
            <w:r>
              <w:rPr>
                <w:rFonts w:ascii="Arial;sans-serif" w:hAnsi="Arial;sans-serif"/>
                <w:b w:val="false"/>
                <w:sz w:val="18"/>
              </w:rPr>
              <w:t>that serve highly regulated sectors, such as aerospace and defense</w:t>
            </w:r>
          </w:p>
        </w:tc>
      </w:tr>
    </w:tbl>
    <w:p>
      <w:pPr>
        <w:pStyle w:val="TextBody"/>
        <w:bidi w:val="0"/>
        <w:spacing w:before="120" w:after="0"/>
        <w:jc w:val="both"/>
        <w:rPr/>
      </w:pPr>
      <w:r>
        <w:rPr/>
        <w:t> </w:t>
      </w:r>
    </w:p>
    <w:p>
      <w:pPr>
        <w:pStyle w:val="TextBody"/>
        <w:bidi w:val="0"/>
        <w:spacing w:before="120" w:after="0"/>
        <w:jc w:val="both"/>
        <w:rPr>
          <w:rFonts w:ascii="Arial;sans-serif" w:hAnsi="Arial;sans-serif"/>
          <w:b/>
          <w:sz w:val="28"/>
        </w:rPr>
      </w:pPr>
      <w:r>
        <w:rPr>
          <w:rFonts w:ascii="Arial;sans-serif" w:hAnsi="Arial;sans-serif"/>
          <w:b/>
          <w:sz w:val="28"/>
        </w:rPr>
        <w:t>BOARD AND COMMITTEE GOVERNANCE</w:t>
      </w:r>
    </w:p>
    <w:p>
      <w:pPr>
        <w:pStyle w:val="TextBody"/>
        <w:bidi w:val="0"/>
        <w:spacing w:before="120" w:after="0"/>
        <w:jc w:val="both"/>
        <w:rPr>
          <w:rFonts w:ascii="Arial;sans-serif" w:hAnsi="Arial;sans-serif"/>
          <w:b w:val="false"/>
          <w:sz w:val="24"/>
          <w:u w:val="single"/>
        </w:rPr>
      </w:pPr>
      <w:r>
        <w:rPr>
          <w:rFonts w:ascii="Arial;sans-serif" w:hAnsi="Arial;sans-serif"/>
          <w:b w:val="false"/>
          <w:sz w:val="24"/>
          <w:u w:val="single"/>
        </w:rPr>
        <w:t>Risk Oversight</w:t>
      </w:r>
    </w:p>
    <w:p>
      <w:pPr>
        <w:pStyle w:val="TextBody"/>
        <w:bidi w:val="0"/>
        <w:spacing w:before="0" w:after="0"/>
        <w:jc w:val="both"/>
        <w:rPr>
          <w:rFonts w:ascii="Arial;sans-serif" w:hAnsi="Arial;sans-serif"/>
          <w:b w:val="false"/>
          <w:sz w:val="20"/>
        </w:rPr>
      </w:pPr>
      <w:r>
        <w:rPr>
          <w:rFonts w:ascii="Arial;sans-serif" w:hAnsi="Arial;sans-serif"/>
          <w:b w:val="false"/>
          <w:sz w:val="20"/>
        </w:rPr>
        <w:t>The Board recognizes that risk is inherent in every business. As is the case in virtually all businesses, the Board recognizes that we face a number of risks, including operational, economic, financial, cybersecurity, legal, regulatory, and competitive risks. While our management is responsible for the day-to-day management of the risks we face, the Board, as a whole and through its committees, is responsible for the oversight of risk management.</w:t>
      </w:r>
    </w:p>
    <w:p>
      <w:pPr>
        <w:pStyle w:val="TextBody"/>
        <w:bidi w:val="0"/>
        <w:spacing w:before="0" w:after="0"/>
        <w:jc w:val="both"/>
        <w:rPr/>
      </w:pPr>
      <w:r>
        <w:rPr/>
        <w:t> </w:t>
      </w:r>
    </w:p>
    <w:p>
      <w:pPr>
        <w:pStyle w:val="TextBody"/>
        <w:bidi w:val="0"/>
        <w:spacing w:before="0" w:after="0"/>
        <w:jc w:val="both"/>
        <w:rPr>
          <w:rFonts w:ascii="Arial;sans-serif" w:hAnsi="Arial;sans-serif"/>
          <w:b w:val="false"/>
          <w:sz w:val="20"/>
        </w:rPr>
      </w:pPr>
      <w:r>
        <w:rPr>
          <w:rFonts w:ascii="Arial;sans-serif" w:hAnsi="Arial;sans-serif"/>
          <w:b w:val="false"/>
          <w:sz w:val="20"/>
        </w:rPr>
        <w:t>The Board’s involvement in our business strategy and strategic plans plays a key role in its oversight of risk management, its assessment of management’s risk appetite, and its determination of the appropriate level of enterprise risk. The Board receives updates at least quarterly from senior management and periodically from outside advisors regarding the various risks we face, including operational, economic, financial, cybersecurity, legal, regulatory, and competitive risks. The Board also reviews the various risks we identify in our SEC filings, as well as risks relating to various specific developments, such as new product introductions. In addition, the Board regularly receives reports from senior members of our Internal Audit function and our General Counsel and Chief Compliance Officer.</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6253"/>
        <w:gridCol w:w="226"/>
        <w:gridCol w:w="3726"/>
      </w:tblGrid>
      <w:tr>
        <w:trPr/>
        <w:tc>
          <w:tcPr>
            <w:tcW w:w="625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726" w:type="dxa"/>
            <w:tcBorders/>
            <w:vAlign w:val="center"/>
          </w:tcPr>
          <w:p>
            <w:pPr>
              <w:pStyle w:val="TableContents"/>
              <w:bidi w:val="0"/>
              <w:spacing w:before="0" w:after="283"/>
              <w:jc w:val="left"/>
              <w:rPr>
                <w:sz w:val="4"/>
                <w:szCs w:val="4"/>
              </w:rPr>
            </w:pPr>
            <w:r>
              <w:rPr>
                <w:sz w:val="4"/>
                <w:szCs w:val="4"/>
              </w:rPr>
            </w:r>
          </w:p>
        </w:tc>
      </w:tr>
      <w:tr>
        <w:trPr/>
        <w:tc>
          <w:tcPr>
            <w:tcW w:w="6253" w:type="dxa"/>
            <w:tcBorders/>
            <w:vAlign w:val="center"/>
          </w:tcPr>
          <w:p>
            <w:pPr>
              <w:pStyle w:val="TableContents"/>
              <w:bidi w:val="0"/>
              <w:spacing w:before="0" w:after="0"/>
              <w:ind w:left="0" w:right="0" w:hanging="0"/>
              <w:jc w:val="both"/>
              <w:rPr>
                <w:rFonts w:ascii="Arial;sans-serif" w:hAnsi="Arial;sans-serif"/>
                <w:b w:val="false"/>
                <w:sz w:val="20"/>
              </w:rPr>
            </w:pPr>
            <w:r>
              <w:rPr>
                <w:rFonts w:ascii="Arial;sans-serif" w:hAnsi="Arial;sans-serif"/>
                <w:b w:val="false"/>
                <w:sz w:val="20"/>
              </w:rPr>
              <w:t>See Part I, “Item 1A. Risk Factors,” in our annual report on Form 10-K for the fiscal year ended April 30, 2023 (the “Form 10-K”) to learn more about the risks we face. The risks described in the Form 10-K are not the only risks we face. Additional risks and uncertainties not currently known or that may currently be deemed to be immaterial based on the information known to us also may materially and adversely affect our business, operating results, and financial condition.</w:t>
            </w:r>
          </w:p>
        </w:tc>
        <w:tc>
          <w:tcPr>
            <w:tcW w:w="226" w:type="dxa"/>
            <w:tcBorders>
              <w:right w:val="single" w:sz="4" w:space="0" w:color="000000"/>
            </w:tcBorders>
            <w:tcMar>
              <w:top w:w="0" w:type="dxa"/>
              <w:left w:w="0" w:type="dxa"/>
              <w:bottom w:w="0" w:type="dxa"/>
            </w:tcMar>
            <w:vAlign w:val="center"/>
          </w:tcPr>
          <w:p>
            <w:pPr>
              <w:pStyle w:val="TableContents"/>
              <w:bidi w:val="0"/>
              <w:spacing w:before="0" w:after="120"/>
              <w:ind w:left="0" w:right="0" w:firstLine="80"/>
              <w:jc w:val="both"/>
              <w:rPr/>
            </w:pPr>
            <w:r>
              <w:rPr/>
              <w:t> </w:t>
            </w:r>
          </w:p>
        </w:tc>
        <w:tc>
          <w:tcPr>
            <w:tcW w:w="372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80" w:after="80"/>
              <w:ind w:left="80" w:right="80" w:hanging="0"/>
              <w:jc w:val="center"/>
              <w:rPr>
                <w:rFonts w:ascii="Arial;sans-serif" w:hAnsi="Arial;sans-serif"/>
                <w:b/>
                <w:sz w:val="20"/>
                <w:u w:val="single"/>
              </w:rPr>
            </w:pPr>
            <w:r>
              <w:rPr>
                <w:rFonts w:ascii="Arial;sans-serif" w:hAnsi="Arial;sans-serif"/>
                <w:b/>
                <w:sz w:val="20"/>
                <w:u w:val="single"/>
              </w:rPr>
              <w:t>Governance Spotlight</w:t>
            </w:r>
          </w:p>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In fiscal 2023, we formalized a process whereby our Audit Committee Chair communicates directly with our Chief Compliance Officer at least quarterly in order to enhance the Board’s oversight of risk and the independence of our compliance function.</w:t>
            </w:r>
          </w:p>
        </w:tc>
      </w:tr>
      <w:tr>
        <w:trPr/>
        <w:tc>
          <w:tcPr>
            <w:tcW w:w="10205" w:type="dxa"/>
            <w:gridSpan w:val="3"/>
            <w:tcBorders/>
            <w:vAlign w:val="center"/>
          </w:tcPr>
          <w:p>
            <w:pPr>
              <w:pStyle w:val="TableContents"/>
              <w:bidi w:val="0"/>
              <w:spacing w:before="240" w:after="0"/>
              <w:ind w:left="0" w:right="0" w:hanging="0"/>
              <w:jc w:val="both"/>
              <w:rPr>
                <w:rFonts w:ascii="Arial;sans-serif" w:hAnsi="Arial;sans-serif"/>
                <w:b w:val="false"/>
                <w:sz w:val="20"/>
              </w:rPr>
            </w:pPr>
            <w:r>
              <w:rPr>
                <w:rFonts w:ascii="Arial;sans-serif" w:hAnsi="Arial;sans-serif"/>
                <w:b w:val="false"/>
                <w:sz w:val="20"/>
              </w:rPr>
              <w:t>Given the nature of our business, the Board remains focused on overseeing risk management. During fiscal 2023, the ESG Committee discussed the campaign against the firearm industry at each of its meetings and the full Board reviewed an updated report prepared by a third-party media monitoring firm that we have worked with for several years.</w:t>
            </w:r>
          </w:p>
        </w:tc>
      </w:tr>
    </w:tbl>
    <w:p>
      <w:pPr>
        <w:pStyle w:val="TextBody"/>
        <w:bidi w:val="0"/>
        <w:spacing w:before="0" w:after="0"/>
        <w:jc w:val="left"/>
        <w:rPr/>
      </w:pPr>
      <w:r>
        <w:rPr/>
        <w:t> </w:t>
      </w:r>
    </w:p>
    <w:p>
      <w:pPr>
        <w:pStyle w:val="TextBody"/>
        <w:bidi w:val="0"/>
        <w:spacing w:before="0" w:after="0"/>
        <w:jc w:val="left"/>
        <w:rPr/>
      </w:pPr>
      <w:r>
        <w:rPr/>
        <w:t> </w:t>
      </w:r>
    </w:p>
    <w:tbl>
      <w:tblPr>
        <w:tblW w:w="3657" w:type="dxa"/>
        <w:jc w:val="left"/>
        <w:tblInd w:w="0" w:type="dxa"/>
        <w:tblLayout w:type="fixed"/>
        <w:tblCellMar>
          <w:top w:w="28" w:type="dxa"/>
          <w:left w:w="28" w:type="dxa"/>
          <w:bottom w:w="28" w:type="dxa"/>
          <w:right w:w="28" w:type="dxa"/>
        </w:tblCellMar>
      </w:tblPr>
      <w:tblGrid>
        <w:gridCol w:w="2161"/>
        <w:gridCol w:w="1496"/>
      </w:tblGrid>
      <w:tr>
        <w:trPr/>
        <w:tc>
          <w:tcPr>
            <w:tcW w:w="2161"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2161" w:type="dxa"/>
            <w:tcBorders/>
            <w:vAlign w:val="center"/>
          </w:tcPr>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9</w:t>
            </w:r>
            <w:r>
              <w:rPr>
                <w:rFonts w:ascii="Times New Roman" w:hAnsi="Times New Roman"/>
                <w:sz w:val="18"/>
              </w:rPr>
              <w:t> </w:t>
            </w:r>
            <w:r>
              <w:rPr>
                <w:rFonts w:ascii="Arial;sans-serif" w:hAnsi="Arial;sans-serif"/>
                <w:b w:val="false"/>
                <w:sz w:val="18"/>
              </w:rPr>
              <w:t>I 2023 Proxy Statement</w:t>
            </w:r>
          </w:p>
        </w:tc>
        <w:tc>
          <w:tcPr>
            <w:tcW w:w="1496" w:type="dxa"/>
            <w:tcBorders/>
            <w:vAlign w:val="center"/>
          </w:tcPr>
          <w:p>
            <w:pPr>
              <w:pStyle w:val="TableContents"/>
              <w:bidi w:val="0"/>
              <w:spacing w:before="0" w:after="0"/>
              <w:ind w:left="0" w:right="0" w:hanging="0"/>
              <w:jc w:val="right"/>
              <w:rPr/>
            </w:pPr>
            <w:r>
              <w:rPr/>
              <w:drawing>
                <wp:inline distT="0" distB="0" distL="0" distR="0">
                  <wp:extent cx="828675" cy="1905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828675" cy="190500"/>
                          </a:xfrm>
                          <a:prstGeom prst="rect">
                            <a:avLst/>
                          </a:prstGeom>
                        </pic:spPr>
                      </pic:pic>
                    </a:graphicData>
                  </a:graphic>
                </wp:inline>
              </w:drawing>
            </w: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3027" w:type="dxa"/>
        <w:jc w:val="left"/>
        <w:tblInd w:w="0" w:type="dxa"/>
        <w:tblLayout w:type="fixed"/>
        <w:tblCellMar>
          <w:top w:w="28" w:type="dxa"/>
          <w:left w:w="28" w:type="dxa"/>
          <w:bottom w:w="28" w:type="dxa"/>
          <w:right w:w="28" w:type="dxa"/>
        </w:tblCellMar>
      </w:tblPr>
      <w:tblGrid>
        <w:gridCol w:w="2836"/>
        <w:gridCol w:w="191"/>
      </w:tblGrid>
      <w:tr>
        <w:trPr/>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Board and Governance Matters</w:t>
            </w:r>
          </w:p>
        </w:tc>
        <w:tc>
          <w:tcPr>
            <w:tcW w:w="191" w:type="dxa"/>
            <w:tcBorders/>
            <w:vAlign w:val="center"/>
          </w:tcPr>
          <w:p>
            <w:pPr>
              <w:pStyle w:val="TableContents"/>
              <w:bidi w:val="0"/>
              <w:spacing w:before="0" w:after="0"/>
              <w:ind w:left="0" w:right="0" w:hanging="0"/>
              <w:jc w:val="left"/>
              <w:rPr/>
            </w:pPr>
            <w:r>
              <w:rPr/>
              <w:t> </w:t>
            </w:r>
          </w:p>
        </w:tc>
      </w:tr>
      <w:tr>
        <w:trPr/>
        <w:tc>
          <w:tcPr>
            <w:tcW w:w="283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161"/>
        <w:gridCol w:w="446"/>
        <w:gridCol w:w="4237"/>
        <w:gridCol w:w="504"/>
        <w:gridCol w:w="4519"/>
        <w:gridCol w:w="146"/>
        <w:gridCol w:w="192"/>
      </w:tblGrid>
      <w:tr>
        <w:trPr/>
        <w:tc>
          <w:tcPr>
            <w:tcW w:w="16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23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5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446" w:type="dxa"/>
            <w:tcBorders/>
            <w:vAlign w:val="center"/>
          </w:tcPr>
          <w:p>
            <w:pPr>
              <w:pStyle w:val="TableContents"/>
              <w:bidi w:val="0"/>
              <w:spacing w:before="0" w:after="0"/>
              <w:ind w:left="0" w:right="0" w:hanging="0"/>
              <w:jc w:val="both"/>
              <w:rPr/>
            </w:pPr>
            <w:r>
              <w:rPr/>
              <w:t> </w:t>
            </w:r>
          </w:p>
        </w:tc>
        <w:tc>
          <w:tcPr>
            <w:tcW w:w="4237" w:type="dxa"/>
            <w:tcBorders/>
            <w:vAlign w:val="center"/>
          </w:tcPr>
          <w:p>
            <w:pPr>
              <w:pStyle w:val="TableContents"/>
              <w:bidi w:val="0"/>
              <w:spacing w:before="0" w:after="0"/>
              <w:ind w:left="0" w:right="0" w:hanging="0"/>
              <w:jc w:val="both"/>
              <w:rPr/>
            </w:pPr>
            <w:r>
              <w:rPr/>
              <w:t> </w:t>
            </w:r>
          </w:p>
        </w:tc>
        <w:tc>
          <w:tcPr>
            <w:tcW w:w="504" w:type="dxa"/>
            <w:tcBorders/>
            <w:vAlign w:val="center"/>
          </w:tcPr>
          <w:p>
            <w:pPr>
              <w:pStyle w:val="TableContents"/>
              <w:bidi w:val="0"/>
              <w:spacing w:before="0" w:after="0"/>
              <w:ind w:left="0" w:right="0" w:hanging="0"/>
              <w:jc w:val="both"/>
              <w:rPr/>
            </w:pPr>
            <w:r>
              <w:rPr/>
              <w:t> </w:t>
            </w:r>
          </w:p>
        </w:tc>
        <w:tc>
          <w:tcPr>
            <w:tcW w:w="4519" w:type="dxa"/>
            <w:tcBorders/>
            <w:vAlign w:val="center"/>
          </w:tcPr>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0"/>
              <w:ind w:left="0" w:right="0" w:hanging="0"/>
              <w:jc w:val="both"/>
              <w:rPr/>
            </w:pPr>
            <w:r>
              <w:rPr/>
              <w:t> </w:t>
            </w:r>
          </w:p>
        </w:tc>
        <w:tc>
          <w:tcPr>
            <w:tcW w:w="192" w:type="dxa"/>
            <w:tcBorders/>
            <w:vAlign w:val="center"/>
          </w:tcPr>
          <w:p>
            <w:pPr>
              <w:pStyle w:val="TableContents"/>
              <w:bidi w:val="0"/>
              <w:spacing w:before="0" w:after="0"/>
              <w:ind w:left="0" w:right="0" w:hanging="0"/>
              <w:jc w:val="both"/>
              <w:rPr/>
            </w:pPr>
            <w:r>
              <w:rPr/>
              <w:t> </w:t>
            </w:r>
          </w:p>
        </w:tc>
      </w:tr>
      <w:tr>
        <w:trPr/>
        <w:tc>
          <w:tcPr>
            <w:tcW w:w="161" w:type="dxa"/>
            <w:tcBorders/>
            <w:vAlign w:val="center"/>
          </w:tcPr>
          <w:p>
            <w:pPr>
              <w:pStyle w:val="TableContents"/>
              <w:bidi w:val="0"/>
              <w:spacing w:before="0" w:after="0"/>
              <w:ind w:left="0" w:right="0" w:hanging="0"/>
              <w:jc w:val="both"/>
              <w:rPr/>
            </w:pPr>
            <w:r>
              <w:rPr/>
              <w:t> </w:t>
            </w:r>
          </w:p>
        </w:tc>
        <w:tc>
          <w:tcPr>
            <w:tcW w:w="446" w:type="dxa"/>
            <w:tcBorders/>
            <w:vAlign w:val="center"/>
          </w:tcPr>
          <w:p>
            <w:pPr>
              <w:pStyle w:val="TableContents"/>
              <w:bidi w:val="0"/>
              <w:spacing w:before="0" w:after="283"/>
              <w:ind w:left="0" w:right="0" w:hanging="0"/>
              <w:jc w:val="left"/>
              <w:rPr>
                <w:sz w:val="4"/>
                <w:szCs w:val="4"/>
              </w:rPr>
            </w:pPr>
            <w:r>
              <w:rPr>
                <w:sz w:val="4"/>
                <w:szCs w:val="4"/>
              </w:rPr>
            </w:r>
          </w:p>
        </w:tc>
        <w:tc>
          <w:tcPr>
            <w:tcW w:w="4237" w:type="dxa"/>
            <w:tcBorders/>
            <w:vAlign w:val="center"/>
          </w:tcPr>
          <w:p>
            <w:pPr>
              <w:pStyle w:val="TableContents"/>
              <w:bidi w:val="0"/>
              <w:spacing w:before="120" w:after="0"/>
              <w:ind w:left="0" w:right="0" w:hanging="0"/>
              <w:jc w:val="both"/>
              <w:rPr>
                <w:rFonts w:ascii="Arial;sans-serif" w:hAnsi="Arial;sans-serif"/>
                <w:b/>
                <w:sz w:val="20"/>
              </w:rPr>
            </w:pPr>
            <w:r>
              <w:rPr>
                <w:rFonts w:ascii="Arial;sans-serif" w:hAnsi="Arial;sans-serif"/>
                <w:b/>
                <w:sz w:val="20"/>
              </w:rPr>
              <w:t>AUDIT COMMITTEE</w:t>
            </w:r>
          </w:p>
        </w:tc>
        <w:tc>
          <w:tcPr>
            <w:tcW w:w="504" w:type="dxa"/>
            <w:tcBorders/>
            <w:vAlign w:val="center"/>
          </w:tcPr>
          <w:p>
            <w:pPr>
              <w:pStyle w:val="TableContents"/>
              <w:bidi w:val="0"/>
              <w:spacing w:before="0" w:after="283"/>
              <w:ind w:left="0" w:right="0" w:hanging="0"/>
              <w:jc w:val="left"/>
              <w:rPr>
                <w:sz w:val="4"/>
                <w:szCs w:val="4"/>
              </w:rPr>
            </w:pPr>
            <w:r>
              <w:rPr>
                <w:sz w:val="4"/>
                <w:szCs w:val="4"/>
              </w:rPr>
            </w:r>
          </w:p>
        </w:tc>
        <w:tc>
          <w:tcPr>
            <w:tcW w:w="4519" w:type="dxa"/>
            <w:tcBorders/>
            <w:vAlign w:val="center"/>
          </w:tcPr>
          <w:p>
            <w:pPr>
              <w:pStyle w:val="TableContents"/>
              <w:bidi w:val="0"/>
              <w:spacing w:before="120" w:after="0"/>
              <w:ind w:left="0" w:right="0" w:hanging="0"/>
              <w:jc w:val="both"/>
              <w:rPr>
                <w:rFonts w:ascii="Arial;sans-serif" w:hAnsi="Arial;sans-serif"/>
                <w:b/>
                <w:sz w:val="20"/>
              </w:rPr>
            </w:pPr>
            <w:r>
              <w:rPr>
                <w:rFonts w:ascii="Arial;sans-serif" w:hAnsi="Arial;sans-serif"/>
                <w:b/>
                <w:sz w:val="20"/>
              </w:rPr>
              <w:t>COMPENSATION COMMITTEE</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92" w:type="dxa"/>
            <w:tcBorders/>
            <w:vAlign w:val="center"/>
          </w:tcPr>
          <w:p>
            <w:pPr>
              <w:pStyle w:val="TableContents"/>
              <w:bidi w:val="0"/>
              <w:spacing w:before="0" w:after="0"/>
              <w:ind w:left="0" w:right="0" w:hanging="0"/>
              <w:jc w:val="both"/>
              <w:rPr/>
            </w:pPr>
            <w:r>
              <w:rPr/>
              <w:t> </w:t>
            </w:r>
          </w:p>
        </w:tc>
      </w:tr>
      <w:tr>
        <w:trPr/>
        <w:tc>
          <w:tcPr>
            <w:tcW w:w="161" w:type="dxa"/>
            <w:tcBorders/>
            <w:vAlign w:val="center"/>
          </w:tcPr>
          <w:p>
            <w:pPr>
              <w:pStyle w:val="TableContents"/>
              <w:bidi w:val="0"/>
              <w:spacing w:before="0" w:after="0"/>
              <w:ind w:left="0" w:right="0" w:hanging="0"/>
              <w:jc w:val="both"/>
              <w:rPr/>
            </w:pPr>
            <w:r>
              <w:rPr/>
              <w:t> </w:t>
            </w:r>
          </w:p>
        </w:tc>
        <w:tc>
          <w:tcPr>
            <w:tcW w:w="446" w:type="dxa"/>
            <w:tcBorders/>
            <w:vAlign w:val="center"/>
          </w:tcPr>
          <w:p>
            <w:pPr>
              <w:pStyle w:val="TableContents"/>
              <w:bidi w:val="0"/>
              <w:spacing w:before="0" w:after="283"/>
              <w:ind w:left="0" w:right="0" w:firstLine="360"/>
              <w:jc w:val="left"/>
              <w:rPr>
                <w:sz w:val="4"/>
                <w:szCs w:val="4"/>
              </w:rPr>
            </w:pPr>
            <w:r>
              <w:rPr>
                <w:sz w:val="4"/>
                <w:szCs w:val="4"/>
              </w:rPr>
            </w:r>
          </w:p>
        </w:tc>
        <w:tc>
          <w:tcPr>
            <w:tcW w:w="4237" w:type="dxa"/>
            <w:tcBorders/>
            <w:vAlign w:val="center"/>
          </w:tcPr>
          <w:p>
            <w:pPr>
              <w:pStyle w:val="TableContents"/>
              <w:pBdr/>
              <w:bidi w:val="0"/>
              <w:spacing w:before="0" w:after="0"/>
              <w:ind w:left="0" w:right="0" w:hanging="360"/>
              <w:jc w:val="both"/>
              <w:rPr/>
            </w:pPr>
            <w:r>
              <w:rPr/>
              <w:t> </w:t>
            </w:r>
          </w:p>
          <w:p>
            <w:pPr>
              <w:pStyle w:val="TableContents"/>
              <w:pBdr/>
              <w:bidi w:val="0"/>
              <w:spacing w:before="0" w:after="0"/>
              <w:ind w:left="58" w:right="0" w:hanging="360"/>
              <w:jc w:val="both"/>
              <w:rPr>
                <w:rFonts w:ascii="Arial;sans-serif" w:hAnsi="Arial;sans-serif"/>
                <w:b w:val="false"/>
                <w:sz w:val="18"/>
              </w:rPr>
            </w:pPr>
            <w:r>
              <w:rPr>
                <w:rFonts w:ascii="Arial;sans-serif" w:hAnsi="Arial;sans-serif"/>
                <w:b w:val="false"/>
                <w:sz w:val="18"/>
              </w:rPr>
              <w:t> Oversees our financial and reporting processes and the audit of our financial statements</w:t>
            </w:r>
          </w:p>
          <w:p>
            <w:pPr>
              <w:pStyle w:val="TableContents"/>
              <w:pBdr/>
              <w:bidi w:val="0"/>
              <w:spacing w:before="0" w:after="0"/>
              <w:ind w:left="58" w:right="0" w:hanging="360"/>
              <w:jc w:val="both"/>
              <w:rPr/>
            </w:pPr>
            <w:r>
              <w:rPr/>
              <w:t> </w:t>
            </w:r>
          </w:p>
          <w:p>
            <w:pPr>
              <w:pStyle w:val="TableContents"/>
              <w:pBdr/>
              <w:bidi w:val="0"/>
              <w:spacing w:before="0" w:after="0"/>
              <w:ind w:left="58" w:right="0" w:hanging="360"/>
              <w:jc w:val="both"/>
              <w:rPr>
                <w:rFonts w:ascii="Arial;sans-serif" w:hAnsi="Arial;sans-serif"/>
                <w:b w:val="false"/>
                <w:sz w:val="18"/>
              </w:rPr>
            </w:pPr>
            <w:r>
              <w:rPr>
                <w:rFonts w:ascii="Arial;sans-serif" w:hAnsi="Arial;sans-serif"/>
                <w:b w:val="false"/>
                <w:sz w:val="18"/>
              </w:rPr>
              <w:t> Assists the Board with respect to:</w:t>
            </w:r>
          </w:p>
          <w:p>
            <w:pPr>
              <w:pStyle w:val="TableContents"/>
              <w:pBdr/>
              <w:bidi w:val="0"/>
              <w:spacing w:before="0" w:after="0"/>
              <w:ind w:left="489" w:right="0" w:hanging="270"/>
              <w:jc w:val="left"/>
              <w:rPr>
                <w:rFonts w:ascii="Arial;sans-serif" w:hAnsi="Arial;sans-serif"/>
                <w:b w:val="false"/>
                <w:sz w:val="18"/>
              </w:rPr>
            </w:pPr>
            <w:r>
              <w:rPr>
                <w:rFonts w:ascii="Arial;sans-serif" w:hAnsi="Arial;sans-serif"/>
                <w:b w:val="false"/>
                <w:sz w:val="18"/>
              </w:rPr>
              <w:t>- the oversight and integrity of our financial statements</w:t>
            </w:r>
          </w:p>
          <w:p>
            <w:pPr>
              <w:pStyle w:val="TableContents"/>
              <w:pBdr/>
              <w:bidi w:val="0"/>
              <w:spacing w:before="0" w:after="0"/>
              <w:ind w:left="489" w:right="0" w:hanging="270"/>
              <w:jc w:val="left"/>
              <w:rPr>
                <w:rFonts w:ascii="Arial;sans-serif" w:hAnsi="Arial;sans-serif"/>
                <w:b w:val="false"/>
                <w:sz w:val="18"/>
              </w:rPr>
            </w:pPr>
            <w:r>
              <w:rPr>
                <w:rFonts w:ascii="Arial;sans-serif" w:hAnsi="Arial;sans-serif"/>
                <w:b w:val="false"/>
                <w:sz w:val="18"/>
              </w:rPr>
              <w:t>- our compliance with legal and regulatory matters</w:t>
            </w:r>
          </w:p>
          <w:p>
            <w:pPr>
              <w:pStyle w:val="TableContents"/>
              <w:pBdr/>
              <w:bidi w:val="0"/>
              <w:spacing w:before="0" w:after="0"/>
              <w:ind w:left="489" w:right="0" w:hanging="270"/>
              <w:jc w:val="left"/>
              <w:rPr>
                <w:rFonts w:ascii="Arial;sans-serif" w:hAnsi="Arial;sans-serif"/>
                <w:b w:val="false"/>
                <w:sz w:val="18"/>
              </w:rPr>
            </w:pPr>
            <w:r>
              <w:rPr>
                <w:rFonts w:ascii="Arial;sans-serif" w:hAnsi="Arial;sans-serif"/>
                <w:b w:val="false"/>
                <w:sz w:val="18"/>
              </w:rPr>
              <w:t>- our policies and practices related to information security, including cybersecurity</w:t>
            </w:r>
          </w:p>
          <w:p>
            <w:pPr>
              <w:pStyle w:val="TableContents"/>
              <w:pBdr/>
              <w:bidi w:val="0"/>
              <w:spacing w:before="0" w:after="0"/>
              <w:ind w:left="489" w:right="0" w:hanging="270"/>
              <w:jc w:val="left"/>
              <w:rPr>
                <w:rFonts w:ascii="Arial;sans-serif" w:hAnsi="Arial;sans-serif"/>
                <w:b w:val="false"/>
                <w:sz w:val="18"/>
              </w:rPr>
            </w:pPr>
            <w:r>
              <w:rPr>
                <w:rFonts w:ascii="Arial;sans-serif" w:hAnsi="Arial;sans-serif"/>
                <w:b w:val="false"/>
                <w:sz w:val="18"/>
              </w:rPr>
              <w:t>- the independent registered public accountant’s qualification and independence</w:t>
            </w:r>
          </w:p>
          <w:p>
            <w:pPr>
              <w:pStyle w:val="TableContents"/>
              <w:pBdr/>
              <w:bidi w:val="0"/>
              <w:spacing w:before="0" w:after="0"/>
              <w:ind w:left="489" w:right="0" w:hanging="270"/>
              <w:jc w:val="left"/>
              <w:rPr>
                <w:rFonts w:ascii="Arial;sans-serif" w:hAnsi="Arial;sans-serif"/>
                <w:b w:val="false"/>
                <w:sz w:val="18"/>
              </w:rPr>
            </w:pPr>
            <w:r>
              <w:rPr>
                <w:rFonts w:ascii="Arial;sans-serif" w:hAnsi="Arial;sans-serif"/>
                <w:b w:val="false"/>
                <w:sz w:val="18"/>
              </w:rPr>
              <w:t>- the performance of the independent registered public accountant</w:t>
            </w:r>
          </w:p>
          <w:p>
            <w:pPr>
              <w:pStyle w:val="TableContents"/>
              <w:pBdr/>
              <w:bidi w:val="0"/>
              <w:spacing w:before="0" w:after="0"/>
              <w:ind w:left="0" w:right="0" w:hanging="360"/>
              <w:jc w:val="both"/>
              <w:rPr/>
            </w:pPr>
            <w:r>
              <w:rPr/>
              <w:t> </w:t>
            </w:r>
          </w:p>
          <w:p>
            <w:pPr>
              <w:pStyle w:val="TableContents"/>
              <w:pBdr/>
              <w:bidi w:val="0"/>
              <w:spacing w:before="0" w:after="120"/>
              <w:ind w:left="58" w:right="0" w:hanging="360"/>
              <w:jc w:val="left"/>
              <w:rPr>
                <w:rFonts w:ascii="Arial;sans-serif" w:hAnsi="Arial;sans-serif"/>
                <w:b w:val="false"/>
                <w:sz w:val="18"/>
              </w:rPr>
            </w:pPr>
            <w:r>
              <w:rPr>
                <w:rFonts w:ascii="Arial;sans-serif" w:hAnsi="Arial;sans-serif"/>
                <w:b w:val="false"/>
                <w:sz w:val="18"/>
              </w:rPr>
              <w:t> Meets separately on a regular basis with representatives of our independent registered public accountant and our internal audit function</w:t>
            </w:r>
          </w:p>
        </w:tc>
        <w:tc>
          <w:tcPr>
            <w:tcW w:w="504" w:type="dxa"/>
            <w:tcBorders/>
            <w:vAlign w:val="center"/>
          </w:tcPr>
          <w:p>
            <w:pPr>
              <w:pStyle w:val="TableContents"/>
              <w:bidi w:val="0"/>
              <w:spacing w:before="0" w:after="283"/>
              <w:ind w:left="0" w:right="0" w:firstLine="418"/>
              <w:jc w:val="left"/>
              <w:rPr>
                <w:sz w:val="4"/>
                <w:szCs w:val="4"/>
              </w:rPr>
            </w:pPr>
            <w:r>
              <w:rPr>
                <w:sz w:val="4"/>
                <w:szCs w:val="4"/>
              </w:rPr>
            </w:r>
          </w:p>
        </w:tc>
        <w:tc>
          <w:tcPr>
            <w:tcW w:w="4519" w:type="dxa"/>
            <w:tcBorders/>
            <w:vAlign w:val="center"/>
          </w:tcPr>
          <w:p>
            <w:pPr>
              <w:pStyle w:val="TableContents"/>
              <w:pBdr/>
              <w:bidi w:val="0"/>
              <w:spacing w:before="0" w:after="0"/>
              <w:ind w:left="58" w:right="0" w:hanging="360"/>
              <w:jc w:val="left"/>
              <w:rPr/>
            </w:pPr>
            <w:r>
              <w:rPr/>
              <w:t> </w:t>
            </w:r>
          </w:p>
          <w:p>
            <w:pPr>
              <w:pStyle w:val="TableContents"/>
              <w:pBdr/>
              <w:bidi w:val="0"/>
              <w:spacing w:before="0" w:after="0"/>
              <w:ind w:left="58" w:right="0" w:hanging="360"/>
              <w:jc w:val="left"/>
              <w:rPr>
                <w:rFonts w:ascii="Arial;sans-serif" w:hAnsi="Arial;sans-serif"/>
                <w:b w:val="false"/>
                <w:sz w:val="18"/>
              </w:rPr>
            </w:pPr>
            <w:r>
              <w:rPr>
                <w:rFonts w:ascii="Arial;sans-serif" w:hAnsi="Arial;sans-serif"/>
                <w:b w:val="false"/>
                <w:sz w:val="18"/>
              </w:rPr>
              <w:t> Considers the risk that our compensation policies and practices may have in attracting, retaining, and motivating valued employees</w:t>
            </w:r>
          </w:p>
          <w:p>
            <w:pPr>
              <w:pStyle w:val="TableContents"/>
              <w:pBdr/>
              <w:bidi w:val="0"/>
              <w:spacing w:before="0" w:after="0"/>
              <w:ind w:left="58" w:right="0" w:hanging="274"/>
              <w:jc w:val="both"/>
              <w:rPr/>
            </w:pPr>
            <w:r>
              <w:rPr/>
              <w:t> </w:t>
            </w:r>
          </w:p>
          <w:p>
            <w:pPr>
              <w:pStyle w:val="TableContents"/>
              <w:pBdr/>
              <w:bidi w:val="0"/>
              <w:spacing w:before="0" w:after="0"/>
              <w:ind w:left="58" w:right="7" w:hanging="360"/>
              <w:jc w:val="left"/>
              <w:rPr>
                <w:rFonts w:ascii="Arial;sans-serif" w:hAnsi="Arial;sans-serif"/>
                <w:b w:val="false"/>
                <w:sz w:val="18"/>
              </w:rPr>
            </w:pPr>
            <w:r>
              <w:rPr>
                <w:rFonts w:ascii="Arial;sans-serif" w:hAnsi="Arial;sans-serif"/>
                <w:b w:val="false"/>
                <w:sz w:val="18"/>
              </w:rPr>
              <w:t> Endeavors to ensure that it is not reasonably likely that our compensation plans and policies would have a material adverse effect on us</w:t>
            </w:r>
          </w:p>
          <w:p>
            <w:pPr>
              <w:pStyle w:val="TableContents"/>
              <w:bidi w:val="0"/>
              <w:spacing w:before="240" w:after="0"/>
              <w:ind w:left="0" w:right="0" w:hanging="0"/>
              <w:jc w:val="both"/>
              <w:rPr>
                <w:rFonts w:ascii="Arial;sans-serif" w:hAnsi="Arial;sans-serif"/>
                <w:b/>
                <w:sz w:val="20"/>
              </w:rPr>
            </w:pPr>
            <w:r>
              <w:rPr>
                <w:rFonts w:ascii="Arial;sans-serif" w:hAnsi="Arial;sans-serif"/>
                <w:b/>
                <w:sz w:val="20"/>
              </w:rPr>
              <w:t>NCG COMMITTEE</w:t>
            </w:r>
          </w:p>
          <w:p>
            <w:pPr>
              <w:pStyle w:val="TableContents"/>
              <w:bidi w:val="0"/>
              <w:spacing w:before="0" w:after="0"/>
              <w:ind w:left="0" w:right="0" w:hanging="0"/>
              <w:jc w:val="both"/>
              <w:rPr/>
            </w:pPr>
            <w:r>
              <w:rPr/>
              <w:t> </w:t>
            </w:r>
          </w:p>
          <w:p>
            <w:pPr>
              <w:pStyle w:val="TableContents"/>
              <w:pBdr/>
              <w:bidi w:val="0"/>
              <w:spacing w:before="0" w:after="0"/>
              <w:ind w:left="58" w:right="0" w:hanging="360"/>
              <w:jc w:val="left"/>
              <w:rPr>
                <w:rFonts w:ascii="Times New Roman" w:hAnsi="Times New Roman"/>
                <w:sz w:val="18"/>
              </w:rPr>
            </w:pPr>
            <w:r>
              <w:rPr>
                <w:rFonts w:ascii="Arial;sans-serif" w:hAnsi="Arial;sans-serif"/>
                <w:b w:val="false"/>
                <w:sz w:val="18"/>
              </w:rPr>
              <w:t> Oversees governance-related risk, such as board independence, conflicts of interest, and management and succession planning</w:t>
            </w:r>
            <w:r>
              <w:rPr>
                <w:rFonts w:ascii="Times New Roman" w:hAnsi="Times New Roman"/>
                <w:sz w:val="18"/>
              </w:rPr>
              <w:t xml:space="preserve"> </w:t>
            </w:r>
          </w:p>
          <w:p>
            <w:pPr>
              <w:pStyle w:val="TableContents"/>
              <w:bidi w:val="0"/>
              <w:spacing w:before="240" w:after="0"/>
              <w:ind w:left="0" w:right="0" w:hanging="0"/>
              <w:jc w:val="both"/>
              <w:rPr>
                <w:rFonts w:ascii="Arial;sans-serif" w:hAnsi="Arial;sans-serif"/>
                <w:b/>
                <w:sz w:val="20"/>
              </w:rPr>
            </w:pPr>
            <w:r>
              <w:rPr>
                <w:rFonts w:ascii="Arial;sans-serif" w:hAnsi="Arial;sans-serif"/>
                <w:b/>
                <w:sz w:val="20"/>
              </w:rPr>
              <w:t>ESG COMMITTEE</w:t>
            </w:r>
          </w:p>
          <w:p>
            <w:pPr>
              <w:pStyle w:val="TableContents"/>
              <w:bidi w:val="0"/>
              <w:spacing w:before="0" w:after="0"/>
              <w:ind w:left="0" w:right="0" w:hanging="0"/>
              <w:jc w:val="both"/>
              <w:rPr/>
            </w:pPr>
            <w:r>
              <w:rPr/>
              <w:t> </w:t>
            </w:r>
          </w:p>
          <w:p>
            <w:pPr>
              <w:pStyle w:val="TableContents"/>
              <w:pBdr/>
              <w:bidi w:val="0"/>
              <w:spacing w:before="0" w:after="120"/>
              <w:ind w:left="58" w:right="0" w:hanging="360"/>
              <w:jc w:val="left"/>
              <w:rPr>
                <w:rFonts w:ascii="Arial;sans-serif" w:hAnsi="Arial;sans-serif"/>
                <w:b w:val="false"/>
                <w:sz w:val="18"/>
              </w:rPr>
            </w:pPr>
            <w:r>
              <w:rPr>
                <w:rFonts w:ascii="Arial;sans-serif" w:hAnsi="Arial;sans-serif"/>
                <w:b w:val="false"/>
                <w:sz w:val="18"/>
              </w:rPr>
              <w:t> Reviews emerging risks associated with ESG matters</w:t>
            </w:r>
          </w:p>
          <w:p>
            <w:pPr>
              <w:pStyle w:val="TableContents"/>
              <w:pBdr/>
              <w:bidi w:val="0"/>
              <w:spacing w:before="0" w:after="120"/>
              <w:ind w:left="58" w:right="0" w:hanging="360"/>
              <w:jc w:val="both"/>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92" w:type="dxa"/>
            <w:tcBorders/>
            <w:vAlign w:val="center"/>
          </w:tcPr>
          <w:p>
            <w:pPr>
              <w:pStyle w:val="TableContents"/>
              <w:bidi w:val="0"/>
              <w:spacing w:before="0" w:after="0"/>
              <w:ind w:left="0" w:right="0" w:hanging="0"/>
              <w:jc w:val="both"/>
              <w:rPr/>
            </w:pPr>
            <w:r>
              <w:rPr/>
              <w:t> </w:t>
            </w:r>
          </w:p>
        </w:tc>
      </w:tr>
    </w:tbl>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i/>
          <w:sz w:val="20"/>
        </w:rPr>
        <w:t>Cybersecurity Risk Oversight</w:t>
      </w:r>
      <w:r>
        <w:rPr>
          <w:rFonts w:ascii="Arial;sans-serif" w:hAnsi="Arial;sans-serif"/>
          <w:b w:val="false"/>
          <w:sz w:val="20"/>
        </w:rPr>
        <w:t>. We recognize the importance of cybersecurity risk governance. The Audit Committee receives regular reports from management on, among other things, the emerging cybersecurity threat landscape and our cybersecurity risks and threats. The Audit Committee regularly briefs the full Board on these matters. We maintain a Cyber Incident Response Plan.</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i/>
          <w:sz w:val="20"/>
        </w:rPr>
        <w:t>ESG Risk Oversight</w:t>
      </w:r>
      <w:r>
        <w:rPr>
          <w:rFonts w:ascii="Arial;sans-serif" w:hAnsi="Arial;sans-serif"/>
          <w:b w:val="false"/>
          <w:sz w:val="20"/>
        </w:rPr>
        <w:t>. We recognize the importance to our stakeholders of ESG matters. Since 2021, the ESG Committee has assisted the Board and its committees in fulfilling the Board’s oversight responsibilities with various environmental, social, health, safety, and governance policies and operational control matters relevant to us. In part, the ESG Committee reviews emerging risks and opportunities associated with ESG matters.</w:t>
      </w:r>
    </w:p>
    <w:p>
      <w:pPr>
        <w:pStyle w:val="TextBody"/>
        <w:bidi w:val="0"/>
        <w:spacing w:before="0" w:after="0"/>
        <w:jc w:val="both"/>
        <w:rPr/>
      </w:pPr>
      <w:r>
        <w:rPr/>
        <w:t> </w:t>
      </w:r>
    </w:p>
    <w:p>
      <w:pPr>
        <w:pStyle w:val="TextBody"/>
        <w:bidi w:val="0"/>
        <w:spacing w:before="0" w:after="0"/>
        <w:jc w:val="both"/>
        <w:rPr>
          <w:rFonts w:ascii="Arial;sans-serif" w:hAnsi="Arial;sans-serif"/>
          <w:b w:val="false"/>
          <w:sz w:val="24"/>
          <w:u w:val="single"/>
        </w:rPr>
      </w:pPr>
      <w:r>
        <w:rPr>
          <w:rFonts w:ascii="Arial;sans-serif" w:hAnsi="Arial;sans-serif"/>
          <w:b w:val="false"/>
          <w:sz w:val="24"/>
          <w:u w:val="single"/>
        </w:rPr>
        <w:t>Board Leadership Structure</w:t>
      </w:r>
    </w:p>
    <w:p>
      <w:pPr>
        <w:pStyle w:val="TextBody"/>
        <w:bidi w:val="0"/>
        <w:spacing w:before="0" w:after="0"/>
        <w:jc w:val="both"/>
        <w:rPr>
          <w:rFonts w:ascii="Arial;sans-serif" w:hAnsi="Arial;sans-serif"/>
          <w:b w:val="false"/>
          <w:sz w:val="20"/>
        </w:rPr>
      </w:pPr>
      <w:r>
        <w:rPr>
          <w:rFonts w:ascii="Arial;sans-serif" w:hAnsi="Arial;sans-serif"/>
          <w:b w:val="false"/>
          <w:sz w:val="20"/>
        </w:rPr>
        <w:t>Our Corporate Governance Guidelines support flexibility in the structure of the Board by not requiring the separation of the roles of CEO and Chairman. We maintain separate roles between our CEO and Chairman in recognition of the differences between the responsibilities of these roles. The Board believes this leadership structure is the most effective for us at this time because it allows our CEO to focus on running our business and our Chairman to focus on pursuing sound governance practices that benefit the long-term interests of our stockholders.</w:t>
      </w:r>
    </w:p>
    <w:p>
      <w:pPr>
        <w:pStyle w:val="TextBody"/>
        <w:bidi w:val="0"/>
        <w:spacing w:before="0" w:after="0"/>
        <w:jc w:val="both"/>
        <w:rPr/>
      </w:pPr>
      <w:r>
        <w:rPr/>
        <w:t> </w:t>
      </w:r>
    </w:p>
    <w:p>
      <w:pPr>
        <w:pStyle w:val="TextBody"/>
        <w:bidi w:val="0"/>
        <w:spacing w:before="0" w:after="0"/>
        <w:jc w:val="both"/>
        <w:rPr>
          <w:rFonts w:ascii="Arial;sans-serif" w:hAnsi="Arial;sans-serif"/>
          <w:b w:val="false"/>
          <w:sz w:val="24"/>
          <w:u w:val="single"/>
        </w:rPr>
      </w:pPr>
      <w:r>
        <w:rPr>
          <w:rFonts w:ascii="Arial;sans-serif" w:hAnsi="Arial;sans-serif"/>
          <w:b w:val="false"/>
          <w:sz w:val="24"/>
          <w:u w:val="single"/>
        </w:rPr>
        <w:t>Board Committees</w:t>
      </w:r>
    </w:p>
    <w:p>
      <w:pPr>
        <w:pStyle w:val="TextBody"/>
        <w:bidi w:val="0"/>
        <w:spacing w:before="40" w:after="0"/>
        <w:jc w:val="both"/>
        <w:rPr>
          <w:rFonts w:ascii="Arial;sans-serif" w:hAnsi="Arial;sans-serif"/>
          <w:b w:val="false"/>
          <w:sz w:val="20"/>
        </w:rPr>
      </w:pPr>
      <w:r>
        <w:rPr>
          <w:rFonts w:ascii="Arial;sans-serif" w:hAnsi="Arial;sans-serif"/>
          <w:b w:val="false"/>
          <w:sz w:val="20"/>
        </w:rPr>
        <w:t>The Board has four standing committees, each of which is comprised of independent directors: the Audit Committee, the Compensation Committee, the NCG Committee, and the ESG Committee.</w:t>
      </w:r>
    </w:p>
    <w:p>
      <w:pPr>
        <w:pStyle w:val="TextBody"/>
        <w:bidi w:val="0"/>
        <w:spacing w:before="0" w:after="0"/>
        <w:jc w:val="left"/>
        <w:rPr/>
      </w:pPr>
      <w:r>
        <w:rPr/>
        <w:t> </w:t>
      </w:r>
    </w:p>
    <w:tbl>
      <w:tblPr>
        <w:tblW w:w="3762" w:type="dxa"/>
        <w:jc w:val="left"/>
        <w:tblInd w:w="0" w:type="dxa"/>
        <w:tblLayout w:type="fixed"/>
        <w:tblCellMar>
          <w:top w:w="28" w:type="dxa"/>
          <w:left w:w="28" w:type="dxa"/>
          <w:bottom w:w="28" w:type="dxa"/>
          <w:right w:w="28" w:type="dxa"/>
        </w:tblCellMar>
      </w:tblPr>
      <w:tblGrid>
        <w:gridCol w:w="2266"/>
        <w:gridCol w:w="1496"/>
      </w:tblGrid>
      <w:tr>
        <w:trPr/>
        <w:tc>
          <w:tcPr>
            <w:tcW w:w="226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10</w:t>
            </w:r>
            <w:r>
              <w:rPr>
                <w:rFonts w:ascii="Times New Roman" w:hAnsi="Times New Roman"/>
                <w:sz w:val="18"/>
              </w:rPr>
              <w:t> </w:t>
            </w:r>
            <w:r>
              <w:rPr>
                <w:rFonts w:ascii="Arial;sans-serif" w:hAnsi="Arial;sans-serif"/>
                <w:b w:val="false"/>
                <w:sz w:val="18"/>
              </w:rPr>
              <w:t>I 2023 Proxy Statement</w:t>
            </w:r>
          </w:p>
        </w:tc>
        <w:tc>
          <w:tcPr>
            <w:tcW w:w="1496" w:type="dxa"/>
            <w:tcBorders/>
            <w:vAlign w:val="center"/>
          </w:tcPr>
          <w:p>
            <w:pPr>
              <w:pStyle w:val="TableContents"/>
              <w:bidi w:val="0"/>
              <w:spacing w:before="0" w:after="0"/>
              <w:ind w:left="0" w:right="0" w:hanging="0"/>
              <w:jc w:val="right"/>
              <w:rPr/>
            </w:pPr>
            <w:r>
              <w:rPr/>
              <w:drawing>
                <wp:inline distT="0" distB="0" distL="0" distR="0">
                  <wp:extent cx="828675" cy="1905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828675" cy="190500"/>
                          </a:xfrm>
                          <a:prstGeom prst="rect">
                            <a:avLst/>
                          </a:prstGeom>
                        </pic:spPr>
                      </pic:pic>
                    </a:graphicData>
                  </a:graphic>
                </wp:inline>
              </w:drawing>
            </w: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3027" w:type="dxa"/>
        <w:jc w:val="left"/>
        <w:tblInd w:w="0" w:type="dxa"/>
        <w:tblLayout w:type="fixed"/>
        <w:tblCellMar>
          <w:top w:w="28" w:type="dxa"/>
          <w:left w:w="28" w:type="dxa"/>
          <w:bottom w:w="28" w:type="dxa"/>
          <w:right w:w="28" w:type="dxa"/>
        </w:tblCellMar>
      </w:tblPr>
      <w:tblGrid>
        <w:gridCol w:w="2836"/>
        <w:gridCol w:w="191"/>
      </w:tblGrid>
      <w:tr>
        <w:trPr/>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Board and Governance Matters</w:t>
            </w:r>
          </w:p>
        </w:tc>
        <w:tc>
          <w:tcPr>
            <w:tcW w:w="191" w:type="dxa"/>
            <w:tcBorders/>
            <w:vAlign w:val="center"/>
          </w:tcPr>
          <w:p>
            <w:pPr>
              <w:pStyle w:val="TableContents"/>
              <w:bidi w:val="0"/>
              <w:spacing w:before="0" w:after="0"/>
              <w:ind w:left="0" w:right="0" w:hanging="0"/>
              <w:jc w:val="left"/>
              <w:rPr/>
            </w:pPr>
            <w:r>
              <w:rPr/>
              <w:t> </w:t>
            </w:r>
          </w:p>
        </w:tc>
      </w:tr>
      <w:tr>
        <w:trPr/>
        <w:tc>
          <w:tcPr>
            <w:tcW w:w="283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4984"/>
        <w:gridCol w:w="5221"/>
      </w:tblGrid>
      <w:tr>
        <w:trPr/>
        <w:tc>
          <w:tcPr>
            <w:tcW w:w="4984" w:type="dxa"/>
            <w:tcBorders/>
            <w:vAlign w:val="center"/>
          </w:tcPr>
          <w:p>
            <w:pPr>
              <w:pStyle w:val="TableContents"/>
              <w:bidi w:val="0"/>
              <w:spacing w:before="0" w:after="283"/>
              <w:jc w:val="left"/>
              <w:rPr>
                <w:sz w:val="4"/>
                <w:szCs w:val="4"/>
              </w:rPr>
            </w:pPr>
            <w:r>
              <w:rPr>
                <w:sz w:val="4"/>
                <w:szCs w:val="4"/>
              </w:rPr>
            </w:r>
          </w:p>
        </w:tc>
        <w:tc>
          <w:tcPr>
            <w:tcW w:w="522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4984" w:type="dxa"/>
            <w:tcBorders>
              <w:top w:val="single" w:sz="4" w:space="0" w:color="000000"/>
              <w:left w:val="single" w:sz="6" w:space="0" w:color="000000"/>
              <w:bottom w:val="single" w:sz="4" w:space="0" w:color="000000"/>
            </w:tcBorders>
            <w:tcMar>
              <w:right w:w="0" w:type="dxa"/>
            </w:tcMar>
            <w:vAlign w:val="center"/>
          </w:tcPr>
          <w:p>
            <w:pPr>
              <w:pStyle w:val="TableContents"/>
              <w:bidi w:val="0"/>
              <w:spacing w:before="240" w:after="0"/>
              <w:ind w:left="180" w:right="0" w:hanging="0"/>
              <w:jc w:val="both"/>
              <w:rPr>
                <w:rFonts w:ascii="Arial;sans-serif" w:hAnsi="Arial;sans-serif"/>
                <w:b/>
                <w:sz w:val="20"/>
              </w:rPr>
            </w:pPr>
            <w:r>
              <w:rPr>
                <w:rFonts w:ascii="Arial;sans-serif" w:hAnsi="Arial;sans-serif"/>
                <w:b/>
                <w:sz w:val="20"/>
              </w:rPr>
              <w:t>AUDIT COMMITTEE</w:t>
            </w:r>
          </w:p>
          <w:p>
            <w:pPr>
              <w:pStyle w:val="TableContents"/>
              <w:bidi w:val="0"/>
              <w:spacing w:before="0" w:after="0"/>
              <w:ind w:left="175" w:right="0" w:hanging="0"/>
              <w:jc w:val="both"/>
              <w:rPr/>
            </w:pPr>
            <w:r>
              <w:rPr/>
              <w:t> </w:t>
            </w:r>
          </w:p>
          <w:p>
            <w:pPr>
              <w:pStyle w:val="TableContents"/>
              <w:bidi w:val="0"/>
              <w:spacing w:before="0" w:after="0"/>
              <w:ind w:left="175" w:right="0" w:hanging="0"/>
              <w:jc w:val="both"/>
              <w:rPr>
                <w:rFonts w:ascii="Arial;sans-serif" w:hAnsi="Arial;sans-serif"/>
                <w:b/>
                <w:sz w:val="20"/>
              </w:rPr>
            </w:pPr>
            <w:r>
              <w:rPr>
                <w:rFonts w:ascii="Arial;sans-serif" w:hAnsi="Arial;sans-serif"/>
                <w:b/>
                <w:sz w:val="20"/>
              </w:rPr>
              <w:t>Members:</w:t>
            </w:r>
          </w:p>
          <w:p>
            <w:pPr>
              <w:pStyle w:val="TableContents"/>
              <w:bidi w:val="0"/>
              <w:spacing w:before="0" w:after="0"/>
              <w:ind w:left="175" w:right="0" w:hanging="0"/>
              <w:jc w:val="both"/>
              <w:rPr>
                <w:rFonts w:ascii="Arial;sans-serif" w:hAnsi="Arial;sans-serif"/>
                <w:b w:val="false"/>
                <w:sz w:val="18"/>
              </w:rPr>
            </w:pPr>
            <w:r>
              <w:rPr>
                <w:rFonts w:ascii="Arial;sans-serif" w:hAnsi="Arial;sans-serif"/>
                <w:b w:val="false"/>
                <w:sz w:val="18"/>
              </w:rPr>
              <w:t>Anita Britt (Chair)</w:t>
            </w:r>
          </w:p>
          <w:p>
            <w:pPr>
              <w:pStyle w:val="TableContents"/>
              <w:bidi w:val="0"/>
              <w:spacing w:before="0" w:after="0"/>
              <w:ind w:left="175" w:right="0" w:hanging="0"/>
              <w:jc w:val="both"/>
              <w:rPr>
                <w:rFonts w:ascii="Times New Roman" w:hAnsi="Times New Roman"/>
                <w:sz w:val="18"/>
              </w:rPr>
            </w:pPr>
            <w:r>
              <w:rPr>
                <w:rFonts w:ascii="Arial;sans-serif" w:hAnsi="Arial;sans-serif"/>
                <w:b w:val="false"/>
                <w:sz w:val="18"/>
              </w:rPr>
              <w:t xml:space="preserve">John Furman </w:t>
            </w:r>
            <w:r>
              <w:rPr>
                <w:rFonts w:ascii="Arial;sans-serif" w:hAnsi="Arial;sans-serif"/>
                <w:b w:val="false"/>
                <w:sz w:val="12"/>
              </w:rPr>
              <w:t>(1)</w:t>
            </w:r>
          </w:p>
          <w:p>
            <w:pPr>
              <w:pStyle w:val="TableContents"/>
              <w:bidi w:val="0"/>
              <w:spacing w:before="0" w:after="0"/>
              <w:ind w:left="175" w:right="0" w:hanging="0"/>
              <w:jc w:val="both"/>
              <w:rPr>
                <w:rFonts w:ascii="Arial;sans-serif" w:hAnsi="Arial;sans-serif"/>
                <w:b w:val="false"/>
                <w:sz w:val="18"/>
              </w:rPr>
            </w:pPr>
            <w:r>
              <w:rPr>
                <w:rFonts w:ascii="Arial;sans-serif" w:hAnsi="Arial;sans-serif"/>
                <w:b w:val="false"/>
                <w:sz w:val="18"/>
              </w:rPr>
              <w:t>Bob Scott</w:t>
            </w:r>
          </w:p>
          <w:p>
            <w:pPr>
              <w:pStyle w:val="TableContents"/>
              <w:bidi w:val="0"/>
              <w:spacing w:before="0" w:after="0"/>
              <w:ind w:left="175" w:right="0" w:hanging="0"/>
              <w:jc w:val="both"/>
              <w:rPr>
                <w:rFonts w:ascii="Arial;sans-serif" w:hAnsi="Arial;sans-serif"/>
                <w:b w:val="false"/>
                <w:sz w:val="18"/>
              </w:rPr>
            </w:pPr>
            <w:r>
              <w:rPr>
                <w:rFonts w:ascii="Arial;sans-serif" w:hAnsi="Arial;sans-serif"/>
                <w:b w:val="false"/>
                <w:sz w:val="18"/>
              </w:rPr>
              <w:t>Denis Suggs</w:t>
            </w:r>
          </w:p>
          <w:p>
            <w:pPr>
              <w:pStyle w:val="TableContents"/>
              <w:bidi w:val="0"/>
              <w:spacing w:before="0" w:after="0"/>
              <w:ind w:left="175" w:right="0" w:hanging="0"/>
              <w:jc w:val="both"/>
              <w:rPr>
                <w:rFonts w:ascii="Arial;sans-serif" w:hAnsi="Arial;sans-serif"/>
                <w:b/>
                <w:sz w:val="20"/>
              </w:rPr>
            </w:pPr>
            <w:r>
              <w:rPr>
                <w:rFonts w:ascii="Arial;sans-serif" w:hAnsi="Arial;sans-serif"/>
                <w:b/>
                <w:sz w:val="20"/>
              </w:rPr>
              <w:t>Meetings in Fiscal 2023: 5</w:t>
            </w:r>
          </w:p>
          <w:p>
            <w:pPr>
              <w:pStyle w:val="TableContents"/>
              <w:bidi w:val="0"/>
              <w:spacing w:before="0" w:after="0"/>
              <w:ind w:left="175" w:right="0" w:hanging="0"/>
              <w:jc w:val="both"/>
              <w:rPr/>
            </w:pPr>
            <w:r>
              <w:rPr/>
              <w:t> </w:t>
            </w:r>
          </w:p>
          <w:p>
            <w:pPr>
              <w:pStyle w:val="TableContents"/>
              <w:bidi w:val="0"/>
              <w:spacing w:before="0" w:after="0"/>
              <w:ind w:left="175" w:right="0" w:hanging="0"/>
              <w:jc w:val="both"/>
              <w:rPr>
                <w:rFonts w:ascii="Arial;sans-serif" w:hAnsi="Arial;sans-serif"/>
                <w:b/>
                <w:sz w:val="20"/>
              </w:rPr>
            </w:pPr>
            <w:r>
              <w:rPr>
                <w:rFonts w:ascii="Arial;sans-serif" w:hAnsi="Arial;sans-serif"/>
                <w:b/>
                <w:sz w:val="20"/>
              </w:rPr>
              <w:t>Member Independence: 4 of 4</w:t>
            </w:r>
          </w:p>
          <w:p>
            <w:pPr>
              <w:pStyle w:val="TableContents"/>
              <w:bidi w:val="0"/>
              <w:spacing w:before="0" w:after="0"/>
              <w:ind w:left="175" w:right="0" w:hanging="0"/>
              <w:jc w:val="both"/>
              <w:rPr/>
            </w:pPr>
            <w:r>
              <w:rPr/>
              <w:t> </w:t>
            </w:r>
          </w:p>
          <w:p>
            <w:pPr>
              <w:pStyle w:val="TableContents"/>
              <w:pBdr/>
              <w:bidi w:val="0"/>
              <w:spacing w:before="0" w:after="0"/>
              <w:ind w:left="86" w:right="120" w:hanging="86"/>
              <w:jc w:val="both"/>
              <w:rPr>
                <w:rFonts w:ascii="Arial;sans-serif" w:hAnsi="Arial;sans-serif"/>
                <w:b w:val="false"/>
                <w:sz w:val="16"/>
              </w:rPr>
            </w:pPr>
            <w:r>
              <w:rPr>
                <w:rFonts w:ascii="Arial;sans-serif" w:hAnsi="Arial;sans-serif"/>
                <w:b w:val="false"/>
                <w:sz w:val="16"/>
              </w:rPr>
              <w:t>* All members meet the independence requirements of Nasdaq and Rule 10A-3 of the Exchange Act. The Board has determined that each member is an “audit committee financial expert” within the meaning of SEC regulations.</w:t>
            </w:r>
          </w:p>
        </w:tc>
        <w:tc>
          <w:tcPr>
            <w:tcW w:w="5221" w:type="dxa"/>
            <w:tcBorders>
              <w:top w:val="single" w:sz="4" w:space="0" w:color="000000"/>
              <w:bottom w:val="single" w:sz="4" w:space="0" w:color="000000"/>
              <w:right w:val="single" w:sz="6" w:space="0" w:color="000000"/>
            </w:tcBorders>
            <w:tcMar>
              <w:left w:w="0" w:type="dxa"/>
            </w:tcMar>
            <w:vAlign w:val="center"/>
          </w:tcPr>
          <w:p>
            <w:pPr>
              <w:pStyle w:val="TableContents"/>
              <w:bidi w:val="0"/>
              <w:spacing w:before="240" w:after="0"/>
              <w:ind w:left="0" w:right="70" w:hanging="0"/>
              <w:jc w:val="both"/>
              <w:rPr>
                <w:rFonts w:ascii="Arial;sans-serif" w:hAnsi="Arial;sans-serif"/>
                <w:b/>
                <w:sz w:val="20"/>
              </w:rPr>
            </w:pPr>
            <w:r>
              <w:rPr>
                <w:rFonts w:ascii="Arial;sans-serif" w:hAnsi="Arial;sans-serif"/>
                <w:b/>
                <w:sz w:val="20"/>
              </w:rPr>
              <w:t>Purpose:</w:t>
            </w:r>
          </w:p>
          <w:p>
            <w:pPr>
              <w:pStyle w:val="TableContents"/>
              <w:pBdr/>
              <w:bidi w:val="0"/>
              <w:spacing w:before="0" w:after="120"/>
              <w:ind w:left="58" w:right="70" w:hanging="360"/>
              <w:jc w:val="left"/>
              <w:rPr>
                <w:rFonts w:ascii="Arial;sans-serif" w:hAnsi="Arial;sans-serif"/>
                <w:b w:val="false"/>
                <w:sz w:val="18"/>
              </w:rPr>
            </w:pPr>
            <w:r>
              <w:rPr>
                <w:rFonts w:ascii="Arial;sans-serif" w:hAnsi="Arial;sans-serif"/>
                <w:b w:val="false"/>
                <w:sz w:val="18"/>
              </w:rPr>
              <w:t> Overseeing our financial and reporting processes and the audits of our financial statements.</w:t>
            </w:r>
          </w:p>
          <w:p>
            <w:pPr>
              <w:pStyle w:val="TableContents"/>
              <w:pBdr/>
              <w:bidi w:val="0"/>
              <w:spacing w:before="0" w:after="120"/>
              <w:ind w:left="58" w:right="70" w:hanging="360"/>
              <w:jc w:val="left"/>
              <w:rPr>
                <w:rFonts w:ascii="Arial;sans-serif" w:hAnsi="Arial;sans-serif"/>
                <w:b w:val="false"/>
                <w:sz w:val="18"/>
              </w:rPr>
            </w:pPr>
            <w:r>
              <w:rPr>
                <w:rFonts w:ascii="Arial;sans-serif" w:hAnsi="Arial;sans-serif"/>
                <w:b w:val="false"/>
                <w:sz w:val="18"/>
              </w:rPr>
              <w:t> Providing assistance to the Board with respect to its oversight of:</w:t>
            </w:r>
          </w:p>
          <w:p>
            <w:pPr>
              <w:pStyle w:val="TableContents"/>
              <w:pBdr/>
              <w:bidi w:val="0"/>
              <w:spacing w:before="0" w:after="120"/>
              <w:ind w:left="418" w:right="70" w:hanging="187"/>
              <w:jc w:val="left"/>
              <w:rPr>
                <w:rFonts w:ascii="Arial;sans-serif" w:hAnsi="Arial;sans-serif"/>
                <w:b w:val="false"/>
                <w:sz w:val="18"/>
              </w:rPr>
            </w:pPr>
            <w:r>
              <w:rPr>
                <w:rFonts w:ascii="Arial;sans-serif" w:hAnsi="Arial;sans-serif"/>
                <w:b w:val="false"/>
                <w:sz w:val="18"/>
              </w:rPr>
              <w:t>- the integrity of our financial statements</w:t>
            </w:r>
          </w:p>
          <w:p>
            <w:pPr>
              <w:pStyle w:val="TableContents"/>
              <w:pBdr/>
              <w:bidi w:val="0"/>
              <w:spacing w:before="0" w:after="120"/>
              <w:ind w:left="418" w:right="70" w:hanging="187"/>
              <w:jc w:val="left"/>
              <w:rPr>
                <w:rFonts w:ascii="Arial;sans-serif" w:hAnsi="Arial;sans-serif"/>
                <w:b w:val="false"/>
                <w:sz w:val="18"/>
              </w:rPr>
            </w:pPr>
            <w:r>
              <w:rPr>
                <w:rFonts w:ascii="Arial;sans-serif" w:hAnsi="Arial;sans-serif"/>
                <w:b w:val="false"/>
                <w:sz w:val="18"/>
              </w:rPr>
              <w:t>- our compliance with legal and regulatory requirements</w:t>
            </w:r>
          </w:p>
          <w:p>
            <w:pPr>
              <w:pStyle w:val="TableContents"/>
              <w:pBdr/>
              <w:bidi w:val="0"/>
              <w:spacing w:before="0" w:after="120"/>
              <w:ind w:left="418" w:right="70" w:hanging="187"/>
              <w:jc w:val="left"/>
              <w:rPr>
                <w:rFonts w:ascii="Arial;sans-serif" w:hAnsi="Arial;sans-serif"/>
                <w:b w:val="false"/>
                <w:sz w:val="18"/>
              </w:rPr>
            </w:pPr>
            <w:r>
              <w:rPr>
                <w:rFonts w:ascii="Arial;sans-serif" w:hAnsi="Arial;sans-serif"/>
                <w:b w:val="false"/>
                <w:sz w:val="18"/>
              </w:rPr>
              <w:t>- the independent auditor’s qualifications and independence</w:t>
            </w:r>
          </w:p>
          <w:p>
            <w:pPr>
              <w:pStyle w:val="TableContents"/>
              <w:pBdr/>
              <w:bidi w:val="0"/>
              <w:spacing w:before="0" w:after="120"/>
              <w:ind w:left="418" w:right="70" w:hanging="187"/>
              <w:jc w:val="left"/>
              <w:rPr>
                <w:rFonts w:ascii="Arial;sans-serif" w:hAnsi="Arial;sans-serif"/>
                <w:b w:val="false"/>
                <w:sz w:val="18"/>
              </w:rPr>
            </w:pPr>
            <w:r>
              <w:rPr>
                <w:rFonts w:ascii="Arial;sans-serif" w:hAnsi="Arial;sans-serif"/>
                <w:b w:val="false"/>
                <w:sz w:val="18"/>
              </w:rPr>
              <w:t>- the performance of our internal audit function, if any, and independent auditor</w:t>
            </w:r>
          </w:p>
          <w:p>
            <w:pPr>
              <w:pStyle w:val="TableContents"/>
              <w:pBdr/>
              <w:bidi w:val="0"/>
              <w:spacing w:before="0" w:after="120"/>
              <w:ind w:left="418" w:right="70" w:hanging="187"/>
              <w:jc w:val="left"/>
              <w:rPr>
                <w:rFonts w:ascii="Arial;sans-serif" w:hAnsi="Arial;sans-serif"/>
                <w:b w:val="false"/>
                <w:sz w:val="18"/>
              </w:rPr>
            </w:pPr>
            <w:r>
              <w:rPr>
                <w:rFonts w:ascii="Arial;sans-serif" w:hAnsi="Arial;sans-serif"/>
                <w:b w:val="false"/>
                <w:sz w:val="18"/>
              </w:rPr>
              <w:t>- our policies and practices related to information security, including cyber security, protection of personally identifiable information, and training of employees around such items</w:t>
            </w:r>
          </w:p>
          <w:p>
            <w:pPr>
              <w:pStyle w:val="TableContents"/>
              <w:pBdr/>
              <w:bidi w:val="0"/>
              <w:spacing w:before="0" w:after="120"/>
              <w:ind w:left="58" w:right="70" w:hanging="360"/>
              <w:jc w:val="left"/>
              <w:rPr>
                <w:rFonts w:ascii="Arial;sans-serif" w:hAnsi="Arial;sans-serif"/>
                <w:b w:val="false"/>
                <w:sz w:val="18"/>
              </w:rPr>
            </w:pPr>
            <w:r>
              <w:rPr>
                <w:rFonts w:ascii="Arial;sans-serif" w:hAnsi="Arial;sans-serif"/>
                <w:b w:val="false"/>
                <w:sz w:val="18"/>
              </w:rPr>
              <w:t> Preparing the report that SEC rules require be included in our annual proxy statement.</w:t>
            </w:r>
          </w:p>
          <w:p>
            <w:pPr>
              <w:pStyle w:val="TableContents"/>
              <w:bidi w:val="0"/>
              <w:spacing w:before="0" w:after="0"/>
              <w:ind w:left="418" w:right="70" w:hanging="0"/>
              <w:jc w:val="both"/>
              <w:rPr/>
            </w:pPr>
            <w:r>
              <w:rPr/>
              <w:t> </w:t>
            </w:r>
          </w:p>
          <w:p>
            <w:pPr>
              <w:pStyle w:val="TableContents"/>
              <w:bidi w:val="0"/>
              <w:spacing w:before="0" w:after="0"/>
              <w:ind w:left="0" w:right="70" w:hanging="0"/>
              <w:jc w:val="both"/>
              <w:rPr>
                <w:rFonts w:ascii="Arial;sans-serif" w:hAnsi="Arial;sans-serif"/>
                <w:b/>
                <w:sz w:val="20"/>
              </w:rPr>
            </w:pPr>
            <w:r>
              <w:rPr>
                <w:rFonts w:ascii="Arial;sans-serif" w:hAnsi="Arial;sans-serif"/>
                <w:b/>
                <w:sz w:val="20"/>
              </w:rPr>
              <w:t>Principal Responsibilities:</w:t>
            </w:r>
          </w:p>
          <w:p>
            <w:pPr>
              <w:pStyle w:val="TableContents"/>
              <w:pBdr/>
              <w:bidi w:val="0"/>
              <w:spacing w:before="0" w:after="120"/>
              <w:ind w:left="58" w:right="70" w:hanging="360"/>
              <w:jc w:val="left"/>
              <w:rPr>
                <w:rFonts w:ascii="Arial;sans-serif" w:hAnsi="Arial;sans-serif"/>
                <w:b w:val="false"/>
                <w:sz w:val="18"/>
              </w:rPr>
            </w:pPr>
            <w:r>
              <w:rPr>
                <w:rFonts w:ascii="Arial;sans-serif" w:hAnsi="Arial;sans-serif"/>
                <w:b w:val="false"/>
                <w:sz w:val="18"/>
              </w:rPr>
              <w:t> Appointing, retaining, compensating, evaluating, and terminating any accounting firm engaged to prepare or issue an audit report or performing other audit, review, or attest services, and overseeing the work of such firm.</w:t>
            </w:r>
          </w:p>
          <w:p>
            <w:pPr>
              <w:pStyle w:val="TableContents"/>
              <w:pBdr/>
              <w:bidi w:val="0"/>
              <w:spacing w:before="0" w:after="120"/>
              <w:ind w:left="0" w:right="0" w:firstLine="173"/>
              <w:jc w:val="left"/>
              <w:rPr>
                <w:rFonts w:ascii="Arial;sans-serif" w:hAnsi="Arial;sans-serif"/>
                <w:b w:val="false"/>
                <w:sz w:val="18"/>
              </w:rPr>
            </w:pPr>
            <w:r>
              <w:rPr>
                <w:rFonts w:ascii="Arial;sans-serif" w:hAnsi="Arial;sans-serif"/>
                <w:b w:val="false"/>
                <w:sz w:val="18"/>
              </w:rPr>
              <w:t> Overseeing our accounting and financial reporting process and audits of our financial statements.</w:t>
            </w:r>
          </w:p>
        </w:tc>
      </w:tr>
      <w:tr>
        <w:trPr/>
        <w:tc>
          <w:tcPr>
            <w:tcW w:w="4984" w:type="dxa"/>
            <w:tcBorders>
              <w:left w:val="single" w:sz="6" w:space="0" w:color="000000"/>
              <w:bottom w:val="single" w:sz="6" w:space="0" w:color="000000"/>
            </w:tcBorders>
            <w:tcMar>
              <w:top w:w="0" w:type="dxa"/>
              <w:right w:w="0" w:type="dxa"/>
            </w:tcMar>
            <w:vAlign w:val="center"/>
          </w:tcPr>
          <w:p>
            <w:pPr>
              <w:pStyle w:val="TableContents"/>
              <w:bidi w:val="0"/>
              <w:spacing w:before="240" w:after="0"/>
              <w:ind w:left="173" w:right="115" w:hanging="0"/>
              <w:jc w:val="both"/>
              <w:rPr>
                <w:rFonts w:ascii="Arial;sans-serif" w:hAnsi="Arial;sans-serif"/>
                <w:b/>
                <w:sz w:val="20"/>
              </w:rPr>
            </w:pPr>
            <w:r>
              <w:rPr>
                <w:rFonts w:ascii="Arial;sans-serif" w:hAnsi="Arial;sans-serif"/>
                <w:b/>
                <w:sz w:val="20"/>
              </w:rPr>
              <w:t>COMPENSATION COMMITTEE</w:t>
            </w:r>
          </w:p>
          <w:p>
            <w:pPr>
              <w:pStyle w:val="TableContents"/>
              <w:bidi w:val="0"/>
              <w:spacing w:before="0" w:after="0"/>
              <w:ind w:left="175" w:right="120" w:hanging="0"/>
              <w:jc w:val="both"/>
              <w:rPr/>
            </w:pPr>
            <w:r>
              <w:rPr/>
              <w:t> </w:t>
            </w:r>
          </w:p>
          <w:p>
            <w:pPr>
              <w:pStyle w:val="TableContents"/>
              <w:bidi w:val="0"/>
              <w:spacing w:before="0" w:after="0"/>
              <w:ind w:left="175" w:right="120" w:hanging="0"/>
              <w:jc w:val="both"/>
              <w:rPr>
                <w:rFonts w:ascii="Arial;sans-serif" w:hAnsi="Arial;sans-serif"/>
                <w:b/>
                <w:sz w:val="20"/>
              </w:rPr>
            </w:pPr>
            <w:r>
              <w:rPr>
                <w:rFonts w:ascii="Arial;sans-serif" w:hAnsi="Arial;sans-serif"/>
                <w:b/>
                <w:sz w:val="20"/>
              </w:rPr>
              <w:t>Members:</w:t>
            </w:r>
          </w:p>
          <w:p>
            <w:pPr>
              <w:pStyle w:val="TableContents"/>
              <w:bidi w:val="0"/>
              <w:spacing w:before="0" w:after="0"/>
              <w:ind w:left="175" w:right="120" w:hanging="0"/>
              <w:jc w:val="both"/>
              <w:rPr>
                <w:rFonts w:ascii="Arial;sans-serif" w:hAnsi="Arial;sans-serif"/>
                <w:b w:val="false"/>
                <w:sz w:val="18"/>
              </w:rPr>
            </w:pPr>
            <w:r>
              <w:rPr>
                <w:rFonts w:ascii="Arial;sans-serif" w:hAnsi="Arial;sans-serif"/>
                <w:b w:val="false"/>
                <w:sz w:val="18"/>
              </w:rPr>
              <w:t>Barry Monheit (Chair)</w:t>
            </w:r>
          </w:p>
          <w:p>
            <w:pPr>
              <w:pStyle w:val="TableContents"/>
              <w:bidi w:val="0"/>
              <w:spacing w:before="0" w:after="0"/>
              <w:ind w:left="175" w:right="120" w:hanging="0"/>
              <w:jc w:val="both"/>
              <w:rPr>
                <w:rFonts w:ascii="Arial;sans-serif" w:hAnsi="Arial;sans-serif"/>
                <w:b w:val="false"/>
                <w:sz w:val="18"/>
              </w:rPr>
            </w:pPr>
            <w:r>
              <w:rPr>
                <w:rFonts w:ascii="Arial;sans-serif" w:hAnsi="Arial;sans-serif"/>
                <w:b w:val="false"/>
                <w:sz w:val="18"/>
              </w:rPr>
              <w:t>Anita Britt</w:t>
            </w:r>
          </w:p>
          <w:p>
            <w:pPr>
              <w:pStyle w:val="TableContents"/>
              <w:bidi w:val="0"/>
              <w:spacing w:before="0" w:after="0"/>
              <w:ind w:left="175" w:right="120" w:hanging="0"/>
              <w:jc w:val="both"/>
              <w:rPr>
                <w:rFonts w:ascii="Arial;sans-serif" w:hAnsi="Arial;sans-serif"/>
                <w:b w:val="false"/>
                <w:sz w:val="18"/>
              </w:rPr>
            </w:pPr>
            <w:r>
              <w:rPr>
                <w:rFonts w:ascii="Arial;sans-serif" w:hAnsi="Arial;sans-serif"/>
                <w:b w:val="false"/>
                <w:sz w:val="18"/>
              </w:rPr>
              <w:t>Fred Diaz</w:t>
            </w:r>
          </w:p>
          <w:p>
            <w:pPr>
              <w:pStyle w:val="TableContents"/>
              <w:bidi w:val="0"/>
              <w:spacing w:before="0" w:after="0"/>
              <w:ind w:left="175" w:right="120" w:hanging="0"/>
              <w:jc w:val="both"/>
              <w:rPr>
                <w:rFonts w:ascii="Times New Roman" w:hAnsi="Times New Roman"/>
                <w:sz w:val="18"/>
              </w:rPr>
            </w:pPr>
            <w:r>
              <w:rPr>
                <w:rFonts w:ascii="Arial;sans-serif" w:hAnsi="Arial;sans-serif"/>
                <w:b w:val="false"/>
                <w:sz w:val="18"/>
              </w:rPr>
              <w:t xml:space="preserve">John Furman </w:t>
            </w:r>
            <w:r>
              <w:rPr>
                <w:rFonts w:ascii="Arial;sans-serif" w:hAnsi="Arial;sans-serif"/>
                <w:b w:val="false"/>
                <w:sz w:val="12"/>
              </w:rPr>
              <w:t>(1)</w:t>
            </w:r>
          </w:p>
          <w:p>
            <w:pPr>
              <w:pStyle w:val="TableContents"/>
              <w:bidi w:val="0"/>
              <w:spacing w:before="0" w:after="0"/>
              <w:ind w:left="175" w:right="120" w:hanging="0"/>
              <w:jc w:val="both"/>
              <w:rPr>
                <w:rFonts w:ascii="Times New Roman" w:hAnsi="Times New Roman"/>
                <w:sz w:val="18"/>
              </w:rPr>
            </w:pPr>
            <w:r>
              <w:rPr>
                <w:rFonts w:ascii="Arial;sans-serif" w:hAnsi="Arial;sans-serif"/>
                <w:b w:val="false"/>
                <w:sz w:val="18"/>
              </w:rPr>
              <w:t>Michelle Lohmeier</w:t>
            </w:r>
            <w:r>
              <w:rPr>
                <w:rFonts w:ascii="Arial;sans-serif" w:hAnsi="Arial;sans-serif"/>
                <w:b w:val="false"/>
                <w:sz w:val="12"/>
              </w:rPr>
              <w:t>(2)</w:t>
            </w:r>
          </w:p>
          <w:p>
            <w:pPr>
              <w:pStyle w:val="TableContents"/>
              <w:bidi w:val="0"/>
              <w:spacing w:before="0" w:after="0"/>
              <w:ind w:left="175" w:right="120" w:hanging="0"/>
              <w:jc w:val="both"/>
              <w:rPr/>
            </w:pPr>
            <w:r>
              <w:rPr/>
              <w:t> </w:t>
            </w:r>
          </w:p>
          <w:p>
            <w:pPr>
              <w:pStyle w:val="TableContents"/>
              <w:bidi w:val="0"/>
              <w:spacing w:before="0" w:after="0"/>
              <w:ind w:left="175" w:right="120" w:hanging="0"/>
              <w:jc w:val="both"/>
              <w:rPr>
                <w:rFonts w:ascii="Arial;sans-serif" w:hAnsi="Arial;sans-serif"/>
                <w:b/>
                <w:sz w:val="20"/>
              </w:rPr>
            </w:pPr>
            <w:r>
              <w:rPr>
                <w:rFonts w:ascii="Arial;sans-serif" w:hAnsi="Arial;sans-serif"/>
                <w:b/>
                <w:sz w:val="20"/>
              </w:rPr>
              <w:t>Meetings in Fiscal 2023: 6</w:t>
            </w:r>
          </w:p>
          <w:p>
            <w:pPr>
              <w:pStyle w:val="TableContents"/>
              <w:bidi w:val="0"/>
              <w:spacing w:before="0" w:after="0"/>
              <w:ind w:left="175" w:right="120" w:hanging="0"/>
              <w:jc w:val="both"/>
              <w:rPr/>
            </w:pPr>
            <w:r>
              <w:rPr/>
              <w:t> </w:t>
            </w:r>
          </w:p>
          <w:p>
            <w:pPr>
              <w:pStyle w:val="TableContents"/>
              <w:bidi w:val="0"/>
              <w:spacing w:before="0" w:after="0"/>
              <w:ind w:left="175" w:right="120" w:hanging="0"/>
              <w:jc w:val="both"/>
              <w:rPr>
                <w:rFonts w:ascii="Arial;sans-serif" w:hAnsi="Arial;sans-serif"/>
                <w:b/>
                <w:sz w:val="20"/>
              </w:rPr>
            </w:pPr>
            <w:r>
              <w:rPr>
                <w:rFonts w:ascii="Arial;sans-serif" w:hAnsi="Arial;sans-serif"/>
                <w:b/>
                <w:sz w:val="20"/>
              </w:rPr>
              <w:t>Member Independence: 5 of 5</w:t>
            </w:r>
          </w:p>
          <w:p>
            <w:pPr>
              <w:pStyle w:val="TableContents"/>
              <w:bidi w:val="0"/>
              <w:spacing w:before="0" w:after="0"/>
              <w:ind w:left="175" w:right="120" w:hanging="0"/>
              <w:jc w:val="both"/>
              <w:rPr/>
            </w:pPr>
            <w:r>
              <w:rPr/>
              <w:t> </w:t>
            </w:r>
          </w:p>
          <w:p>
            <w:pPr>
              <w:pStyle w:val="TableContents"/>
              <w:pBdr/>
              <w:bidi w:val="0"/>
              <w:spacing w:before="0" w:after="0"/>
              <w:ind w:left="86" w:right="120" w:hanging="86"/>
              <w:jc w:val="both"/>
              <w:rPr>
                <w:rFonts w:ascii="Arial;sans-serif" w:hAnsi="Arial;sans-serif"/>
                <w:b w:val="false"/>
                <w:sz w:val="16"/>
              </w:rPr>
            </w:pPr>
            <w:r>
              <w:rPr>
                <w:rFonts w:ascii="Arial;sans-serif" w:hAnsi="Arial;sans-serif"/>
                <w:b w:val="false"/>
                <w:sz w:val="16"/>
              </w:rPr>
              <w:t>* All members meet the independence requirements of Nasdaq and qualify as “non-employee directors” under Rule 16b-3(b)(3)(i) of the Exchange Act.</w:t>
            </w:r>
          </w:p>
        </w:tc>
        <w:tc>
          <w:tcPr>
            <w:tcW w:w="5221" w:type="dxa"/>
            <w:tcBorders>
              <w:bottom w:val="single" w:sz="6" w:space="0" w:color="000000"/>
              <w:right w:val="single" w:sz="6" w:space="0" w:color="000000"/>
            </w:tcBorders>
            <w:tcMar>
              <w:top w:w="0" w:type="dxa"/>
              <w:left w:w="0" w:type="dxa"/>
            </w:tcMar>
            <w:vAlign w:val="center"/>
          </w:tcPr>
          <w:p>
            <w:pPr>
              <w:pStyle w:val="TableContents"/>
              <w:bidi w:val="0"/>
              <w:spacing w:before="240" w:after="0"/>
              <w:ind w:left="0" w:right="70" w:hanging="0"/>
              <w:jc w:val="both"/>
              <w:rPr>
                <w:rFonts w:ascii="Arial;sans-serif" w:hAnsi="Arial;sans-serif"/>
                <w:b/>
                <w:sz w:val="20"/>
              </w:rPr>
            </w:pPr>
            <w:r>
              <w:rPr>
                <w:rFonts w:ascii="Arial;sans-serif" w:hAnsi="Arial;sans-serif"/>
                <w:b/>
                <w:sz w:val="20"/>
              </w:rPr>
              <w:t>Purpose:</w:t>
            </w:r>
          </w:p>
          <w:p>
            <w:pPr>
              <w:pStyle w:val="TableContents"/>
              <w:pBdr/>
              <w:bidi w:val="0"/>
              <w:spacing w:before="0" w:after="120"/>
              <w:ind w:left="58" w:right="70" w:hanging="360"/>
              <w:jc w:val="left"/>
              <w:rPr>
                <w:rFonts w:ascii="Arial;sans-serif" w:hAnsi="Arial;sans-serif"/>
                <w:b w:val="false"/>
                <w:sz w:val="18"/>
              </w:rPr>
            </w:pPr>
            <w:r>
              <w:rPr>
                <w:rFonts w:ascii="Arial;sans-serif" w:hAnsi="Arial;sans-serif"/>
                <w:b w:val="false"/>
                <w:sz w:val="18"/>
              </w:rPr>
              <w:t> Determining, or recommending to the Board for determination, the compensation of our CEO and other executive officers.</w:t>
            </w:r>
          </w:p>
          <w:p>
            <w:pPr>
              <w:pStyle w:val="TableContents"/>
              <w:pBdr/>
              <w:bidi w:val="0"/>
              <w:spacing w:before="0" w:after="120"/>
              <w:ind w:left="58" w:right="70" w:hanging="360"/>
              <w:jc w:val="left"/>
              <w:rPr>
                <w:rFonts w:ascii="Arial;sans-serif" w:hAnsi="Arial;sans-serif"/>
                <w:b w:val="false"/>
                <w:sz w:val="18"/>
              </w:rPr>
            </w:pPr>
            <w:r>
              <w:rPr>
                <w:rFonts w:ascii="Arial;sans-serif" w:hAnsi="Arial;sans-serif"/>
                <w:b w:val="false"/>
                <w:sz w:val="18"/>
              </w:rPr>
              <w:t> Discharging the Board’s responsibilities relating to our compensation programs and compensation of our executives.</w:t>
            </w:r>
          </w:p>
          <w:p>
            <w:pPr>
              <w:pStyle w:val="TableContents"/>
              <w:pBdr/>
              <w:bidi w:val="0"/>
              <w:spacing w:before="0" w:after="120"/>
              <w:ind w:left="58" w:right="70" w:hanging="360"/>
              <w:jc w:val="left"/>
              <w:rPr>
                <w:rFonts w:ascii="Arial;sans-serif" w:hAnsi="Arial;sans-serif"/>
                <w:b w:val="false"/>
                <w:sz w:val="18"/>
              </w:rPr>
            </w:pPr>
            <w:r>
              <w:rPr>
                <w:rFonts w:ascii="Arial;sans-serif" w:hAnsi="Arial;sans-serif"/>
                <w:b w:val="false"/>
                <w:sz w:val="18"/>
              </w:rPr>
              <w:t> Producing an annual compensation committee report on executive compensation for inclusion in our annual proxy statement.</w:t>
            </w:r>
          </w:p>
          <w:p>
            <w:pPr>
              <w:pStyle w:val="TableContents"/>
              <w:bidi w:val="0"/>
              <w:spacing w:before="0" w:after="0"/>
              <w:ind w:left="0" w:right="70" w:hanging="0"/>
              <w:jc w:val="both"/>
              <w:rPr>
                <w:rFonts w:ascii="Arial;sans-serif" w:hAnsi="Arial;sans-serif"/>
                <w:b/>
                <w:sz w:val="20"/>
              </w:rPr>
            </w:pPr>
            <w:r>
              <w:rPr>
                <w:rFonts w:ascii="Arial;sans-serif" w:hAnsi="Arial;sans-serif"/>
                <w:b/>
                <w:sz w:val="20"/>
              </w:rPr>
              <w:t>Principal Responsibilities:</w:t>
            </w:r>
          </w:p>
          <w:p>
            <w:pPr>
              <w:pStyle w:val="TableContents"/>
              <w:pBdr/>
              <w:bidi w:val="0"/>
              <w:spacing w:before="0" w:after="120"/>
              <w:ind w:left="58" w:right="70" w:hanging="360"/>
              <w:jc w:val="left"/>
              <w:rPr>
                <w:rFonts w:ascii="Arial;sans-serif" w:hAnsi="Arial;sans-serif"/>
                <w:b w:val="false"/>
                <w:sz w:val="18"/>
              </w:rPr>
            </w:pPr>
            <w:r>
              <w:rPr>
                <w:rFonts w:ascii="Arial;sans-serif" w:hAnsi="Arial;sans-serif"/>
                <w:b w:val="false"/>
                <w:sz w:val="18"/>
              </w:rPr>
              <w:t> Setting compensation for executive officers and directors.</w:t>
            </w:r>
          </w:p>
          <w:p>
            <w:pPr>
              <w:pStyle w:val="TableContents"/>
              <w:pBdr/>
              <w:bidi w:val="0"/>
              <w:spacing w:before="0" w:after="120"/>
              <w:ind w:left="58" w:right="70" w:hanging="360"/>
              <w:jc w:val="left"/>
              <w:rPr>
                <w:rFonts w:ascii="Arial;sans-serif" w:hAnsi="Arial;sans-serif"/>
                <w:b w:val="false"/>
                <w:sz w:val="18"/>
              </w:rPr>
            </w:pPr>
            <w:r>
              <w:rPr>
                <w:rFonts w:ascii="Arial;sans-serif" w:hAnsi="Arial;sans-serif"/>
                <w:b w:val="false"/>
                <w:sz w:val="18"/>
              </w:rPr>
              <w:t> Monitoring incentive- and equity-based compensation plans.</w:t>
            </w:r>
          </w:p>
          <w:p>
            <w:pPr>
              <w:pStyle w:val="TableContents"/>
              <w:pBdr/>
              <w:bidi w:val="0"/>
              <w:spacing w:before="0" w:after="120"/>
              <w:ind w:left="58" w:right="70" w:hanging="360"/>
              <w:jc w:val="left"/>
              <w:rPr>
                <w:rFonts w:ascii="Arial;sans-serif" w:hAnsi="Arial;sans-serif"/>
                <w:b w:val="false"/>
                <w:sz w:val="18"/>
              </w:rPr>
            </w:pPr>
            <w:r>
              <w:rPr>
                <w:rFonts w:ascii="Arial;sans-serif" w:hAnsi="Arial;sans-serif"/>
                <w:b w:val="false"/>
                <w:sz w:val="18"/>
              </w:rPr>
              <w:t> Appointing, compensating, and overseeing the work of any compensation consultant, legal counsel, and other retained advisor.</w:t>
            </w:r>
          </w:p>
        </w:tc>
      </w:tr>
    </w:tbl>
    <w:p>
      <w:pPr>
        <w:pStyle w:val="TextBody"/>
        <w:bidi w:val="0"/>
        <w:spacing w:before="0" w:after="0"/>
        <w:jc w:val="left"/>
        <w:rPr/>
      </w:pPr>
      <w:r>
        <w:rPr/>
        <w:t> </w:t>
      </w:r>
    </w:p>
    <w:tbl>
      <w:tblPr>
        <w:tblW w:w="3762" w:type="dxa"/>
        <w:jc w:val="left"/>
        <w:tblInd w:w="0" w:type="dxa"/>
        <w:tblLayout w:type="fixed"/>
        <w:tblCellMar>
          <w:top w:w="28" w:type="dxa"/>
          <w:left w:w="28" w:type="dxa"/>
          <w:bottom w:w="28" w:type="dxa"/>
          <w:right w:w="28" w:type="dxa"/>
        </w:tblCellMar>
      </w:tblPr>
      <w:tblGrid>
        <w:gridCol w:w="2266"/>
        <w:gridCol w:w="1496"/>
      </w:tblGrid>
      <w:tr>
        <w:trPr/>
        <w:tc>
          <w:tcPr>
            <w:tcW w:w="226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11</w:t>
            </w:r>
            <w:r>
              <w:rPr>
                <w:rFonts w:ascii="Times New Roman" w:hAnsi="Times New Roman"/>
                <w:sz w:val="18"/>
              </w:rPr>
              <w:t> </w:t>
            </w:r>
            <w:r>
              <w:rPr>
                <w:rFonts w:ascii="Arial;sans-serif" w:hAnsi="Arial;sans-serif"/>
                <w:b w:val="false"/>
                <w:sz w:val="18"/>
              </w:rPr>
              <w:t>I 2023 Proxy Statement</w:t>
            </w:r>
          </w:p>
        </w:tc>
        <w:tc>
          <w:tcPr>
            <w:tcW w:w="1496" w:type="dxa"/>
            <w:tcBorders/>
            <w:vAlign w:val="center"/>
          </w:tcPr>
          <w:p>
            <w:pPr>
              <w:pStyle w:val="TableContents"/>
              <w:bidi w:val="0"/>
              <w:spacing w:before="0" w:after="0"/>
              <w:ind w:left="0" w:right="0" w:hanging="0"/>
              <w:jc w:val="right"/>
              <w:rPr/>
            </w:pPr>
            <w:r>
              <w:rPr/>
              <w:drawing>
                <wp:inline distT="0" distB="0" distL="0" distR="0">
                  <wp:extent cx="828675" cy="1905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828675" cy="190500"/>
                          </a:xfrm>
                          <a:prstGeom prst="rect">
                            <a:avLst/>
                          </a:prstGeom>
                        </pic:spPr>
                      </pic:pic>
                    </a:graphicData>
                  </a:graphic>
                </wp:inline>
              </w:drawing>
            </w: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3027" w:type="dxa"/>
        <w:jc w:val="left"/>
        <w:tblInd w:w="0" w:type="dxa"/>
        <w:tblLayout w:type="fixed"/>
        <w:tblCellMar>
          <w:top w:w="28" w:type="dxa"/>
          <w:left w:w="28" w:type="dxa"/>
          <w:bottom w:w="28" w:type="dxa"/>
          <w:right w:w="28" w:type="dxa"/>
        </w:tblCellMar>
      </w:tblPr>
      <w:tblGrid>
        <w:gridCol w:w="2836"/>
        <w:gridCol w:w="191"/>
      </w:tblGrid>
      <w:tr>
        <w:trPr/>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Board and Governance Matters</w:t>
            </w:r>
          </w:p>
        </w:tc>
        <w:tc>
          <w:tcPr>
            <w:tcW w:w="191" w:type="dxa"/>
            <w:tcBorders/>
            <w:vAlign w:val="center"/>
          </w:tcPr>
          <w:p>
            <w:pPr>
              <w:pStyle w:val="TableContents"/>
              <w:bidi w:val="0"/>
              <w:spacing w:before="0" w:after="0"/>
              <w:ind w:left="0" w:right="0" w:hanging="0"/>
              <w:jc w:val="left"/>
              <w:rPr/>
            </w:pPr>
            <w:r>
              <w:rPr/>
              <w:t> </w:t>
            </w:r>
          </w:p>
        </w:tc>
      </w:tr>
      <w:tr>
        <w:trPr/>
        <w:tc>
          <w:tcPr>
            <w:tcW w:w="283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786"/>
        <w:gridCol w:w="7419"/>
      </w:tblGrid>
      <w:tr>
        <w:trPr/>
        <w:tc>
          <w:tcPr>
            <w:tcW w:w="2786" w:type="dxa"/>
            <w:tcBorders/>
            <w:vAlign w:val="center"/>
          </w:tcPr>
          <w:p>
            <w:pPr>
              <w:pStyle w:val="TableContents"/>
              <w:bidi w:val="0"/>
              <w:spacing w:before="0" w:after="283"/>
              <w:jc w:val="left"/>
              <w:rPr>
                <w:sz w:val="4"/>
                <w:szCs w:val="4"/>
              </w:rPr>
            </w:pPr>
            <w:r>
              <w:rPr>
                <w:sz w:val="4"/>
                <w:szCs w:val="4"/>
              </w:rPr>
            </w:r>
          </w:p>
        </w:tc>
        <w:tc>
          <w:tcPr>
            <w:tcW w:w="7419" w:type="dxa"/>
            <w:tcBorders/>
            <w:vAlign w:val="center"/>
          </w:tcPr>
          <w:p>
            <w:pPr>
              <w:pStyle w:val="TableContents"/>
              <w:bidi w:val="0"/>
              <w:spacing w:before="0" w:after="283"/>
              <w:ind w:left="0" w:right="0" w:firstLine="173"/>
              <w:jc w:val="left"/>
              <w:rPr>
                <w:sz w:val="4"/>
                <w:szCs w:val="4"/>
              </w:rPr>
            </w:pPr>
            <w:r>
              <w:rPr>
                <w:sz w:val="4"/>
                <w:szCs w:val="4"/>
              </w:rPr>
            </w:r>
          </w:p>
        </w:tc>
      </w:tr>
      <w:tr>
        <w:trPr/>
        <w:tc>
          <w:tcPr>
            <w:tcW w:w="2786" w:type="dxa"/>
            <w:tcBorders>
              <w:top w:val="single" w:sz="6" w:space="0" w:color="000000"/>
              <w:left w:val="single" w:sz="6" w:space="0" w:color="000000"/>
              <w:bottom w:val="single" w:sz="6" w:space="0" w:color="000000"/>
            </w:tcBorders>
            <w:tcMar>
              <w:right w:w="0" w:type="dxa"/>
            </w:tcMar>
            <w:vAlign w:val="center"/>
          </w:tcPr>
          <w:p>
            <w:pPr>
              <w:pStyle w:val="TableContents"/>
              <w:bidi w:val="0"/>
              <w:spacing w:before="240" w:after="0"/>
              <w:ind w:left="173" w:right="115" w:hanging="0"/>
              <w:jc w:val="both"/>
              <w:rPr>
                <w:rFonts w:ascii="Arial;sans-serif" w:hAnsi="Arial;sans-serif"/>
                <w:b/>
                <w:sz w:val="20"/>
              </w:rPr>
            </w:pPr>
            <w:r>
              <w:rPr>
                <w:rFonts w:ascii="Arial;sans-serif" w:hAnsi="Arial;sans-serif"/>
                <w:b/>
                <w:sz w:val="20"/>
              </w:rPr>
              <w:t>NCG COMMITTEE</w:t>
            </w:r>
          </w:p>
          <w:p>
            <w:pPr>
              <w:pStyle w:val="TableContents"/>
              <w:bidi w:val="0"/>
              <w:spacing w:before="0" w:after="0"/>
              <w:ind w:left="175" w:right="120" w:hanging="0"/>
              <w:jc w:val="both"/>
              <w:rPr>
                <w:rFonts w:ascii="Arial;sans-serif" w:hAnsi="Arial;sans-serif"/>
                <w:b/>
                <w:sz w:val="20"/>
              </w:rPr>
            </w:pPr>
            <w:r>
              <w:rPr>
                <w:rFonts w:ascii="Arial;sans-serif" w:hAnsi="Arial;sans-serif"/>
                <w:b/>
                <w:sz w:val="20"/>
              </w:rPr>
              <w:t>Members:</w:t>
            </w:r>
          </w:p>
          <w:p>
            <w:pPr>
              <w:pStyle w:val="TableContents"/>
              <w:bidi w:val="0"/>
              <w:spacing w:before="0" w:after="0"/>
              <w:ind w:left="180" w:right="120" w:hanging="0"/>
              <w:jc w:val="both"/>
              <w:rPr>
                <w:rFonts w:ascii="Arial;sans-serif" w:hAnsi="Arial;sans-serif"/>
                <w:b w:val="false"/>
                <w:sz w:val="18"/>
              </w:rPr>
            </w:pPr>
            <w:r>
              <w:rPr>
                <w:rFonts w:ascii="Arial;sans-serif" w:hAnsi="Arial;sans-serif"/>
                <w:b w:val="false"/>
                <w:sz w:val="18"/>
              </w:rPr>
              <w:t>Denis Suggs (Chair)</w:t>
            </w:r>
          </w:p>
          <w:p>
            <w:pPr>
              <w:pStyle w:val="TableContents"/>
              <w:bidi w:val="0"/>
              <w:spacing w:before="0" w:after="0"/>
              <w:ind w:left="175" w:right="120" w:hanging="0"/>
              <w:jc w:val="both"/>
              <w:rPr>
                <w:rFonts w:ascii="Times New Roman" w:hAnsi="Times New Roman"/>
                <w:sz w:val="18"/>
              </w:rPr>
            </w:pPr>
            <w:r>
              <w:rPr>
                <w:rFonts w:ascii="Arial;sans-serif" w:hAnsi="Arial;sans-serif"/>
                <w:b w:val="false"/>
                <w:sz w:val="18"/>
              </w:rPr>
              <w:t xml:space="preserve">John Furman </w:t>
            </w:r>
            <w:r>
              <w:rPr>
                <w:rFonts w:ascii="Arial;sans-serif" w:hAnsi="Arial;sans-serif"/>
                <w:b w:val="false"/>
                <w:sz w:val="12"/>
              </w:rPr>
              <w:t>(1)</w:t>
            </w:r>
          </w:p>
          <w:p>
            <w:pPr>
              <w:pStyle w:val="TableContents"/>
              <w:bidi w:val="0"/>
              <w:spacing w:before="0" w:after="0"/>
              <w:ind w:left="175" w:right="120" w:hanging="0"/>
              <w:jc w:val="both"/>
              <w:rPr>
                <w:rFonts w:ascii="Arial;sans-serif" w:hAnsi="Arial;sans-serif"/>
                <w:b w:val="false"/>
                <w:sz w:val="18"/>
              </w:rPr>
            </w:pPr>
            <w:r>
              <w:rPr>
                <w:rFonts w:ascii="Arial;sans-serif" w:hAnsi="Arial;sans-serif"/>
                <w:b w:val="false"/>
                <w:sz w:val="18"/>
              </w:rPr>
              <w:t>Barry Monheit</w:t>
            </w:r>
          </w:p>
          <w:p>
            <w:pPr>
              <w:pStyle w:val="TableContents"/>
              <w:bidi w:val="0"/>
              <w:spacing w:before="0" w:after="0"/>
              <w:ind w:left="175" w:right="120" w:hanging="0"/>
              <w:jc w:val="both"/>
              <w:rPr>
                <w:rFonts w:ascii="Arial;sans-serif" w:hAnsi="Arial;sans-serif"/>
                <w:b w:val="false"/>
                <w:sz w:val="18"/>
              </w:rPr>
            </w:pPr>
            <w:r>
              <w:rPr>
                <w:rFonts w:ascii="Arial;sans-serif" w:hAnsi="Arial;sans-serif"/>
                <w:b w:val="false"/>
                <w:sz w:val="18"/>
              </w:rPr>
              <w:t>Bob Scott</w:t>
            </w:r>
          </w:p>
          <w:p>
            <w:pPr>
              <w:pStyle w:val="TableContents"/>
              <w:bidi w:val="0"/>
              <w:spacing w:before="0" w:after="0"/>
              <w:ind w:left="175" w:right="120" w:hanging="0"/>
              <w:jc w:val="both"/>
              <w:rPr/>
            </w:pPr>
            <w:r>
              <w:rPr/>
              <w:t> </w:t>
            </w:r>
          </w:p>
          <w:p>
            <w:pPr>
              <w:pStyle w:val="TableContents"/>
              <w:bidi w:val="0"/>
              <w:spacing w:before="0" w:after="0"/>
              <w:ind w:left="175" w:right="120" w:hanging="0"/>
              <w:jc w:val="both"/>
              <w:rPr/>
            </w:pPr>
            <w:r>
              <w:rPr/>
              <w:t> </w:t>
            </w:r>
          </w:p>
          <w:p>
            <w:pPr>
              <w:pStyle w:val="TableContents"/>
              <w:bidi w:val="0"/>
              <w:spacing w:before="0" w:after="0"/>
              <w:ind w:left="175" w:right="120" w:hanging="0"/>
              <w:jc w:val="both"/>
              <w:rPr>
                <w:rFonts w:ascii="Arial;sans-serif" w:hAnsi="Arial;sans-serif"/>
                <w:b/>
                <w:sz w:val="20"/>
              </w:rPr>
            </w:pPr>
            <w:r>
              <w:rPr>
                <w:rFonts w:ascii="Arial;sans-serif" w:hAnsi="Arial;sans-serif"/>
                <w:b/>
                <w:sz w:val="20"/>
              </w:rPr>
              <w:t>Meetings in Fiscal 2023: 6</w:t>
            </w:r>
          </w:p>
          <w:p>
            <w:pPr>
              <w:pStyle w:val="TableContents"/>
              <w:bidi w:val="0"/>
              <w:spacing w:before="0" w:after="0"/>
              <w:ind w:left="175" w:right="120" w:hanging="0"/>
              <w:jc w:val="both"/>
              <w:rPr/>
            </w:pPr>
            <w:r>
              <w:rPr/>
              <w:t> </w:t>
            </w:r>
          </w:p>
          <w:p>
            <w:pPr>
              <w:pStyle w:val="TableContents"/>
              <w:bidi w:val="0"/>
              <w:spacing w:before="0" w:after="0"/>
              <w:ind w:left="175" w:right="120" w:hanging="0"/>
              <w:jc w:val="both"/>
              <w:rPr>
                <w:rFonts w:ascii="Arial;sans-serif" w:hAnsi="Arial;sans-serif"/>
                <w:b/>
                <w:sz w:val="20"/>
              </w:rPr>
            </w:pPr>
            <w:r>
              <w:rPr>
                <w:rFonts w:ascii="Arial;sans-serif" w:hAnsi="Arial;sans-serif"/>
                <w:b/>
                <w:sz w:val="20"/>
              </w:rPr>
              <w:t>Member Independence: 4 of 4</w:t>
            </w:r>
          </w:p>
          <w:p>
            <w:pPr>
              <w:pStyle w:val="TableContents"/>
              <w:bidi w:val="0"/>
              <w:spacing w:before="0" w:after="0"/>
              <w:ind w:left="175" w:right="120" w:hanging="0"/>
              <w:jc w:val="both"/>
              <w:rPr/>
            </w:pPr>
            <w:r>
              <w:rPr/>
              <w:t> </w:t>
            </w:r>
          </w:p>
          <w:p>
            <w:pPr>
              <w:pStyle w:val="TableContents"/>
              <w:pBdr/>
              <w:bidi w:val="0"/>
              <w:spacing w:before="0" w:after="240"/>
              <w:ind w:left="86" w:right="120" w:hanging="86"/>
              <w:jc w:val="left"/>
              <w:rPr>
                <w:rFonts w:ascii="Arial;sans-serif" w:hAnsi="Arial;sans-serif"/>
                <w:b w:val="false"/>
                <w:sz w:val="16"/>
              </w:rPr>
            </w:pPr>
            <w:r>
              <w:rPr>
                <w:rFonts w:ascii="Arial;sans-serif" w:hAnsi="Arial;sans-serif"/>
                <w:b w:val="false"/>
                <w:sz w:val="16"/>
              </w:rPr>
              <w:t>* All members meet the independence requirements of Nasdaq.</w:t>
            </w:r>
          </w:p>
        </w:tc>
        <w:tc>
          <w:tcPr>
            <w:tcW w:w="7419"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240" w:after="0"/>
              <w:ind w:left="0" w:right="70" w:hanging="0"/>
              <w:jc w:val="both"/>
              <w:rPr>
                <w:rFonts w:ascii="Arial;sans-serif" w:hAnsi="Arial;sans-serif"/>
                <w:b/>
                <w:sz w:val="18"/>
              </w:rPr>
            </w:pPr>
            <w:r>
              <w:rPr>
                <w:rFonts w:ascii="Arial;sans-serif" w:hAnsi="Arial;sans-serif"/>
                <w:b/>
                <w:sz w:val="18"/>
              </w:rPr>
              <w:t>Purpose:</w:t>
            </w:r>
          </w:p>
          <w:p>
            <w:pPr>
              <w:pStyle w:val="TableContents"/>
              <w:pBdr/>
              <w:bidi w:val="0"/>
              <w:spacing w:before="0" w:after="120"/>
              <w:ind w:left="58" w:right="70" w:hanging="360"/>
              <w:jc w:val="left"/>
              <w:rPr>
                <w:rFonts w:ascii="Arial;sans-serif" w:hAnsi="Arial;sans-serif"/>
                <w:b w:val="false"/>
                <w:sz w:val="18"/>
              </w:rPr>
            </w:pPr>
            <w:r>
              <w:rPr>
                <w:rFonts w:ascii="Arial;sans-serif" w:hAnsi="Arial;sans-serif"/>
                <w:b w:val="false"/>
                <w:sz w:val="18"/>
              </w:rPr>
              <w:t> Selecting, or recommending to the Board for selection, the individuals to stand for election as directors at each election of directors.</w:t>
            </w:r>
          </w:p>
          <w:p>
            <w:pPr>
              <w:pStyle w:val="TableContents"/>
              <w:pBdr/>
              <w:bidi w:val="0"/>
              <w:spacing w:before="0" w:after="120"/>
              <w:ind w:left="58" w:right="70" w:hanging="360"/>
              <w:jc w:val="both"/>
              <w:rPr>
                <w:rFonts w:ascii="Arial;sans-serif" w:hAnsi="Arial;sans-serif"/>
                <w:b w:val="false"/>
                <w:sz w:val="18"/>
              </w:rPr>
            </w:pPr>
            <w:r>
              <w:rPr>
                <w:rFonts w:ascii="Arial;sans-serif" w:hAnsi="Arial;sans-serif"/>
                <w:b w:val="false"/>
                <w:sz w:val="18"/>
              </w:rPr>
              <w:t> Overseeing the selection and composition of Board committees and, as applicable, overseeing management continuity planning processes.</w:t>
            </w:r>
          </w:p>
          <w:p>
            <w:pPr>
              <w:pStyle w:val="TableContents"/>
              <w:pBdr/>
              <w:bidi w:val="0"/>
              <w:spacing w:before="0" w:after="0"/>
              <w:ind w:left="58" w:right="70" w:hanging="360"/>
              <w:jc w:val="both"/>
              <w:rPr/>
            </w:pPr>
            <w:r>
              <w:rPr/>
              <w:t> </w:t>
            </w:r>
          </w:p>
          <w:p>
            <w:pPr>
              <w:pStyle w:val="TableContents"/>
              <w:bidi w:val="0"/>
              <w:spacing w:before="0" w:after="0"/>
              <w:ind w:left="0" w:right="70" w:hanging="0"/>
              <w:jc w:val="both"/>
              <w:rPr>
                <w:rFonts w:ascii="Arial;sans-serif" w:hAnsi="Arial;sans-serif"/>
                <w:b/>
                <w:sz w:val="18"/>
              </w:rPr>
            </w:pPr>
            <w:r>
              <w:rPr>
                <w:rFonts w:ascii="Arial;sans-serif" w:hAnsi="Arial;sans-serif"/>
                <w:b/>
                <w:sz w:val="18"/>
              </w:rPr>
              <w:t>Principal Responsibilities:</w:t>
            </w:r>
          </w:p>
          <w:p>
            <w:pPr>
              <w:pStyle w:val="TableContents"/>
              <w:pBdr/>
              <w:bidi w:val="0"/>
              <w:spacing w:before="0" w:after="120"/>
              <w:ind w:left="58" w:right="70" w:hanging="360"/>
              <w:jc w:val="left"/>
              <w:rPr>
                <w:rFonts w:ascii="Arial;sans-serif" w:hAnsi="Arial;sans-serif"/>
                <w:b w:val="false"/>
                <w:sz w:val="18"/>
              </w:rPr>
            </w:pPr>
            <w:r>
              <w:rPr>
                <w:rFonts w:ascii="Arial;sans-serif" w:hAnsi="Arial;sans-serif"/>
                <w:b w:val="false"/>
                <w:sz w:val="18"/>
              </w:rPr>
              <w:t> Developing and recommending to the Board corporate governance principles applicable to us.</w:t>
            </w:r>
          </w:p>
          <w:p>
            <w:pPr>
              <w:pStyle w:val="TableContents"/>
              <w:pBdr/>
              <w:bidi w:val="0"/>
              <w:spacing w:before="0" w:after="120"/>
              <w:ind w:left="58" w:right="70" w:hanging="360"/>
              <w:jc w:val="both"/>
              <w:rPr>
                <w:rFonts w:ascii="Arial;sans-serif" w:hAnsi="Arial;sans-serif"/>
                <w:b w:val="false"/>
                <w:sz w:val="18"/>
              </w:rPr>
            </w:pPr>
            <w:r>
              <w:rPr>
                <w:rFonts w:ascii="Arial;sans-serif" w:hAnsi="Arial;sans-serif"/>
                <w:b w:val="false"/>
                <w:sz w:val="18"/>
              </w:rPr>
              <w:t> Overseeing the evaluation of the Board and management.</w:t>
            </w:r>
          </w:p>
          <w:p>
            <w:pPr>
              <w:pStyle w:val="TableContents"/>
              <w:pBdr/>
              <w:bidi w:val="0"/>
              <w:spacing w:before="0" w:after="120"/>
              <w:ind w:left="58" w:right="70" w:hanging="360"/>
              <w:jc w:val="both"/>
              <w:rPr>
                <w:rFonts w:ascii="Times New Roman" w:hAnsi="Times New Roman"/>
                <w:sz w:val="18"/>
              </w:rPr>
            </w:pPr>
            <w:r>
              <w:rPr>
                <w:rFonts w:ascii="Arial;sans-serif" w:hAnsi="Arial;sans-serif"/>
                <w:b w:val="false"/>
                <w:sz w:val="18"/>
              </w:rPr>
              <w:t xml:space="preserve"> </w:t>
            </w:r>
            <w:r>
              <w:rPr>
                <w:rFonts w:ascii="Times New Roman" w:hAnsi="Times New Roman"/>
                <w:sz w:val="18"/>
              </w:rPr>
              <w:t> </w:t>
            </w:r>
            <w:r>
              <w:rPr>
                <w:rFonts w:ascii="Arial;sans-serif" w:hAnsi="Arial;sans-serif"/>
                <w:b w:val="false"/>
                <w:sz w:val="18"/>
              </w:rPr>
              <w:t>Developing and maintaining the Skills Matrix</w:t>
            </w:r>
          </w:p>
        </w:tc>
      </w:tr>
      <w:tr>
        <w:trPr/>
        <w:tc>
          <w:tcPr>
            <w:tcW w:w="2786" w:type="dxa"/>
            <w:tcBorders>
              <w:left w:val="single" w:sz="6" w:space="0" w:color="000000"/>
              <w:bottom w:val="single" w:sz="6" w:space="0" w:color="000000"/>
            </w:tcBorders>
            <w:tcMar>
              <w:top w:w="0" w:type="dxa"/>
              <w:right w:w="0" w:type="dxa"/>
            </w:tcMar>
            <w:vAlign w:val="center"/>
          </w:tcPr>
          <w:p>
            <w:pPr>
              <w:pStyle w:val="TableContents"/>
              <w:bidi w:val="0"/>
              <w:spacing w:before="240" w:after="0"/>
              <w:ind w:left="0" w:right="120" w:hanging="0"/>
              <w:jc w:val="both"/>
              <w:rPr/>
            </w:pPr>
            <w:r>
              <w:rPr/>
              <w:t>   </w:t>
            </w:r>
            <w:r>
              <w:rPr>
                <w:rFonts w:ascii="Arial;sans-serif" w:hAnsi="Arial;sans-serif"/>
                <w:b/>
                <w:sz w:val="20"/>
              </w:rPr>
              <w:t>ESG COMMITTEE</w:t>
            </w:r>
          </w:p>
          <w:p>
            <w:pPr>
              <w:pStyle w:val="TableContents"/>
              <w:bidi w:val="0"/>
              <w:spacing w:before="0" w:after="0"/>
              <w:ind w:left="180" w:right="120" w:hanging="0"/>
              <w:jc w:val="both"/>
              <w:rPr/>
            </w:pPr>
            <w:r>
              <w:rPr/>
              <w:t> </w:t>
            </w:r>
          </w:p>
          <w:p>
            <w:pPr>
              <w:pStyle w:val="TableContents"/>
              <w:bidi w:val="0"/>
              <w:spacing w:before="0" w:after="0"/>
              <w:ind w:left="175" w:right="120" w:hanging="0"/>
              <w:jc w:val="both"/>
              <w:rPr>
                <w:rFonts w:ascii="Arial;sans-serif" w:hAnsi="Arial;sans-serif"/>
                <w:b/>
                <w:sz w:val="20"/>
              </w:rPr>
            </w:pPr>
            <w:r>
              <w:rPr>
                <w:rFonts w:ascii="Arial;sans-serif" w:hAnsi="Arial;sans-serif"/>
                <w:b/>
                <w:sz w:val="20"/>
              </w:rPr>
              <w:t>Members:</w:t>
            </w:r>
          </w:p>
          <w:p>
            <w:pPr>
              <w:pStyle w:val="TableContents"/>
              <w:bidi w:val="0"/>
              <w:spacing w:before="0" w:after="0"/>
              <w:ind w:left="180" w:right="120" w:hanging="0"/>
              <w:jc w:val="both"/>
              <w:rPr>
                <w:rFonts w:ascii="Arial;sans-serif" w:hAnsi="Arial;sans-serif"/>
                <w:b w:val="false"/>
                <w:sz w:val="18"/>
              </w:rPr>
            </w:pPr>
            <w:r>
              <w:rPr>
                <w:rFonts w:ascii="Arial;sans-serif" w:hAnsi="Arial;sans-serif"/>
                <w:b w:val="false"/>
                <w:sz w:val="18"/>
              </w:rPr>
              <w:t>Fred Diaz (Chair)</w:t>
            </w:r>
          </w:p>
          <w:p>
            <w:pPr>
              <w:pStyle w:val="TableContents"/>
              <w:bidi w:val="0"/>
              <w:spacing w:before="0" w:after="0"/>
              <w:ind w:left="180" w:right="120" w:hanging="0"/>
              <w:jc w:val="both"/>
              <w:rPr>
                <w:rFonts w:ascii="Arial;sans-serif" w:hAnsi="Arial;sans-serif"/>
                <w:b w:val="false"/>
                <w:sz w:val="18"/>
              </w:rPr>
            </w:pPr>
            <w:r>
              <w:rPr>
                <w:rFonts w:ascii="Arial;sans-serif" w:hAnsi="Arial;sans-serif"/>
                <w:b w:val="false"/>
                <w:sz w:val="18"/>
              </w:rPr>
              <w:t>Anita Britt</w:t>
            </w:r>
          </w:p>
          <w:p>
            <w:pPr>
              <w:pStyle w:val="TableContents"/>
              <w:bidi w:val="0"/>
              <w:spacing w:before="0" w:after="0"/>
              <w:ind w:left="180" w:right="120" w:hanging="0"/>
              <w:jc w:val="both"/>
              <w:rPr>
                <w:rFonts w:ascii="Times New Roman" w:hAnsi="Times New Roman"/>
                <w:sz w:val="18"/>
              </w:rPr>
            </w:pPr>
            <w:r>
              <w:rPr>
                <w:rFonts w:ascii="Arial;sans-serif" w:hAnsi="Arial;sans-serif"/>
                <w:b w:val="false"/>
                <w:sz w:val="18"/>
              </w:rPr>
              <w:t>Michael F. Golden</w:t>
            </w:r>
            <w:r>
              <w:rPr>
                <w:rFonts w:ascii="Arial;sans-serif" w:hAnsi="Arial;sans-serif"/>
                <w:b w:val="false"/>
                <w:sz w:val="12"/>
              </w:rPr>
              <w:t>(3)</w:t>
            </w:r>
          </w:p>
          <w:p>
            <w:pPr>
              <w:pStyle w:val="TableContents"/>
              <w:bidi w:val="0"/>
              <w:spacing w:before="0" w:after="0"/>
              <w:ind w:left="180" w:right="120" w:hanging="0"/>
              <w:jc w:val="both"/>
              <w:rPr>
                <w:rFonts w:ascii="Times New Roman" w:hAnsi="Times New Roman"/>
                <w:sz w:val="18"/>
              </w:rPr>
            </w:pPr>
            <w:r>
              <w:rPr>
                <w:rFonts w:ascii="Arial;sans-serif" w:hAnsi="Arial;sans-serif"/>
                <w:b w:val="false"/>
                <w:sz w:val="18"/>
              </w:rPr>
              <w:t>Michelle Lohmeier</w:t>
            </w:r>
            <w:r>
              <w:rPr>
                <w:rFonts w:ascii="Arial;sans-serif" w:hAnsi="Arial;sans-serif"/>
                <w:b w:val="false"/>
                <w:sz w:val="12"/>
              </w:rPr>
              <w:t>(2)</w:t>
            </w:r>
          </w:p>
          <w:p>
            <w:pPr>
              <w:pStyle w:val="TableContents"/>
              <w:bidi w:val="0"/>
              <w:spacing w:before="0" w:after="0"/>
              <w:ind w:left="175" w:right="120" w:hanging="0"/>
              <w:jc w:val="both"/>
              <w:rPr>
                <w:rFonts w:ascii="Arial;sans-serif" w:hAnsi="Arial;sans-serif"/>
                <w:b/>
                <w:sz w:val="20"/>
              </w:rPr>
            </w:pPr>
            <w:r>
              <w:rPr>
                <w:rFonts w:ascii="Arial;sans-serif" w:hAnsi="Arial;sans-serif"/>
                <w:b/>
                <w:sz w:val="20"/>
              </w:rPr>
              <w:t>Meetings in Fiscal 2023: 4</w:t>
            </w:r>
          </w:p>
          <w:p>
            <w:pPr>
              <w:pStyle w:val="TableContents"/>
              <w:bidi w:val="0"/>
              <w:spacing w:before="0" w:after="0"/>
              <w:ind w:left="175" w:right="120" w:hanging="0"/>
              <w:jc w:val="both"/>
              <w:rPr/>
            </w:pPr>
            <w:r>
              <w:rPr/>
              <w:t> </w:t>
            </w:r>
          </w:p>
          <w:p>
            <w:pPr>
              <w:pStyle w:val="TableContents"/>
              <w:bidi w:val="0"/>
              <w:spacing w:before="0" w:after="0"/>
              <w:ind w:left="175" w:right="120" w:hanging="0"/>
              <w:jc w:val="both"/>
              <w:rPr>
                <w:rFonts w:ascii="Arial;sans-serif" w:hAnsi="Arial;sans-serif"/>
                <w:b/>
                <w:sz w:val="20"/>
              </w:rPr>
            </w:pPr>
            <w:r>
              <w:rPr>
                <w:rFonts w:ascii="Arial;sans-serif" w:hAnsi="Arial;sans-serif"/>
                <w:b/>
                <w:sz w:val="20"/>
              </w:rPr>
              <w:t>Member Independence: 4 of 4</w:t>
            </w:r>
          </w:p>
          <w:p>
            <w:pPr>
              <w:pStyle w:val="TableContents"/>
              <w:bidi w:val="0"/>
              <w:spacing w:before="0" w:after="0"/>
              <w:ind w:left="175" w:right="120" w:hanging="0"/>
              <w:jc w:val="both"/>
              <w:rPr/>
            </w:pPr>
            <w:r>
              <w:rPr/>
              <w:t> </w:t>
            </w:r>
          </w:p>
          <w:p>
            <w:pPr>
              <w:pStyle w:val="TableContents"/>
              <w:bidi w:val="0"/>
              <w:spacing w:before="0" w:after="0"/>
              <w:ind w:left="180" w:right="120" w:hanging="0"/>
              <w:jc w:val="both"/>
              <w:rPr/>
            </w:pPr>
            <w:r>
              <w:rPr/>
              <w:t> </w:t>
            </w:r>
          </w:p>
        </w:tc>
        <w:tc>
          <w:tcPr>
            <w:tcW w:w="7419" w:type="dxa"/>
            <w:tcBorders>
              <w:bottom w:val="single" w:sz="6" w:space="0" w:color="000000"/>
              <w:right w:val="single" w:sz="6" w:space="0" w:color="000000"/>
            </w:tcBorders>
            <w:tcMar>
              <w:top w:w="0" w:type="dxa"/>
              <w:left w:w="0" w:type="dxa"/>
            </w:tcMar>
            <w:vAlign w:val="center"/>
          </w:tcPr>
          <w:p>
            <w:pPr>
              <w:pStyle w:val="TableContents"/>
              <w:bidi w:val="0"/>
              <w:spacing w:before="240" w:after="0"/>
              <w:ind w:left="0" w:right="70" w:hanging="0"/>
              <w:jc w:val="both"/>
              <w:rPr>
                <w:rFonts w:ascii="Arial;sans-serif" w:hAnsi="Arial;sans-serif"/>
                <w:b/>
                <w:sz w:val="18"/>
              </w:rPr>
            </w:pPr>
            <w:r>
              <w:rPr>
                <w:rFonts w:ascii="Arial;sans-serif" w:hAnsi="Arial;sans-serif"/>
                <w:b/>
                <w:sz w:val="18"/>
              </w:rPr>
              <w:t>Purpose:</w:t>
            </w:r>
          </w:p>
          <w:p>
            <w:pPr>
              <w:pStyle w:val="TableContents"/>
              <w:pBdr/>
              <w:bidi w:val="0"/>
              <w:spacing w:before="0" w:after="0"/>
              <w:ind w:left="58" w:right="70" w:hanging="360"/>
              <w:jc w:val="both"/>
              <w:rPr>
                <w:rFonts w:ascii="Arial;sans-serif" w:hAnsi="Arial;sans-serif"/>
                <w:b w:val="false"/>
                <w:sz w:val="18"/>
              </w:rPr>
            </w:pPr>
            <w:r>
              <w:rPr>
                <w:rFonts w:ascii="Arial;sans-serif" w:hAnsi="Arial;sans-serif"/>
                <w:b w:val="false"/>
                <w:sz w:val="18"/>
              </w:rPr>
              <w:t> Assisting the Board and its committees in fulfilling the oversight responsibilities of the Board with various environmental, social, health, safety, and governance policies and operational control matters relevant to us.</w:t>
            </w:r>
          </w:p>
          <w:p>
            <w:pPr>
              <w:pStyle w:val="TableContents"/>
              <w:bidi w:val="0"/>
              <w:spacing w:before="120" w:after="0"/>
              <w:ind w:left="0" w:right="70" w:hanging="0"/>
              <w:jc w:val="both"/>
              <w:rPr>
                <w:rFonts w:ascii="Arial;sans-serif" w:hAnsi="Arial;sans-serif"/>
                <w:b/>
                <w:sz w:val="18"/>
              </w:rPr>
            </w:pPr>
            <w:r>
              <w:rPr>
                <w:rFonts w:ascii="Arial;sans-serif" w:hAnsi="Arial;sans-serif"/>
                <w:b/>
                <w:sz w:val="18"/>
              </w:rPr>
              <w:t>Principal Responsibilities:</w:t>
            </w:r>
          </w:p>
          <w:p>
            <w:pPr>
              <w:pStyle w:val="TableContents"/>
              <w:pBdr/>
              <w:bidi w:val="0"/>
              <w:spacing w:before="0" w:after="120"/>
              <w:ind w:left="58" w:right="70" w:hanging="360"/>
              <w:jc w:val="left"/>
              <w:rPr>
                <w:rFonts w:ascii="Arial;sans-serif" w:hAnsi="Arial;sans-serif"/>
                <w:b w:val="false"/>
                <w:sz w:val="18"/>
              </w:rPr>
            </w:pPr>
            <w:r>
              <w:rPr>
                <w:rFonts w:ascii="Arial;sans-serif" w:hAnsi="Arial;sans-serif"/>
                <w:b w:val="false"/>
                <w:sz w:val="18"/>
              </w:rPr>
              <w:t> Reviewing the status and effectiveness of our ESG performance, metrics, and goals.</w:t>
            </w:r>
          </w:p>
          <w:p>
            <w:pPr>
              <w:pStyle w:val="TableContents"/>
              <w:pBdr/>
              <w:bidi w:val="0"/>
              <w:spacing w:before="0" w:after="120"/>
              <w:ind w:left="58" w:right="70" w:hanging="360"/>
              <w:jc w:val="left"/>
              <w:rPr>
                <w:rFonts w:ascii="Times New Roman" w:hAnsi="Times New Roman"/>
                <w:sz w:val="18"/>
              </w:rPr>
            </w:pPr>
            <w:r>
              <w:rPr>
                <w:rFonts w:ascii="Arial;sans-serif" w:hAnsi="Arial;sans-serif"/>
                <w:b w:val="false"/>
                <w:sz w:val="18"/>
              </w:rPr>
              <w:t> Reviewing emerging risks and opportunities associated with ESG.</w:t>
            </w:r>
            <w:r>
              <w:rPr>
                <w:rFonts w:ascii="Times New Roman" w:hAnsi="Times New Roman"/>
                <w:sz w:val="18"/>
              </w:rPr>
              <w:t xml:space="preserve"> </w:t>
            </w:r>
          </w:p>
          <w:p>
            <w:pPr>
              <w:pStyle w:val="TableContents"/>
              <w:pBdr/>
              <w:bidi w:val="0"/>
              <w:spacing w:before="0" w:after="120"/>
              <w:ind w:left="58" w:right="70" w:hanging="360"/>
              <w:jc w:val="left"/>
              <w:rPr>
                <w:rFonts w:ascii="Arial;sans-serif" w:hAnsi="Arial;sans-serif"/>
                <w:b w:val="false"/>
                <w:sz w:val="18"/>
              </w:rPr>
            </w:pPr>
            <w:r>
              <w:rPr>
                <w:rFonts w:ascii="Arial;sans-serif" w:hAnsi="Arial;sans-serif"/>
                <w:b w:val="false"/>
                <w:sz w:val="18"/>
              </w:rPr>
              <w:t> Assessing whether to adopt ESG goals, metrics, and targets, and adopting such goals, metrics, and targets, if deemed appropriate.</w:t>
            </w:r>
          </w:p>
        </w:tc>
      </w:tr>
    </w:tbl>
    <w:p>
      <w:pPr>
        <w:pStyle w:val="TextBody"/>
        <w:bidi w:val="0"/>
        <w:spacing w:before="120" w:after="0"/>
        <w:jc w:val="both"/>
        <w:rPr>
          <w:rFonts w:ascii="Arial" w:hAnsi="Arial"/>
          <w:b w:val="false"/>
          <w:sz w:val="16"/>
        </w:rPr>
      </w:pPr>
      <w:r>
        <w:rPr>
          <w:rFonts w:ascii="Arial" w:hAnsi="Arial"/>
          <w:b w:val="false"/>
          <w:sz w:val="16"/>
        </w:rPr>
        <w:t>(1)</w:t>
      </w:r>
    </w:p>
    <w:p>
      <w:pPr>
        <w:pStyle w:val="TextBody"/>
        <w:bidi w:val="0"/>
        <w:spacing w:before="120" w:after="0"/>
        <w:jc w:val="both"/>
        <w:rPr>
          <w:rFonts w:ascii="Arial;sans-serif" w:hAnsi="Arial;sans-serif"/>
          <w:b w:val="false"/>
          <w:sz w:val="16"/>
        </w:rPr>
      </w:pPr>
      <w:r>
        <w:rPr>
          <w:rFonts w:ascii="Arial;sans-serif" w:hAnsi="Arial;sans-serif"/>
          <w:b w:val="false"/>
          <w:sz w:val="16"/>
        </w:rPr>
        <w:t>Mr. Furman is a current director and member of the Audit Committee, the Compensation Committee, and the NCG Committee. He was not nominated for election at the 2023 Annual Meeting due to his anticipated retirement.</w:t>
      </w:r>
    </w:p>
    <w:p>
      <w:pPr>
        <w:pStyle w:val="TextBody"/>
        <w:bidi w:val="0"/>
        <w:spacing w:before="0" w:after="0"/>
        <w:jc w:val="both"/>
        <w:rPr>
          <w:rFonts w:ascii="Arial" w:hAnsi="Arial"/>
          <w:b w:val="false"/>
          <w:sz w:val="16"/>
        </w:rPr>
      </w:pPr>
      <w:r>
        <w:rPr>
          <w:rFonts w:ascii="Arial" w:hAnsi="Arial"/>
          <w:b w:val="false"/>
          <w:sz w:val="16"/>
        </w:rPr>
        <w:t>(2)</w:t>
      </w:r>
    </w:p>
    <w:p>
      <w:pPr>
        <w:pStyle w:val="TextBody"/>
        <w:bidi w:val="0"/>
        <w:spacing w:before="0" w:after="0"/>
        <w:jc w:val="both"/>
        <w:rPr>
          <w:rFonts w:ascii="Arial;sans-serif" w:hAnsi="Arial;sans-serif"/>
          <w:b w:val="false"/>
          <w:sz w:val="16"/>
        </w:rPr>
      </w:pPr>
      <w:r>
        <w:rPr>
          <w:rFonts w:ascii="Arial;sans-serif" w:hAnsi="Arial;sans-serif"/>
          <w:b w:val="false"/>
          <w:sz w:val="16"/>
        </w:rPr>
        <w:t>Ms. Lohmeier joined the Board in July 2023.</w:t>
      </w:r>
    </w:p>
    <w:p>
      <w:pPr>
        <w:pStyle w:val="TextBody"/>
        <w:bidi w:val="0"/>
        <w:spacing w:before="0" w:after="0"/>
        <w:jc w:val="both"/>
        <w:rPr>
          <w:rFonts w:ascii="Arial" w:hAnsi="Arial"/>
          <w:b w:val="false"/>
          <w:sz w:val="16"/>
        </w:rPr>
      </w:pPr>
      <w:r>
        <w:rPr>
          <w:rFonts w:ascii="Arial" w:hAnsi="Arial"/>
          <w:b w:val="false"/>
          <w:sz w:val="16"/>
        </w:rPr>
        <w:t>(3)</w:t>
      </w:r>
    </w:p>
    <w:p>
      <w:pPr>
        <w:pStyle w:val="TextBody"/>
        <w:bidi w:val="0"/>
        <w:jc w:val="both"/>
        <w:rPr>
          <w:rFonts w:ascii="Arial;sans-serif" w:hAnsi="Arial;sans-serif"/>
          <w:b w:val="false"/>
          <w:sz w:val="16"/>
        </w:rPr>
      </w:pPr>
      <w:r>
        <w:rPr>
          <w:rFonts w:ascii="Arial;sans-serif" w:hAnsi="Arial;sans-serif"/>
          <w:b w:val="false"/>
          <w:sz w:val="16"/>
        </w:rPr>
        <w:t xml:space="preserve">Mr. Golden passed away in June 2023. He served as Chair of the ESG Committee prior to his death. </w:t>
      </w:r>
    </w:p>
    <w:p>
      <w:pPr>
        <w:pStyle w:val="TextBody"/>
        <w:bidi w:val="0"/>
        <w:spacing w:before="0" w:after="0"/>
        <w:jc w:val="both"/>
        <w:rPr/>
      </w:pPr>
      <w:r>
        <w:rPr/>
        <w:t> </w:t>
      </w:r>
    </w:p>
    <w:p>
      <w:pPr>
        <w:pStyle w:val="TextBody"/>
        <w:bidi w:val="0"/>
        <w:spacing w:before="0" w:after="0"/>
        <w:jc w:val="both"/>
        <w:rPr>
          <w:rFonts w:ascii="Arial;sans-serif" w:hAnsi="Arial;sans-serif"/>
          <w:b w:val="false"/>
          <w:sz w:val="24"/>
          <w:u w:val="single"/>
        </w:rPr>
      </w:pPr>
      <w:r>
        <w:rPr>
          <w:rFonts w:ascii="Arial;sans-serif" w:hAnsi="Arial;sans-serif"/>
          <w:b w:val="false"/>
          <w:sz w:val="24"/>
          <w:u w:val="single"/>
        </w:rPr>
        <w:t>Meeting Attendance in Fiscal 2023</w:t>
      </w:r>
    </w:p>
    <w:p>
      <w:pPr>
        <w:pStyle w:val="TextBody"/>
        <w:bidi w:val="0"/>
        <w:spacing w:before="0" w:after="0"/>
        <w:jc w:val="both"/>
        <w:rPr>
          <w:rFonts w:ascii="Arial;sans-serif" w:hAnsi="Arial;sans-serif"/>
          <w:b w:val="false"/>
          <w:sz w:val="20"/>
        </w:rPr>
      </w:pPr>
      <w:r>
        <w:rPr>
          <w:rFonts w:ascii="Arial;sans-serif" w:hAnsi="Arial;sans-serif"/>
          <w:b w:val="false"/>
          <w:sz w:val="20"/>
        </w:rPr>
        <w:t>In fiscal 2023, the Board held seven meetings and its committees held a combined total of 21 meetings. Each director attended 75% or more of the aggregate of all meetings of the Board and the committees on which he or she served. We encourage our directors to attend our annual meetings of stockholders. All directors attended the 2022 Annual Meeting.</w:t>
      </w:r>
    </w:p>
    <w:p>
      <w:pPr>
        <w:pStyle w:val="TextBody"/>
        <w:bidi w:val="0"/>
        <w:spacing w:before="240" w:after="0"/>
        <w:jc w:val="both"/>
        <w:rPr>
          <w:rFonts w:ascii="Arial;sans-serif" w:hAnsi="Arial;sans-serif"/>
          <w:b w:val="false"/>
          <w:sz w:val="24"/>
          <w:u w:val="single"/>
        </w:rPr>
      </w:pPr>
      <w:r>
        <w:rPr>
          <w:rFonts w:ascii="Arial;sans-serif" w:hAnsi="Arial;sans-serif"/>
          <w:b w:val="false"/>
          <w:sz w:val="24"/>
          <w:u w:val="single"/>
        </w:rPr>
        <w:t>Executive Sessions</w:t>
      </w:r>
    </w:p>
    <w:p>
      <w:pPr>
        <w:pStyle w:val="TextBody"/>
        <w:bidi w:val="0"/>
        <w:spacing w:before="0" w:after="0"/>
        <w:jc w:val="both"/>
        <w:rPr>
          <w:rFonts w:ascii="Arial;sans-serif" w:hAnsi="Arial;sans-serif"/>
          <w:b w:val="false"/>
          <w:sz w:val="20"/>
        </w:rPr>
      </w:pPr>
      <w:r>
        <w:rPr>
          <w:rFonts w:ascii="Arial;sans-serif" w:hAnsi="Arial;sans-serif"/>
          <w:b w:val="false"/>
          <w:sz w:val="20"/>
        </w:rPr>
        <w:t>We regularly schedule executive sessions in which independent directors meet without the presence or participation of management. Our Chairman serves as the presiding director of these executive sessions during Board meetings, and our committee chairs preside at the sessions held during committee meetings.</w:t>
      </w:r>
    </w:p>
    <w:p>
      <w:pPr>
        <w:pStyle w:val="TextBody"/>
        <w:bidi w:val="0"/>
        <w:spacing w:before="0" w:after="0"/>
        <w:jc w:val="left"/>
        <w:rPr/>
      </w:pPr>
      <w:r>
        <w:rPr/>
        <w:t> </w:t>
      </w:r>
    </w:p>
    <w:tbl>
      <w:tblPr>
        <w:tblW w:w="3762" w:type="dxa"/>
        <w:jc w:val="left"/>
        <w:tblInd w:w="0" w:type="dxa"/>
        <w:tblLayout w:type="fixed"/>
        <w:tblCellMar>
          <w:top w:w="28" w:type="dxa"/>
          <w:left w:w="28" w:type="dxa"/>
          <w:bottom w:w="28" w:type="dxa"/>
          <w:right w:w="28" w:type="dxa"/>
        </w:tblCellMar>
      </w:tblPr>
      <w:tblGrid>
        <w:gridCol w:w="2266"/>
        <w:gridCol w:w="1496"/>
      </w:tblGrid>
      <w:tr>
        <w:trPr/>
        <w:tc>
          <w:tcPr>
            <w:tcW w:w="226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12</w:t>
            </w:r>
            <w:r>
              <w:rPr>
                <w:rFonts w:ascii="Times New Roman" w:hAnsi="Times New Roman"/>
                <w:sz w:val="18"/>
              </w:rPr>
              <w:t> </w:t>
            </w:r>
            <w:r>
              <w:rPr>
                <w:rFonts w:ascii="Arial;sans-serif" w:hAnsi="Arial;sans-serif"/>
                <w:b w:val="false"/>
                <w:sz w:val="18"/>
              </w:rPr>
              <w:t>I 2023 Proxy Statement</w:t>
            </w:r>
          </w:p>
        </w:tc>
        <w:tc>
          <w:tcPr>
            <w:tcW w:w="1496" w:type="dxa"/>
            <w:tcBorders/>
            <w:vAlign w:val="center"/>
          </w:tcPr>
          <w:p>
            <w:pPr>
              <w:pStyle w:val="TableContents"/>
              <w:bidi w:val="0"/>
              <w:spacing w:before="0" w:after="0"/>
              <w:ind w:left="0" w:right="0" w:hanging="0"/>
              <w:jc w:val="right"/>
              <w:rPr/>
            </w:pPr>
            <w:r>
              <w:rPr/>
              <w:drawing>
                <wp:inline distT="0" distB="0" distL="0" distR="0">
                  <wp:extent cx="828675" cy="1905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828675" cy="190500"/>
                          </a:xfrm>
                          <a:prstGeom prst="rect">
                            <a:avLst/>
                          </a:prstGeom>
                        </pic:spPr>
                      </pic:pic>
                    </a:graphicData>
                  </a:graphic>
                </wp:inline>
              </w:drawing>
            </w: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3027" w:type="dxa"/>
        <w:jc w:val="left"/>
        <w:tblInd w:w="0" w:type="dxa"/>
        <w:tblLayout w:type="fixed"/>
        <w:tblCellMar>
          <w:top w:w="28" w:type="dxa"/>
          <w:left w:w="28" w:type="dxa"/>
          <w:bottom w:w="28" w:type="dxa"/>
          <w:right w:w="28" w:type="dxa"/>
        </w:tblCellMar>
      </w:tblPr>
      <w:tblGrid>
        <w:gridCol w:w="2836"/>
        <w:gridCol w:w="191"/>
      </w:tblGrid>
      <w:tr>
        <w:trPr/>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Board and Governance Matters</w:t>
            </w:r>
          </w:p>
        </w:tc>
        <w:tc>
          <w:tcPr>
            <w:tcW w:w="191" w:type="dxa"/>
            <w:tcBorders/>
            <w:vAlign w:val="center"/>
          </w:tcPr>
          <w:p>
            <w:pPr>
              <w:pStyle w:val="TableContents"/>
              <w:bidi w:val="0"/>
              <w:spacing w:before="0" w:after="0"/>
              <w:ind w:left="0" w:right="0" w:hanging="0"/>
              <w:jc w:val="left"/>
              <w:rPr/>
            </w:pPr>
            <w:r>
              <w:rPr/>
              <w:t> </w:t>
            </w:r>
          </w:p>
        </w:tc>
      </w:tr>
      <w:tr>
        <w:trPr/>
        <w:tc>
          <w:tcPr>
            <w:tcW w:w="283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both"/>
        <w:rPr>
          <w:rFonts w:ascii="Arial;sans-serif" w:hAnsi="Arial;sans-serif"/>
          <w:b w:val="false"/>
          <w:sz w:val="24"/>
          <w:u w:val="single"/>
        </w:rPr>
      </w:pPr>
      <w:r>
        <w:rPr>
          <w:rFonts w:ascii="Arial;sans-serif" w:hAnsi="Arial;sans-serif"/>
          <w:b w:val="false"/>
          <w:sz w:val="24"/>
          <w:u w:val="single"/>
        </w:rPr>
        <w:t>Stockholder Engagement</w:t>
      </w:r>
    </w:p>
    <w:p>
      <w:pPr>
        <w:pStyle w:val="TextBody"/>
        <w:bidi w:val="0"/>
        <w:spacing w:before="0" w:after="0"/>
        <w:jc w:val="both"/>
        <w:rPr>
          <w:rFonts w:ascii="Arial;sans-serif" w:hAnsi="Arial;sans-serif"/>
          <w:b w:val="false"/>
          <w:sz w:val="20"/>
        </w:rPr>
      </w:pPr>
      <w:r>
        <w:rPr>
          <w:rFonts w:ascii="Arial;sans-serif" w:hAnsi="Arial;sans-serif"/>
          <w:b w:val="false"/>
          <w:sz w:val="20"/>
        </w:rPr>
        <w:t>We meet with investors throughout the year and consider investor feedback on emerging issues, which allows us to better understand their priorities and perspectives. This year-round engagement provides us with useful input and enables us to consider developments proactively. In addition, from time to time, we conduct stockholder outreach programs. Prior to the 2022 Annual Meeting, we requested meetings with the corporate governance teams at stockholders representing approximately 46% of our outstanding shares, as a result of which we engaged with teams at stockholders representing approximately 27% of our outstanding shares. We primarily discussed the stockholder proposals that were included in our proxy materials for the 2022 Annual Meeting. In early 2023, we requested meetings with the corporate governance teams at stockholders representing 44% of our outstanding shares, as a result of which we engaged with teams at stockholders representing 10% of our outstanding shares. We used these meetings to, among other things, discuss progress we had made on topics of importance to our stockholders, including Board refreshment, and solicit our investors’ views on the right of stockholders to call special meetings (see Proposals 5 and 7) and our exclusive forum bylaw provision (see Proposal 6).</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i/>
          <w:sz w:val="20"/>
        </w:rPr>
        <w:t>Responding to Stockholder Engagement</w:t>
      </w:r>
      <w:r>
        <w:rPr>
          <w:rFonts w:ascii="Arial;sans-serif" w:hAnsi="Arial;sans-serif"/>
          <w:b w:val="false"/>
          <w:sz w:val="20"/>
        </w:rPr>
        <w:t>. We value the feedback that we receive from our investors and seek opportunities to respond to their feedback, when appropriate. For example, in response to feedback we received in recent years from many of our largest stockholders, we have expanded our public disclosures both in SEC-filed documents and through the publication of other relevant documents. In 2022, we published our first Firearm Market Factsheet, which was intended to increase transparency around our business practices by, among other things, describing our go-to-market approach to both domestic and international sales and highlighting our commitment to promoting responsible firearm ownership. In 2022, we also published our second Environmental Factsheet, which, among other things, highlighted our commitment to responsible environmental practices, described our approach to environmental management, and listed a number of environmental impact highlights. Copies of the Firearm Market Factsheet and the Environmental Factsheet are available on our website, www.smith-wesson.com. The information on our website is not part of this Proxy Statement.</w:t>
      </w:r>
    </w:p>
    <w:p>
      <w:pPr>
        <w:pStyle w:val="TextBody"/>
        <w:bidi w:val="0"/>
        <w:spacing w:before="0" w:after="0"/>
        <w:jc w:val="both"/>
        <w:rPr/>
      </w:pPr>
      <w:r>
        <w:rPr/>
        <w:t> </w:t>
      </w:r>
    </w:p>
    <w:p>
      <w:pPr>
        <w:pStyle w:val="TextBody"/>
        <w:bidi w:val="0"/>
        <w:spacing w:before="0" w:after="0"/>
        <w:jc w:val="both"/>
        <w:rPr>
          <w:rFonts w:ascii="Arial;sans-serif" w:hAnsi="Arial;sans-serif"/>
          <w:b w:val="false"/>
          <w:sz w:val="20"/>
        </w:rPr>
      </w:pPr>
      <w:r>
        <w:rPr>
          <w:rFonts w:ascii="Arial;sans-serif" w:hAnsi="Arial;sans-serif"/>
          <w:b w:val="false"/>
          <w:sz w:val="20"/>
        </w:rPr>
        <w:t>In response to requests from certain of our stockholders for more detailed information concerning our directors’ qualifications, in fiscal 2023, the NCG Committee developed and adopted the Skills Matrix.</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7175"/>
        <w:gridCol w:w="226"/>
        <w:gridCol w:w="2804"/>
      </w:tblGrid>
      <w:tr>
        <w:trPr/>
        <w:tc>
          <w:tcPr>
            <w:tcW w:w="717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804" w:type="dxa"/>
            <w:tcBorders/>
            <w:vAlign w:val="center"/>
          </w:tcPr>
          <w:p>
            <w:pPr>
              <w:pStyle w:val="TableContents"/>
              <w:bidi w:val="0"/>
              <w:spacing w:before="0" w:after="283"/>
              <w:jc w:val="left"/>
              <w:rPr>
                <w:sz w:val="4"/>
                <w:szCs w:val="4"/>
              </w:rPr>
            </w:pPr>
            <w:r>
              <w:rPr>
                <w:sz w:val="4"/>
                <w:szCs w:val="4"/>
              </w:rPr>
            </w:r>
          </w:p>
        </w:tc>
      </w:tr>
      <w:tr>
        <w:trPr/>
        <w:tc>
          <w:tcPr>
            <w:tcW w:w="7175" w:type="dxa"/>
            <w:tcBorders/>
            <w:vAlign w:val="center"/>
          </w:tcPr>
          <w:p>
            <w:pPr>
              <w:pStyle w:val="TableContents"/>
              <w:bidi w:val="0"/>
              <w:spacing w:before="0" w:after="0"/>
              <w:ind w:left="0" w:right="0" w:hanging="0"/>
              <w:jc w:val="both"/>
              <w:rPr>
                <w:rFonts w:ascii="Arial;sans-serif" w:hAnsi="Arial;sans-serif"/>
                <w:b w:val="false"/>
                <w:sz w:val="20"/>
              </w:rPr>
            </w:pPr>
            <w:r>
              <w:rPr>
                <w:rFonts w:ascii="Arial;sans-serif" w:hAnsi="Arial;sans-serif"/>
                <w:b w:val="false"/>
                <w:sz w:val="20"/>
              </w:rPr>
              <w:t>In addition to engaging with our largest stockholders, we have devoted significant resources in recent years engaging with the proponent for Proposal 8. We spoke directly to the proponent on three occasions in 2022 and once in 2023. Each discussion was conducted in a respectful manner, and we came away with a better understanding of the proponent’s positions regarding gun control generally and its stockholder proposal specifically. During fiscal 2023, we also met with a representative of the California State Teachers’ Retirement System.</w:t>
            </w:r>
          </w:p>
        </w:tc>
        <w:tc>
          <w:tcPr>
            <w:tcW w:w="226" w:type="dxa"/>
            <w:tcBorders>
              <w:right w:val="single" w:sz="4" w:space="0" w:color="000000"/>
            </w:tcBorders>
            <w:tcMar>
              <w:top w:w="0" w:type="dxa"/>
              <w:left w:w="0" w:type="dxa"/>
              <w:bottom w:w="0" w:type="dxa"/>
            </w:tcMar>
            <w:vAlign w:val="center"/>
          </w:tcPr>
          <w:p>
            <w:pPr>
              <w:pStyle w:val="TableContents"/>
              <w:bidi w:val="0"/>
              <w:spacing w:before="0" w:after="120"/>
              <w:ind w:left="0" w:right="0" w:firstLine="80"/>
              <w:jc w:val="both"/>
              <w:rPr/>
            </w:pPr>
            <w:r>
              <w:rPr/>
              <w:t> </w:t>
            </w:r>
          </w:p>
        </w:tc>
        <w:tc>
          <w:tcPr>
            <w:tcW w:w="2804"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80" w:after="80"/>
              <w:ind w:left="80" w:right="80" w:hanging="0"/>
              <w:jc w:val="center"/>
              <w:rPr>
                <w:rFonts w:ascii="Arial;sans-serif" w:hAnsi="Arial;sans-serif"/>
                <w:b/>
                <w:sz w:val="20"/>
                <w:u w:val="single"/>
              </w:rPr>
            </w:pPr>
            <w:r>
              <w:rPr>
                <w:rFonts w:ascii="Arial;sans-serif" w:hAnsi="Arial;sans-serif"/>
                <w:b/>
                <w:sz w:val="20"/>
                <w:u w:val="single"/>
              </w:rPr>
              <w:t>Governance Spotlight</w:t>
            </w:r>
          </w:p>
          <w:p>
            <w:pPr>
              <w:pStyle w:val="TableContents"/>
              <w:pBdr/>
              <w:bidi w:val="0"/>
              <w:spacing w:before="0" w:after="0"/>
              <w:ind w:left="0" w:right="0" w:hanging="144"/>
              <w:jc w:val="center"/>
              <w:rPr>
                <w:rFonts w:ascii="Arial;sans-serif" w:hAnsi="Arial;sans-serif"/>
                <w:b w:val="false"/>
                <w:sz w:val="18"/>
              </w:rPr>
            </w:pPr>
            <w:r>
              <w:rPr>
                <w:rFonts w:ascii="Arial;sans-serif" w:hAnsi="Arial;sans-serif"/>
                <w:b w:val="false"/>
                <w:sz w:val="18"/>
              </w:rPr>
              <w:t>We spoke directly with the proponent for Proposal 8 on four occasions in the last two years in order to better understand the proponent’s views and objectives.</w:t>
            </w:r>
          </w:p>
        </w:tc>
      </w:tr>
    </w:tbl>
    <w:p>
      <w:pPr>
        <w:pStyle w:val="TextBody"/>
        <w:bidi w:val="0"/>
        <w:spacing w:before="0" w:after="0"/>
        <w:jc w:val="both"/>
        <w:rPr/>
      </w:pPr>
      <w:r>
        <w:rPr/>
        <w:t> </w:t>
      </w:r>
    </w:p>
    <w:p>
      <w:pPr>
        <w:pStyle w:val="TextBody"/>
        <w:bidi w:val="0"/>
        <w:spacing w:before="0" w:after="0"/>
        <w:jc w:val="left"/>
        <w:rPr/>
      </w:pPr>
      <w:r>
        <w:rPr/>
        <w:t> </w:t>
      </w:r>
    </w:p>
    <w:tbl>
      <w:tblPr>
        <w:tblW w:w="3762" w:type="dxa"/>
        <w:jc w:val="left"/>
        <w:tblInd w:w="0" w:type="dxa"/>
        <w:tblLayout w:type="fixed"/>
        <w:tblCellMar>
          <w:top w:w="28" w:type="dxa"/>
          <w:left w:w="28" w:type="dxa"/>
          <w:bottom w:w="28" w:type="dxa"/>
          <w:right w:w="28" w:type="dxa"/>
        </w:tblCellMar>
      </w:tblPr>
      <w:tblGrid>
        <w:gridCol w:w="2266"/>
        <w:gridCol w:w="1496"/>
      </w:tblGrid>
      <w:tr>
        <w:trPr/>
        <w:tc>
          <w:tcPr>
            <w:tcW w:w="226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13</w:t>
            </w:r>
            <w:r>
              <w:rPr>
                <w:rFonts w:ascii="Times New Roman" w:hAnsi="Times New Roman"/>
                <w:sz w:val="18"/>
              </w:rPr>
              <w:t> </w:t>
            </w:r>
            <w:r>
              <w:rPr>
                <w:rFonts w:ascii="Arial;sans-serif" w:hAnsi="Arial;sans-serif"/>
                <w:b w:val="false"/>
                <w:sz w:val="18"/>
              </w:rPr>
              <w:t>I 2023 Proxy Statement</w:t>
            </w:r>
          </w:p>
        </w:tc>
        <w:tc>
          <w:tcPr>
            <w:tcW w:w="1496" w:type="dxa"/>
            <w:tcBorders/>
            <w:vAlign w:val="center"/>
          </w:tcPr>
          <w:p>
            <w:pPr>
              <w:pStyle w:val="TableContents"/>
              <w:bidi w:val="0"/>
              <w:spacing w:before="0" w:after="0"/>
              <w:ind w:left="0" w:right="0" w:hanging="0"/>
              <w:jc w:val="right"/>
              <w:rPr/>
            </w:pPr>
            <w:r>
              <w:rPr/>
              <w:drawing>
                <wp:inline distT="0" distB="0" distL="0" distR="0">
                  <wp:extent cx="828675" cy="1905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828675" cy="190500"/>
                          </a:xfrm>
                          <a:prstGeom prst="rect">
                            <a:avLst/>
                          </a:prstGeom>
                        </pic:spPr>
                      </pic:pic>
                    </a:graphicData>
                  </a:graphic>
                </wp:inline>
              </w:drawing>
            </w: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3027" w:type="dxa"/>
        <w:jc w:val="left"/>
        <w:tblInd w:w="0" w:type="dxa"/>
        <w:tblLayout w:type="fixed"/>
        <w:tblCellMar>
          <w:top w:w="28" w:type="dxa"/>
          <w:left w:w="28" w:type="dxa"/>
          <w:bottom w:w="28" w:type="dxa"/>
          <w:right w:w="28" w:type="dxa"/>
        </w:tblCellMar>
      </w:tblPr>
      <w:tblGrid>
        <w:gridCol w:w="2836"/>
        <w:gridCol w:w="191"/>
      </w:tblGrid>
      <w:tr>
        <w:trPr/>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Board and Governance Matters</w:t>
            </w:r>
          </w:p>
        </w:tc>
        <w:tc>
          <w:tcPr>
            <w:tcW w:w="191" w:type="dxa"/>
            <w:tcBorders/>
            <w:vAlign w:val="center"/>
          </w:tcPr>
          <w:p>
            <w:pPr>
              <w:pStyle w:val="TableContents"/>
              <w:bidi w:val="0"/>
              <w:spacing w:before="0" w:after="0"/>
              <w:ind w:left="0" w:right="0" w:hanging="0"/>
              <w:jc w:val="left"/>
              <w:rPr/>
            </w:pPr>
            <w:r>
              <w:rPr/>
              <w:t> </w:t>
            </w:r>
          </w:p>
        </w:tc>
      </w:tr>
      <w:tr>
        <w:trPr/>
        <w:tc>
          <w:tcPr>
            <w:tcW w:w="283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both"/>
        <w:rPr>
          <w:rFonts w:ascii="Arial;sans-serif" w:hAnsi="Arial;sans-serif"/>
          <w:b/>
          <w:sz w:val="28"/>
        </w:rPr>
      </w:pPr>
      <w:r>
        <w:rPr>
          <w:rFonts w:ascii="Arial;sans-serif" w:hAnsi="Arial;sans-serif"/>
          <w:b/>
          <w:sz w:val="28"/>
        </w:rPr>
        <w:t>ADDITIONAL GOVERNANCE MATTERS</w:t>
      </w:r>
    </w:p>
    <w:p>
      <w:pPr>
        <w:pStyle w:val="TextBody"/>
        <w:bidi w:val="0"/>
        <w:spacing w:before="0" w:after="0"/>
        <w:jc w:val="both"/>
        <w:rPr>
          <w:rFonts w:ascii="Times New Roman" w:hAnsi="Times New Roman"/>
          <w:sz w:val="20"/>
        </w:rPr>
      </w:pPr>
      <w:r>
        <w:rPr>
          <w:rFonts w:ascii="Arial;sans-serif" w:hAnsi="Arial;sans-serif"/>
          <w:b w:val="false"/>
          <w:sz w:val="24"/>
          <w:u w:val="single"/>
        </w:rPr>
        <w:t>Certain Relationships</w:t>
      </w:r>
      <w:r>
        <w:rPr>
          <w:rFonts w:ascii="Times New Roman" w:hAnsi="Times New Roman"/>
          <w:sz w:val="20"/>
        </w:rPr>
        <w:t xml:space="preserve"> </w:t>
      </w:r>
    </w:p>
    <w:p>
      <w:pPr>
        <w:pStyle w:val="TextBody"/>
        <w:bidi w:val="0"/>
        <w:spacing w:before="0" w:after="0"/>
        <w:jc w:val="both"/>
        <w:rPr>
          <w:rFonts w:ascii="Arial;sans-serif" w:hAnsi="Arial;sans-serif"/>
          <w:b w:val="false"/>
          <w:sz w:val="20"/>
        </w:rPr>
      </w:pPr>
      <w:r>
        <w:rPr>
          <w:rFonts w:ascii="Arial;sans-serif" w:hAnsi="Arial;sans-serif"/>
          <w:b w:val="false"/>
          <w:sz w:val="20"/>
        </w:rPr>
        <w:t>Unless delegated to the Compensation Committee by the Board, the Audit Committee charter requires the Audit Committee to review and approve all related party transactions and to review and make recommendations to the full Board, or approve, any contracts or other transactions with any of our current or former executive officers, including consulting arrangements, employment agreements, change-in-control agreements, termination arrangements, and loans to employees made or guaranteed by us. We have a policy that we will not enter into any such transaction unless the transaction is determined by our disinterested directors to be fair to us or is approved by our disinterested directors or by our stockholders. Any determination by our disinterested directors is based on a review of the particular transaction, applicable laws and regulations, our policies, and the Nasdaq listing standards. As appropriate, the disinterested directors of the applicable committees of the Board will consult with our legal counsel or internal auditor. There was no transaction during fiscal 2023, and there are no currently proposed transactions, in which we were or are to be a participant in which an executive officer, director, director nominee, a beneficial owner of 5% or more of our common stock, or any immediate family members of such persons had or will have a direct material interest.</w:t>
      </w:r>
    </w:p>
    <w:p>
      <w:pPr>
        <w:pStyle w:val="TextBody"/>
        <w:bidi w:val="0"/>
        <w:spacing w:before="240" w:after="0"/>
        <w:jc w:val="both"/>
        <w:rPr>
          <w:rFonts w:ascii="Arial;sans-serif" w:hAnsi="Arial;sans-serif"/>
          <w:b w:val="false"/>
          <w:sz w:val="20"/>
        </w:rPr>
      </w:pPr>
      <w:r>
        <w:rPr>
          <w:rFonts w:ascii="Arial;sans-serif" w:hAnsi="Arial;sans-serif"/>
          <w:b w:val="false"/>
          <w:sz w:val="20"/>
        </w:rPr>
        <w:t>We have entered into indemnification agreements with each of our directors and executive officers that require us to indemnify such individuals, to the fullest extent permitted by Nevada law, for certain liabilities to which they may become subject as a result of their affiliation with us.</w:t>
      </w:r>
    </w:p>
    <w:p>
      <w:pPr>
        <w:pStyle w:val="TextBody"/>
        <w:bidi w:val="0"/>
        <w:spacing w:before="240" w:after="0"/>
        <w:jc w:val="both"/>
        <w:rPr>
          <w:rFonts w:ascii="Times New Roman" w:hAnsi="Times New Roman"/>
          <w:sz w:val="20"/>
        </w:rPr>
      </w:pPr>
      <w:r>
        <w:rPr>
          <w:rFonts w:ascii="Arial;sans-serif" w:hAnsi="Arial;sans-serif"/>
          <w:b w:val="false"/>
          <w:sz w:val="24"/>
          <w:u w:val="single"/>
        </w:rPr>
        <w:t>Clawback Policy</w:t>
      </w:r>
      <w:r>
        <w:rPr>
          <w:rFonts w:ascii="Times New Roman" w:hAnsi="Times New Roman"/>
          <w:sz w:val="20"/>
        </w:rPr>
        <w:t xml:space="preserve"> </w:t>
      </w:r>
    </w:p>
    <w:p>
      <w:pPr>
        <w:pStyle w:val="TextBody"/>
        <w:bidi w:val="0"/>
        <w:spacing w:before="0" w:after="0"/>
        <w:jc w:val="both"/>
        <w:rPr>
          <w:rFonts w:ascii="Arial;sans-serif" w:hAnsi="Arial;sans-serif"/>
          <w:b w:val="false"/>
          <w:sz w:val="20"/>
        </w:rPr>
      </w:pPr>
      <w:r>
        <w:rPr>
          <w:rFonts w:ascii="Arial;sans-serif" w:hAnsi="Arial;sans-serif"/>
          <w:b w:val="false"/>
          <w:sz w:val="20"/>
        </w:rPr>
        <w:t>We maintain a compensation recovery, or clawback, policy. See “Compensation Matters – Compensation Discussion and Analysis – Additional Compensation Matters – Clawback Policy” for more information.</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4"/>
          <w:u w:val="single"/>
        </w:rPr>
        <w:t>Communicating with the Board</w:t>
      </w:r>
      <w:r>
        <w:rPr>
          <w:rFonts w:ascii="Times New Roman" w:hAnsi="Times New Roman"/>
          <w:sz w:val="20"/>
        </w:rPr>
        <w:t xml:space="preserve"> </w:t>
      </w:r>
    </w:p>
    <w:p>
      <w:pPr>
        <w:pStyle w:val="TextBody"/>
        <w:bidi w:val="0"/>
        <w:spacing w:before="0" w:after="0"/>
        <w:jc w:val="both"/>
        <w:rPr>
          <w:rFonts w:ascii="Arial;sans-serif" w:hAnsi="Arial;sans-serif"/>
          <w:b w:val="false"/>
          <w:sz w:val="20"/>
        </w:rPr>
      </w:pPr>
      <w:r>
        <w:rPr>
          <w:rFonts w:ascii="Arial;sans-serif" w:hAnsi="Arial;sans-serif"/>
          <w:b w:val="false"/>
          <w:sz w:val="20"/>
        </w:rPr>
        <w:t>Stockholders may communicate with the Board or specific directors, including our independent directors and the members of our board committees, by submitting a letter addressed to the Board of Directors of Smith &amp; Wesson Brands, Inc., c/o any specified individual director or directors, at our principal executive offices.</w:t>
      </w:r>
    </w:p>
    <w:p>
      <w:pPr>
        <w:pStyle w:val="TextBody"/>
        <w:bidi w:val="0"/>
        <w:spacing w:before="0" w:after="0"/>
        <w:jc w:val="both"/>
        <w:rPr>
          <w:rFonts w:ascii="Times New Roman" w:hAnsi="Times New Roman"/>
          <w:sz w:val="20"/>
        </w:rPr>
      </w:pPr>
      <w:r>
        <w:rPr>
          <w:rFonts w:ascii="Arial;sans-serif" w:hAnsi="Arial;sans-serif"/>
          <w:b w:val="false"/>
          <w:sz w:val="24"/>
          <w:u w:val="single"/>
        </w:rPr>
        <w:t>Corporate Political Contributions and Expenditures</w:t>
      </w:r>
      <w:r>
        <w:rPr>
          <w:rFonts w:ascii="Times New Roman" w:hAnsi="Times New Roman"/>
          <w:sz w:val="20"/>
        </w:rPr>
        <w:t xml:space="preserve"> </w:t>
      </w:r>
    </w:p>
    <w:p>
      <w:pPr>
        <w:pStyle w:val="TextBody"/>
        <w:bidi w:val="0"/>
        <w:spacing w:before="0" w:after="0"/>
        <w:jc w:val="both"/>
        <w:rPr>
          <w:rFonts w:ascii="Arial;sans-serif" w:hAnsi="Arial;sans-serif"/>
          <w:b w:val="false"/>
          <w:sz w:val="20"/>
        </w:rPr>
      </w:pPr>
      <w:r>
        <w:rPr>
          <w:rFonts w:ascii="Arial;sans-serif" w:hAnsi="Arial;sans-serif"/>
          <w:b w:val="false"/>
          <w:sz w:val="20"/>
        </w:rPr>
        <w:t>We have a policy to post on our website each fiscal year an annual report disclosing all political contributions or expenditures in the United States in excess of $50,000 that are not deductible as “ordinary and necessary” business expenses under Section 162(e) of the Internal Revenue Code, as amended (the "Code"). Non-deductible amounts generally include contributions to or expenditures in support of or opposition to political candidates, political parties, or political committees.</w:t>
      </w:r>
    </w:p>
    <w:p>
      <w:pPr>
        <w:pStyle w:val="TextBody"/>
        <w:bidi w:val="0"/>
        <w:spacing w:before="0" w:after="0"/>
        <w:jc w:val="both"/>
        <w:rPr/>
      </w:pPr>
      <w:r>
        <w:rPr/>
        <w:t> </w:t>
      </w:r>
    </w:p>
    <w:p>
      <w:pPr>
        <w:pStyle w:val="TextBody"/>
        <w:bidi w:val="0"/>
        <w:spacing w:before="0" w:after="0"/>
        <w:jc w:val="both"/>
        <w:rPr>
          <w:rFonts w:ascii="Arial;sans-serif" w:hAnsi="Arial;sans-serif"/>
          <w:b w:val="false"/>
          <w:sz w:val="24"/>
          <w:u w:val="single"/>
        </w:rPr>
      </w:pPr>
      <w:r>
        <w:rPr>
          <w:rFonts w:ascii="Arial;sans-serif" w:hAnsi="Arial;sans-serif"/>
          <w:b w:val="false"/>
          <w:sz w:val="24"/>
          <w:u w:val="single"/>
        </w:rPr>
        <w:t>Corporate Stewardship Policy</w:t>
      </w:r>
    </w:p>
    <w:p>
      <w:pPr>
        <w:pStyle w:val="TextBody"/>
        <w:bidi w:val="0"/>
        <w:spacing w:before="0" w:after="0"/>
        <w:jc w:val="both"/>
        <w:rPr>
          <w:rFonts w:ascii="Times New Roman" w:hAnsi="Times New Roman"/>
          <w:sz w:val="20"/>
        </w:rPr>
      </w:pPr>
      <w:r>
        <w:rPr>
          <w:rFonts w:ascii="Arial;sans-serif" w:hAnsi="Arial;sans-serif"/>
          <w:b w:val="false"/>
          <w:sz w:val="20"/>
        </w:rPr>
        <w:t>We have a policy, pursuant to which, in order to meet our objective of being a good corporate steward, we consider, among other things, our responsibilities with respect to employee, safety, and governance risks, including the risks caused by the unlawful or improper use of firearms.</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4"/>
          <w:u w:val="single"/>
        </w:rPr>
        <w:t>Director and Officer Derivative Trading and Hedging</w:t>
      </w:r>
      <w:r>
        <w:rPr>
          <w:rFonts w:ascii="Times New Roman" w:hAnsi="Times New Roman"/>
          <w:sz w:val="20"/>
        </w:rPr>
        <w:t xml:space="preserve"> </w:t>
      </w:r>
    </w:p>
    <w:p>
      <w:pPr>
        <w:pStyle w:val="TextBody"/>
        <w:bidi w:val="0"/>
        <w:spacing w:before="0" w:after="0"/>
        <w:jc w:val="both"/>
        <w:rPr>
          <w:rFonts w:ascii="Times New Roman" w:hAnsi="Times New Roman"/>
          <w:sz w:val="20"/>
        </w:rPr>
      </w:pPr>
      <w:r>
        <w:rPr>
          <w:rFonts w:ascii="Arial;sans-serif" w:hAnsi="Arial;sans-serif"/>
          <w:b w:val="false"/>
          <w:sz w:val="20"/>
        </w:rPr>
        <w:t>We have a policy prohibiting our directors and officers, including our executive officers, and any family member residing in the same household, from engaging in derivatives trading and hedging involving our securities or pledging or margining our common stock.</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4"/>
          <w:u w:val="single"/>
        </w:rPr>
        <w:t>Whistleblower Policy</w:t>
      </w:r>
      <w:r>
        <w:rPr>
          <w:rFonts w:ascii="Times New Roman" w:hAnsi="Times New Roman"/>
          <w:sz w:val="20"/>
        </w:rPr>
        <w:t xml:space="preserve"> </w:t>
      </w:r>
    </w:p>
    <w:p>
      <w:pPr>
        <w:pStyle w:val="TextBody"/>
        <w:bidi w:val="0"/>
        <w:spacing w:before="0" w:after="0"/>
        <w:jc w:val="both"/>
        <w:rPr>
          <w:rFonts w:ascii="Arial;sans-serif" w:hAnsi="Arial;sans-serif"/>
          <w:b w:val="false"/>
          <w:sz w:val="20"/>
        </w:rPr>
      </w:pPr>
      <w:r>
        <w:rPr>
          <w:rFonts w:ascii="Arial;sans-serif" w:hAnsi="Arial;sans-serif"/>
          <w:b w:val="false"/>
          <w:sz w:val="20"/>
        </w:rPr>
        <w:t>We have a policy covering the policies and procedures for the receipt, retention, and treatment of complaints that we receive regarding accounting, internal controls, or auditing matters, and the confidential, anonymous submission by our employees of concerns regarding questionable accounting or auditing matters.</w:t>
      </w:r>
    </w:p>
    <w:p>
      <w:pPr>
        <w:pStyle w:val="TextBody"/>
        <w:bidi w:val="0"/>
        <w:spacing w:before="0" w:after="0"/>
        <w:jc w:val="left"/>
        <w:rPr/>
      </w:pPr>
      <w:r>
        <w:rPr/>
        <w:t> </w:t>
      </w:r>
    </w:p>
    <w:tbl>
      <w:tblPr>
        <w:tblW w:w="3762" w:type="dxa"/>
        <w:jc w:val="left"/>
        <w:tblInd w:w="0" w:type="dxa"/>
        <w:tblLayout w:type="fixed"/>
        <w:tblCellMar>
          <w:top w:w="28" w:type="dxa"/>
          <w:left w:w="28" w:type="dxa"/>
          <w:bottom w:w="28" w:type="dxa"/>
          <w:right w:w="28" w:type="dxa"/>
        </w:tblCellMar>
      </w:tblPr>
      <w:tblGrid>
        <w:gridCol w:w="2266"/>
        <w:gridCol w:w="1496"/>
      </w:tblGrid>
      <w:tr>
        <w:trPr/>
        <w:tc>
          <w:tcPr>
            <w:tcW w:w="226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14</w:t>
            </w:r>
            <w:r>
              <w:rPr>
                <w:rFonts w:ascii="Times New Roman" w:hAnsi="Times New Roman"/>
                <w:sz w:val="18"/>
              </w:rPr>
              <w:t> </w:t>
            </w:r>
            <w:r>
              <w:rPr>
                <w:rFonts w:ascii="Arial;sans-serif" w:hAnsi="Arial;sans-serif"/>
                <w:b w:val="false"/>
                <w:sz w:val="18"/>
              </w:rPr>
              <w:t>I 2023 Proxy Statement</w:t>
            </w:r>
          </w:p>
        </w:tc>
        <w:tc>
          <w:tcPr>
            <w:tcW w:w="1496" w:type="dxa"/>
            <w:tcBorders/>
            <w:vAlign w:val="center"/>
          </w:tcPr>
          <w:p>
            <w:pPr>
              <w:pStyle w:val="TableContents"/>
              <w:bidi w:val="0"/>
              <w:spacing w:before="0" w:after="0"/>
              <w:ind w:left="0" w:right="0" w:hanging="0"/>
              <w:jc w:val="right"/>
              <w:rPr/>
            </w:pPr>
            <w:r>
              <w:rPr/>
              <w:drawing>
                <wp:inline distT="0" distB="0" distL="0" distR="0">
                  <wp:extent cx="828675" cy="1905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828675" cy="190500"/>
                          </a:xfrm>
                          <a:prstGeom prst="rect">
                            <a:avLst/>
                          </a:prstGeom>
                        </pic:spPr>
                      </pic:pic>
                    </a:graphicData>
                  </a:graphic>
                </wp:inline>
              </w:drawing>
            </w: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3027" w:type="dxa"/>
        <w:jc w:val="left"/>
        <w:tblInd w:w="0" w:type="dxa"/>
        <w:tblLayout w:type="fixed"/>
        <w:tblCellMar>
          <w:top w:w="28" w:type="dxa"/>
          <w:left w:w="28" w:type="dxa"/>
          <w:bottom w:w="28" w:type="dxa"/>
          <w:right w:w="28" w:type="dxa"/>
        </w:tblCellMar>
      </w:tblPr>
      <w:tblGrid>
        <w:gridCol w:w="2836"/>
        <w:gridCol w:w="191"/>
      </w:tblGrid>
      <w:tr>
        <w:trPr/>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Board and Governance Matters</w:t>
            </w:r>
          </w:p>
        </w:tc>
        <w:tc>
          <w:tcPr>
            <w:tcW w:w="191" w:type="dxa"/>
            <w:tcBorders/>
            <w:vAlign w:val="center"/>
          </w:tcPr>
          <w:p>
            <w:pPr>
              <w:pStyle w:val="TableContents"/>
              <w:bidi w:val="0"/>
              <w:spacing w:before="0" w:after="0"/>
              <w:ind w:left="0" w:right="0" w:hanging="0"/>
              <w:jc w:val="left"/>
              <w:rPr/>
            </w:pPr>
            <w:r>
              <w:rPr/>
              <w:t> </w:t>
            </w:r>
          </w:p>
        </w:tc>
      </w:tr>
      <w:tr>
        <w:trPr/>
        <w:tc>
          <w:tcPr>
            <w:tcW w:w="283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360" w:after="0"/>
        <w:jc w:val="both"/>
        <w:rPr>
          <w:rFonts w:ascii="Arial;sans-serif" w:hAnsi="Arial;sans-serif"/>
          <w:b/>
          <w:sz w:val="28"/>
        </w:rPr>
      </w:pPr>
      <w:r>
        <w:rPr>
          <w:rFonts w:ascii="Arial;sans-serif" w:hAnsi="Arial;sans-serif"/>
          <w:b/>
          <w:sz w:val="28"/>
        </w:rPr>
        <w:t>DIRECTOR COMPENSATION</w:t>
      </w:r>
    </w:p>
    <w:p>
      <w:pPr>
        <w:pStyle w:val="TextBody"/>
        <w:bidi w:val="0"/>
        <w:spacing w:before="120" w:after="0"/>
        <w:jc w:val="both"/>
        <w:rPr>
          <w:rFonts w:ascii="Arial;sans-serif" w:hAnsi="Arial;sans-serif"/>
          <w:b w:val="false"/>
          <w:sz w:val="20"/>
        </w:rPr>
      </w:pPr>
      <w:r>
        <w:rPr>
          <w:rFonts w:ascii="Arial;sans-serif" w:hAnsi="Arial;sans-serif"/>
          <w:b w:val="false"/>
          <w:sz w:val="20"/>
        </w:rPr>
        <w:t>The Compensation Committee, with advice from its independent compensation consultant, determines, or recommends to the Board for determination, the compensation of our directors. We pay each non-employee director an annual retainer in the amount of $70,000. We also pay additional sums to our Chairman, Vice Chairman, Chairs of our committees, and members of our committees as follows:</w:t>
      </w:r>
    </w:p>
    <w:p>
      <w:pPr>
        <w:pStyle w:val="TextBody"/>
        <w:bidi w:val="0"/>
        <w:spacing w:before="0" w:after="0"/>
        <w:jc w:val="both"/>
        <w:rPr/>
      </w:pPr>
      <w:r>
        <w:rPr/>
        <w:t> </w:t>
      </w:r>
    </w:p>
    <w:tbl>
      <w:tblPr>
        <w:tblW w:w="4976" w:type="dxa"/>
        <w:jc w:val="left"/>
        <w:tblInd w:w="0" w:type="dxa"/>
        <w:tblLayout w:type="fixed"/>
        <w:tblCellMar>
          <w:top w:w="28" w:type="dxa"/>
          <w:left w:w="28" w:type="dxa"/>
          <w:bottom w:w="28" w:type="dxa"/>
          <w:right w:w="28" w:type="dxa"/>
        </w:tblCellMar>
      </w:tblPr>
      <w:tblGrid>
        <w:gridCol w:w="3526"/>
        <w:gridCol w:w="146"/>
        <w:gridCol w:w="196"/>
        <w:gridCol w:w="601"/>
        <w:gridCol w:w="146"/>
        <w:gridCol w:w="36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52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Chairman</w:t>
            </w:r>
          </w:p>
        </w:tc>
        <w:tc>
          <w:tcPr>
            <w:tcW w:w="14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19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0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62,500</w:t>
            </w:r>
          </w:p>
        </w:tc>
        <w:tc>
          <w:tcPr>
            <w:tcW w:w="14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36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r>
      <w:tr>
        <w:trPr/>
        <w:tc>
          <w:tcPr>
            <w:tcW w:w="352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Vice Chairman</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0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23,000</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(1)</w:t>
            </w:r>
          </w:p>
        </w:tc>
      </w:tr>
      <w:tr>
        <w:trPr/>
        <w:tc>
          <w:tcPr>
            <w:tcW w:w="352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Chair, Audit Committee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0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25,000</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r>
        <w:trPr/>
        <w:tc>
          <w:tcPr>
            <w:tcW w:w="352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Chair, Compensation Committee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0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25,000</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r>
        <w:trPr/>
        <w:tc>
          <w:tcPr>
            <w:tcW w:w="352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Chair, NCG Committee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0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25,000</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r>
        <w:trPr/>
        <w:tc>
          <w:tcPr>
            <w:tcW w:w="352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Chair, ESG Committee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0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25,000</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r>
        <w:trPr/>
        <w:tc>
          <w:tcPr>
            <w:tcW w:w="352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Non-Chair Audit Committee Members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0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8,000</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r>
        <w:trPr/>
        <w:tc>
          <w:tcPr>
            <w:tcW w:w="352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Non-Chair Compensation Committee Members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0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5,000</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r>
        <w:trPr/>
        <w:tc>
          <w:tcPr>
            <w:tcW w:w="352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Non-Chair NCG Committee Members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0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5,000</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r>
        <w:trPr/>
        <w:tc>
          <w:tcPr>
            <w:tcW w:w="352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Non-Chair ESG Committee Members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0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5,000</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r>
        <w:trPr/>
        <w:tc>
          <w:tcPr>
            <w:tcW w:w="35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60" w:after="0"/>
        <w:jc w:val="both"/>
        <w:rPr>
          <w:rFonts w:ascii="Arial;sans-serif" w:hAnsi="Arial;sans-serif"/>
          <w:b w:val="false"/>
          <w:sz w:val="16"/>
        </w:rPr>
      </w:pPr>
      <w:r>
        <w:rPr>
          <w:rFonts w:ascii="Arial;sans-serif" w:hAnsi="Arial;sans-serif"/>
          <w:b w:val="false"/>
          <w:sz w:val="16"/>
        </w:rPr>
        <w:t>(1) In June 2023, we eliminated the role of Vice Chairman.</w:t>
      </w:r>
    </w:p>
    <w:p>
      <w:pPr>
        <w:pStyle w:val="TextBody"/>
        <w:bidi w:val="0"/>
        <w:spacing w:before="0" w:after="0"/>
        <w:jc w:val="both"/>
        <w:rPr/>
      </w:pPr>
      <w:r>
        <w:rPr/>
        <w:t> </w:t>
      </w:r>
    </w:p>
    <w:p>
      <w:pPr>
        <w:pStyle w:val="TextBody"/>
        <w:bidi w:val="0"/>
        <w:spacing w:before="0" w:after="0"/>
        <w:jc w:val="both"/>
        <w:rPr>
          <w:rFonts w:ascii="Arial;sans-serif" w:hAnsi="Arial;sans-serif"/>
          <w:b w:val="false"/>
          <w:sz w:val="20"/>
        </w:rPr>
      </w:pPr>
      <w:r>
        <w:rPr>
          <w:rFonts w:ascii="Arial;sans-serif" w:hAnsi="Arial;sans-serif"/>
          <w:b w:val="false"/>
          <w:sz w:val="20"/>
        </w:rPr>
        <w:t>Each committee member receives an additional $1,500 per committee meeting attended in excess of seven meetings per year (for the Audit Committee), in excess of six meetings per year (for the Compensation Committee), in excess of four meetings per year (for the NCG Committee), and in excess of four meetings per year (for the ESG Committee).</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We reimburse directors for travel and related expenses incurred in connection with attending Board and committee meetings. Mr. Smith receives no additional compensation for his service as a director.</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Each non-employee director receives a stock-based grant to acquire shares of our common stock on the date of his or her first appointment or election to the Board. Each non-employee director also receives a stock-based grant at the meeting of the Board held immediately following our annual meeting of stockholders for that year. Stock-based grants were in the form of restricted stock units (“RSUs”) for 8,071 shares of common stock in fiscal 2023. The RSUs vest one-twelfth each month after the grant.</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The following table sets forth the compensation paid by us to each non-employee director for fiscal 2023.</w:t>
      </w:r>
      <w:r>
        <w:rPr>
          <w:rFonts w:ascii="Times New Roman" w:hAnsi="Times New Roman"/>
          <w:sz w:val="20"/>
        </w:rPr>
        <w:t xml:space="preserve"> </w:t>
      </w:r>
    </w:p>
    <w:p>
      <w:pPr>
        <w:pStyle w:val="TextBody"/>
        <w:bidi w:val="0"/>
        <w:spacing w:before="0" w:after="0"/>
        <w:jc w:val="both"/>
        <w:rPr/>
      </w:pPr>
      <w:r>
        <w:rPr/>
        <w:t> </w:t>
      </w:r>
    </w:p>
    <w:tbl>
      <w:tblPr>
        <w:tblW w:w="7674" w:type="dxa"/>
        <w:jc w:val="left"/>
        <w:tblInd w:w="0" w:type="dxa"/>
        <w:tblLayout w:type="fixed"/>
        <w:tblCellMar>
          <w:top w:w="28" w:type="dxa"/>
          <w:left w:w="28" w:type="dxa"/>
          <w:bottom w:w="28" w:type="dxa"/>
          <w:right w:w="28" w:type="dxa"/>
        </w:tblCellMar>
      </w:tblPr>
      <w:tblGrid>
        <w:gridCol w:w="1696"/>
        <w:gridCol w:w="146"/>
        <w:gridCol w:w="238"/>
        <w:gridCol w:w="842"/>
        <w:gridCol w:w="146"/>
        <w:gridCol w:w="146"/>
        <w:gridCol w:w="212"/>
        <w:gridCol w:w="748"/>
        <w:gridCol w:w="146"/>
        <w:gridCol w:w="146"/>
        <w:gridCol w:w="146"/>
        <w:gridCol w:w="313"/>
        <w:gridCol w:w="963"/>
        <w:gridCol w:w="146"/>
        <w:gridCol w:w="316"/>
        <w:gridCol w:w="146"/>
        <w:gridCol w:w="196"/>
        <w:gridCol w:w="691"/>
        <w:gridCol w:w="2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6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80"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6"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291" w:type="dxa"/>
            <w:tcBorders/>
            <w:vAlign w:val="center"/>
          </w:tcPr>
          <w:p>
            <w:pPr>
              <w:pStyle w:val="TableContents"/>
              <w:bidi w:val="0"/>
              <w:spacing w:before="0" w:after="0"/>
              <w:ind w:left="0" w:right="0" w:hanging="0"/>
              <w:jc w:val="center"/>
              <w:rPr/>
            </w:pPr>
            <w:r>
              <w:rPr/>
              <w:t> </w:t>
            </w:r>
          </w:p>
        </w:tc>
      </w:tr>
      <w:tr>
        <w:trPr/>
        <w:tc>
          <w:tcPr>
            <w:tcW w:w="16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80"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Fees Earned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6"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291" w:type="dxa"/>
            <w:tcBorders/>
            <w:vAlign w:val="center"/>
          </w:tcPr>
          <w:p>
            <w:pPr>
              <w:pStyle w:val="TableContents"/>
              <w:bidi w:val="0"/>
              <w:spacing w:before="0" w:after="0"/>
              <w:ind w:left="0" w:right="0" w:hanging="0"/>
              <w:jc w:val="center"/>
              <w:rPr/>
            </w:pPr>
            <w:r>
              <w:rPr/>
              <w:t> </w:t>
            </w:r>
          </w:p>
        </w:tc>
      </w:tr>
      <w:tr>
        <w:trPr/>
        <w:tc>
          <w:tcPr>
            <w:tcW w:w="16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80"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or Paid in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Stock</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6"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All Other</w:t>
            </w:r>
          </w:p>
        </w:tc>
        <w:tc>
          <w:tcPr>
            <w:tcW w:w="146" w:type="dxa"/>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291" w:type="dxa"/>
            <w:tcBorders/>
            <w:vAlign w:val="center"/>
          </w:tcPr>
          <w:p>
            <w:pPr>
              <w:pStyle w:val="TableContents"/>
              <w:bidi w:val="0"/>
              <w:spacing w:before="0" w:after="0"/>
              <w:ind w:left="0" w:right="0" w:firstLine="100"/>
              <w:jc w:val="center"/>
              <w:rPr/>
            </w:pPr>
            <w:r>
              <w:rPr/>
              <w:t> </w:t>
            </w:r>
          </w:p>
        </w:tc>
      </w:tr>
      <w:tr>
        <w:trPr/>
        <w:tc>
          <w:tcPr>
            <w:tcW w:w="1696" w:type="dxa"/>
            <w:tcBorders/>
            <w:vAlign w:val="center"/>
          </w:tcPr>
          <w:p>
            <w:pPr>
              <w:pStyle w:val="TableContents"/>
              <w:bidi w:val="0"/>
              <w:spacing w:before="0" w:after="0"/>
              <w:ind w:left="100" w:right="0" w:hanging="0"/>
              <w:jc w:val="left"/>
              <w:rPr>
                <w:rFonts w:ascii="Arial;sans-serif" w:hAnsi="Arial;sans-serif"/>
                <w:b/>
                <w:sz w:val="16"/>
              </w:rPr>
            </w:pPr>
            <w:r>
              <w:rPr>
                <w:rFonts w:ascii="Arial;sans-serif" w:hAnsi="Arial;sans-serif"/>
                <w:b/>
                <w:sz w:val="16"/>
              </w:rPr>
              <w:t>Name (1)</w:t>
            </w:r>
          </w:p>
        </w:tc>
        <w:tc>
          <w:tcPr>
            <w:tcW w:w="146" w:type="dxa"/>
            <w:tcBorders/>
            <w:vAlign w:val="center"/>
          </w:tcPr>
          <w:p>
            <w:pPr>
              <w:pStyle w:val="TableContents"/>
              <w:bidi w:val="0"/>
              <w:spacing w:before="0" w:after="0"/>
              <w:ind w:left="0" w:right="0" w:hanging="0"/>
              <w:jc w:val="left"/>
              <w:rPr/>
            </w:pPr>
            <w:r>
              <w:rPr/>
              <w:t> </w:t>
            </w:r>
          </w:p>
        </w:tc>
        <w:tc>
          <w:tcPr>
            <w:tcW w:w="1080"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Cash</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Awards (2)</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6"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Compensation</w:t>
            </w:r>
          </w:p>
        </w:tc>
        <w:tc>
          <w:tcPr>
            <w:tcW w:w="146" w:type="dxa"/>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Total</w:t>
            </w:r>
          </w:p>
        </w:tc>
        <w:tc>
          <w:tcPr>
            <w:tcW w:w="291" w:type="dxa"/>
            <w:tcBorders/>
            <w:vAlign w:val="center"/>
          </w:tcPr>
          <w:p>
            <w:pPr>
              <w:pStyle w:val="TableContents"/>
              <w:bidi w:val="0"/>
              <w:spacing w:before="0" w:after="0"/>
              <w:ind w:left="0" w:right="0" w:firstLine="100"/>
              <w:jc w:val="center"/>
              <w:rPr/>
            </w:pPr>
            <w:r>
              <w:rPr/>
              <w:t> </w:t>
            </w:r>
          </w:p>
        </w:tc>
      </w:tr>
      <w:tr>
        <w:trPr/>
        <w:tc>
          <w:tcPr>
            <w:tcW w:w="1696" w:type="dxa"/>
            <w:tcBorders/>
            <w:vAlign w:val="center"/>
          </w:tcPr>
          <w:p>
            <w:pPr>
              <w:pStyle w:val="TableContents"/>
              <w:bidi w:val="0"/>
              <w:spacing w:before="0" w:after="0"/>
              <w:ind w:left="100" w:right="0" w:hanging="0"/>
              <w:jc w:val="left"/>
              <w:rPr>
                <w:rFonts w:ascii="Arial;sans-serif" w:hAnsi="Arial;sans-serif"/>
                <w:b w:val="false"/>
                <w:sz w:val="16"/>
              </w:rPr>
            </w:pPr>
            <w:r>
              <w:rPr>
                <w:rFonts w:ascii="Arial;sans-serif" w:hAnsi="Arial;sans-serif"/>
                <w:b w:val="false"/>
                <w:sz w:val="16"/>
              </w:rPr>
              <w:t>Anita D. Britt</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42"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105,000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74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100,000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963"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2,352</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(4)</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207,352</w:t>
            </w:r>
          </w:p>
        </w:tc>
        <w:tc>
          <w:tcPr>
            <w:tcW w:w="291" w:type="dxa"/>
            <w:tcBorders/>
            <w:vAlign w:val="center"/>
          </w:tcPr>
          <w:p>
            <w:pPr>
              <w:pStyle w:val="TableContents"/>
              <w:bidi w:val="0"/>
              <w:spacing w:before="0" w:after="0"/>
              <w:ind w:left="0" w:right="0" w:firstLine="100"/>
              <w:jc w:val="left"/>
              <w:rPr/>
            </w:pPr>
            <w:r>
              <w:rPr/>
              <w:t> </w:t>
            </w:r>
          </w:p>
        </w:tc>
      </w:tr>
      <w:tr>
        <w:trPr/>
        <w:tc>
          <w:tcPr>
            <w:tcW w:w="1696" w:type="dxa"/>
            <w:tcBorders/>
            <w:vAlign w:val="center"/>
          </w:tcPr>
          <w:p>
            <w:pPr>
              <w:pStyle w:val="TableContents"/>
              <w:bidi w:val="0"/>
              <w:spacing w:before="0" w:after="0"/>
              <w:ind w:left="100" w:right="0" w:hanging="0"/>
              <w:jc w:val="left"/>
              <w:rPr>
                <w:rFonts w:ascii="Arial;sans-serif" w:hAnsi="Arial;sans-serif"/>
                <w:b w:val="false"/>
                <w:sz w:val="16"/>
              </w:rPr>
            </w:pPr>
            <w:r>
              <w:rPr>
                <w:rFonts w:ascii="Arial;sans-serif" w:hAnsi="Arial;sans-serif"/>
                <w:b w:val="false"/>
                <w:sz w:val="16"/>
              </w:rPr>
              <w:t>Fred M. Diaz</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42"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77,211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74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100,000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963"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2,513</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(4)</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179,724</w:t>
            </w:r>
          </w:p>
        </w:tc>
        <w:tc>
          <w:tcPr>
            <w:tcW w:w="291" w:type="dxa"/>
            <w:tcBorders/>
            <w:vAlign w:val="center"/>
          </w:tcPr>
          <w:p>
            <w:pPr>
              <w:pStyle w:val="TableContents"/>
              <w:bidi w:val="0"/>
              <w:spacing w:before="0" w:after="0"/>
              <w:ind w:left="0" w:right="0" w:firstLine="100"/>
              <w:jc w:val="left"/>
              <w:rPr/>
            </w:pPr>
            <w:r>
              <w:rPr/>
              <w:t> </w:t>
            </w:r>
          </w:p>
        </w:tc>
      </w:tr>
      <w:tr>
        <w:trPr/>
        <w:tc>
          <w:tcPr>
            <w:tcW w:w="1696" w:type="dxa"/>
            <w:tcBorders/>
            <w:vAlign w:val="center"/>
          </w:tcPr>
          <w:p>
            <w:pPr>
              <w:pStyle w:val="TableContents"/>
              <w:bidi w:val="0"/>
              <w:spacing w:before="0" w:after="0"/>
              <w:ind w:left="100" w:right="0" w:hanging="0"/>
              <w:jc w:val="left"/>
              <w:rPr>
                <w:rFonts w:ascii="Arial;sans-serif" w:hAnsi="Arial;sans-serif"/>
                <w:b w:val="false"/>
                <w:sz w:val="16"/>
              </w:rPr>
            </w:pPr>
            <w:r>
              <w:rPr>
                <w:rFonts w:ascii="Arial;sans-serif" w:hAnsi="Arial;sans-serif"/>
                <w:b w:val="false"/>
                <w:sz w:val="16"/>
              </w:rPr>
              <w:t>John B. Furman (3)</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42"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96,333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74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100,000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96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196,333</w:t>
            </w:r>
          </w:p>
        </w:tc>
        <w:tc>
          <w:tcPr>
            <w:tcW w:w="291" w:type="dxa"/>
            <w:tcBorders/>
            <w:vAlign w:val="center"/>
          </w:tcPr>
          <w:p>
            <w:pPr>
              <w:pStyle w:val="TableContents"/>
              <w:bidi w:val="0"/>
              <w:spacing w:before="0" w:after="0"/>
              <w:ind w:left="0" w:right="0" w:firstLine="100"/>
              <w:jc w:val="left"/>
              <w:rPr/>
            </w:pPr>
            <w:r>
              <w:rPr/>
              <w:t> </w:t>
            </w:r>
          </w:p>
        </w:tc>
      </w:tr>
      <w:tr>
        <w:trPr/>
        <w:tc>
          <w:tcPr>
            <w:tcW w:w="1696" w:type="dxa"/>
            <w:tcBorders/>
            <w:vAlign w:val="center"/>
          </w:tcPr>
          <w:p>
            <w:pPr>
              <w:pStyle w:val="TableContents"/>
              <w:bidi w:val="0"/>
              <w:spacing w:before="0" w:after="0"/>
              <w:ind w:left="100" w:right="0" w:hanging="0"/>
              <w:jc w:val="left"/>
              <w:rPr>
                <w:rFonts w:ascii="Arial;sans-serif" w:hAnsi="Arial;sans-serif"/>
                <w:b w:val="false"/>
                <w:sz w:val="16"/>
              </w:rPr>
            </w:pPr>
            <w:r>
              <w:rPr>
                <w:rFonts w:ascii="Arial;sans-serif" w:hAnsi="Arial;sans-serif"/>
                <w:b w:val="false"/>
                <w:sz w:val="16"/>
              </w:rPr>
              <w:t>Michael F. Golden (3)</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42"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118,000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74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100,000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963"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337</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(5)</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218,337</w:t>
            </w:r>
          </w:p>
        </w:tc>
        <w:tc>
          <w:tcPr>
            <w:tcW w:w="291" w:type="dxa"/>
            <w:tcBorders/>
            <w:vAlign w:val="center"/>
          </w:tcPr>
          <w:p>
            <w:pPr>
              <w:pStyle w:val="TableContents"/>
              <w:bidi w:val="0"/>
              <w:spacing w:before="0" w:after="0"/>
              <w:ind w:left="0" w:right="0" w:firstLine="100"/>
              <w:jc w:val="left"/>
              <w:rPr/>
            </w:pPr>
            <w:r>
              <w:rPr/>
              <w:t> </w:t>
            </w:r>
          </w:p>
        </w:tc>
      </w:tr>
      <w:tr>
        <w:trPr/>
        <w:tc>
          <w:tcPr>
            <w:tcW w:w="1696" w:type="dxa"/>
            <w:tcBorders/>
            <w:vAlign w:val="center"/>
          </w:tcPr>
          <w:p>
            <w:pPr>
              <w:pStyle w:val="TableContents"/>
              <w:bidi w:val="0"/>
              <w:spacing w:before="0" w:after="0"/>
              <w:ind w:left="100" w:right="0" w:hanging="0"/>
              <w:jc w:val="left"/>
              <w:rPr>
                <w:rFonts w:ascii="Arial;sans-serif" w:hAnsi="Arial;sans-serif"/>
                <w:b w:val="false"/>
                <w:sz w:val="16"/>
              </w:rPr>
            </w:pPr>
            <w:r>
              <w:rPr>
                <w:rFonts w:ascii="Arial;sans-serif" w:hAnsi="Arial;sans-serif"/>
                <w:b w:val="false"/>
                <w:sz w:val="16"/>
              </w:rPr>
              <w:t>Barry M. Monheit</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42"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100,000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74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100,000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963"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1,525</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(6)</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201,525</w:t>
            </w:r>
          </w:p>
        </w:tc>
        <w:tc>
          <w:tcPr>
            <w:tcW w:w="291" w:type="dxa"/>
            <w:tcBorders/>
            <w:vAlign w:val="center"/>
          </w:tcPr>
          <w:p>
            <w:pPr>
              <w:pStyle w:val="TableContents"/>
              <w:bidi w:val="0"/>
              <w:spacing w:before="0" w:after="0"/>
              <w:ind w:left="0" w:right="0" w:firstLine="100"/>
              <w:jc w:val="left"/>
              <w:rPr/>
            </w:pPr>
            <w:r>
              <w:rPr/>
              <w:t> </w:t>
            </w:r>
          </w:p>
        </w:tc>
      </w:tr>
      <w:tr>
        <w:trPr/>
        <w:tc>
          <w:tcPr>
            <w:tcW w:w="1696" w:type="dxa"/>
            <w:tcBorders/>
            <w:vAlign w:val="center"/>
          </w:tcPr>
          <w:p>
            <w:pPr>
              <w:pStyle w:val="TableContents"/>
              <w:bidi w:val="0"/>
              <w:spacing w:before="0" w:after="0"/>
              <w:ind w:left="100" w:right="0" w:hanging="0"/>
              <w:jc w:val="left"/>
              <w:rPr>
                <w:rFonts w:ascii="Arial;sans-serif" w:hAnsi="Arial;sans-serif"/>
                <w:b w:val="false"/>
                <w:sz w:val="16"/>
              </w:rPr>
            </w:pPr>
            <w:r>
              <w:rPr>
                <w:rFonts w:ascii="Arial;sans-serif" w:hAnsi="Arial;sans-serif"/>
                <w:b w:val="false"/>
                <w:sz w:val="16"/>
              </w:rPr>
              <w:t>Robert L. Scott</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42"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145,500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74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100,000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963"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29,867</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(6)</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275,367</w:t>
            </w:r>
          </w:p>
        </w:tc>
        <w:tc>
          <w:tcPr>
            <w:tcW w:w="291" w:type="dxa"/>
            <w:tcBorders/>
            <w:vAlign w:val="center"/>
          </w:tcPr>
          <w:p>
            <w:pPr>
              <w:pStyle w:val="TableContents"/>
              <w:bidi w:val="0"/>
              <w:spacing w:before="0" w:after="0"/>
              <w:ind w:left="0" w:right="0" w:firstLine="100"/>
              <w:jc w:val="left"/>
              <w:rPr/>
            </w:pPr>
            <w:r>
              <w:rPr/>
              <w:t> </w:t>
            </w:r>
          </w:p>
        </w:tc>
      </w:tr>
      <w:tr>
        <w:trPr/>
        <w:tc>
          <w:tcPr>
            <w:tcW w:w="1696" w:type="dxa"/>
            <w:tcBorders/>
            <w:vAlign w:val="center"/>
          </w:tcPr>
          <w:p>
            <w:pPr>
              <w:pStyle w:val="TableContents"/>
              <w:bidi w:val="0"/>
              <w:spacing w:before="0" w:after="0"/>
              <w:ind w:left="100" w:right="0" w:hanging="0"/>
              <w:jc w:val="left"/>
              <w:rPr>
                <w:rFonts w:ascii="Arial;sans-serif" w:hAnsi="Arial;sans-serif"/>
                <w:b w:val="false"/>
                <w:sz w:val="16"/>
              </w:rPr>
            </w:pPr>
            <w:r>
              <w:rPr>
                <w:rFonts w:ascii="Arial;sans-serif" w:hAnsi="Arial;sans-serif"/>
                <w:b w:val="false"/>
                <w:sz w:val="16"/>
              </w:rPr>
              <w:t>Mark P. Smith</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74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96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91"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firstLine="100"/>
              <w:jc w:val="left"/>
              <w:rPr/>
            </w:pPr>
            <w:r>
              <w:rPr/>
              <w:t> </w:t>
            </w:r>
          </w:p>
        </w:tc>
      </w:tr>
      <w:tr>
        <w:trPr/>
        <w:tc>
          <w:tcPr>
            <w:tcW w:w="1696" w:type="dxa"/>
            <w:tcBorders>
              <w:bottom w:val="single" w:sz="4" w:space="0" w:color="000000"/>
            </w:tcBorders>
            <w:tcMar>
              <w:top w:w="0" w:type="dxa"/>
              <w:left w:w="0" w:type="dxa"/>
              <w:right w:w="0" w:type="dxa"/>
            </w:tcMar>
            <w:vAlign w:val="center"/>
          </w:tcPr>
          <w:p>
            <w:pPr>
              <w:pStyle w:val="TableContents"/>
              <w:bidi w:val="0"/>
              <w:spacing w:before="0" w:after="0"/>
              <w:ind w:left="100" w:right="0" w:hanging="0"/>
              <w:jc w:val="left"/>
              <w:rPr>
                <w:rFonts w:ascii="Arial;sans-serif" w:hAnsi="Arial;sans-serif"/>
                <w:b w:val="false"/>
                <w:sz w:val="16"/>
              </w:rPr>
            </w:pPr>
            <w:r>
              <w:rPr>
                <w:rFonts w:ascii="Arial;sans-serif" w:hAnsi="Arial;sans-serif"/>
                <w:b w:val="false"/>
                <w:sz w:val="16"/>
              </w:rPr>
              <w:t>Denis G. Suggs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94,667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7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100,000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9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194,667</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Arial" w:hAnsi="Arial"/>
          <w:b w:val="false"/>
          <w:sz w:val="15"/>
        </w:rPr>
      </w:pPr>
      <w:r>
        <w:rPr>
          <w:rFonts w:ascii="Arial" w:hAnsi="Arial"/>
          <w:b w:val="false"/>
          <w:sz w:val="15"/>
        </w:rPr>
        <w:t>(1)</w:t>
      </w:r>
    </w:p>
    <w:p>
      <w:pPr>
        <w:pStyle w:val="TextBody"/>
        <w:bidi w:val="0"/>
        <w:spacing w:before="0" w:after="0"/>
        <w:jc w:val="both"/>
        <w:rPr>
          <w:rFonts w:ascii="Arial;sans-serif" w:hAnsi="Arial;sans-serif"/>
          <w:b w:val="false"/>
          <w:sz w:val="15"/>
        </w:rPr>
      </w:pPr>
      <w:r>
        <w:rPr>
          <w:rFonts w:ascii="Arial;sans-serif" w:hAnsi="Arial;sans-serif"/>
          <w:b w:val="false"/>
          <w:sz w:val="15"/>
        </w:rPr>
        <w:t xml:space="preserve">As of April 30, 2023, each of the non-employee directors had the following number of stock awards outstanding, which represent undelivered shares underlying vested RSUs: Mr. Monheit 7,708; Mr. Scott 7,708; Ms. Britt 4,708; Mr. Furman 4,708; Mr. Golden 4,708; Mr. Diaz 4,708; and Mr. Suggs 4,708. As of April 30, 2023, there were no stock options outstanding for the directors. </w:t>
      </w:r>
    </w:p>
    <w:p>
      <w:pPr>
        <w:pStyle w:val="TextBody"/>
        <w:bidi w:val="0"/>
        <w:spacing w:before="0" w:after="0"/>
        <w:jc w:val="both"/>
        <w:rPr>
          <w:rFonts w:ascii="Arial" w:hAnsi="Arial"/>
          <w:b w:val="false"/>
          <w:sz w:val="15"/>
        </w:rPr>
      </w:pPr>
      <w:r>
        <w:rPr>
          <w:rFonts w:ascii="Arial" w:hAnsi="Arial"/>
          <w:b w:val="false"/>
          <w:sz w:val="15"/>
        </w:rPr>
        <w:t>(2)</w:t>
      </w:r>
    </w:p>
    <w:p>
      <w:pPr>
        <w:pStyle w:val="TextBody"/>
        <w:bidi w:val="0"/>
        <w:spacing w:before="0" w:after="0"/>
        <w:jc w:val="both"/>
        <w:rPr>
          <w:rFonts w:ascii="Arial;sans-serif" w:hAnsi="Arial;sans-serif"/>
          <w:b w:val="false"/>
          <w:sz w:val="15"/>
        </w:rPr>
      </w:pPr>
      <w:r>
        <w:rPr>
          <w:rFonts w:ascii="Arial;sans-serif" w:hAnsi="Arial;sans-serif"/>
          <w:b w:val="false"/>
          <w:sz w:val="15"/>
        </w:rPr>
        <w:t xml:space="preserve">The amounts shown in this column represent the grant date fair value for stock awards granted to the directors calculated in accordance with Accounting Standards Codification (“ASC”) Topic 718. The assumptions used in determining the grant date fair value of these awards are set forth in Note 13 to our consolidated financial statements, which are included in the Form 10-K. </w:t>
      </w:r>
    </w:p>
    <w:p>
      <w:pPr>
        <w:pStyle w:val="TextBody"/>
        <w:bidi w:val="0"/>
        <w:spacing w:before="0" w:after="0"/>
        <w:jc w:val="both"/>
        <w:rPr>
          <w:rFonts w:ascii="Arial" w:hAnsi="Arial"/>
          <w:b w:val="false"/>
          <w:sz w:val="15"/>
        </w:rPr>
      </w:pPr>
      <w:r>
        <w:rPr>
          <w:rFonts w:ascii="Arial" w:hAnsi="Arial"/>
          <w:b w:val="false"/>
          <w:sz w:val="15"/>
        </w:rPr>
        <w:t>(3)</w:t>
      </w:r>
    </w:p>
    <w:p>
      <w:pPr>
        <w:pStyle w:val="TextBody"/>
        <w:bidi w:val="0"/>
        <w:spacing w:before="0" w:after="0"/>
        <w:jc w:val="both"/>
        <w:rPr>
          <w:rFonts w:ascii="Arial;sans-serif" w:hAnsi="Arial;sans-serif"/>
          <w:b w:val="false"/>
          <w:sz w:val="15"/>
        </w:rPr>
      </w:pPr>
      <w:r>
        <w:rPr>
          <w:rFonts w:ascii="Arial;sans-serif" w:hAnsi="Arial;sans-serif"/>
          <w:b w:val="false"/>
          <w:sz w:val="15"/>
        </w:rPr>
        <w:t>Mr. Furman is retiring effective at the 2023 Annual Meeting. Mr. Golden passed away in June 2023.</w:t>
      </w:r>
    </w:p>
    <w:p>
      <w:pPr>
        <w:pStyle w:val="TextBody"/>
        <w:bidi w:val="0"/>
        <w:spacing w:before="0" w:after="0"/>
        <w:jc w:val="both"/>
        <w:rPr>
          <w:rFonts w:ascii="Arial" w:hAnsi="Arial"/>
          <w:b w:val="false"/>
          <w:sz w:val="15"/>
        </w:rPr>
      </w:pPr>
      <w:r>
        <w:rPr>
          <w:rFonts w:ascii="Arial" w:hAnsi="Arial"/>
          <w:b w:val="false"/>
          <w:sz w:val="15"/>
        </w:rPr>
        <w:t>(4)</w:t>
      </w:r>
    </w:p>
    <w:p>
      <w:pPr>
        <w:pStyle w:val="TextBody"/>
        <w:bidi w:val="0"/>
        <w:spacing w:before="0" w:after="0"/>
        <w:jc w:val="both"/>
        <w:rPr>
          <w:rFonts w:ascii="Arial;sans-serif" w:hAnsi="Arial;sans-serif"/>
          <w:b w:val="false"/>
          <w:sz w:val="15"/>
        </w:rPr>
      </w:pPr>
      <w:r>
        <w:rPr>
          <w:rFonts w:ascii="Arial;sans-serif" w:hAnsi="Arial;sans-serif"/>
          <w:b w:val="false"/>
          <w:sz w:val="15"/>
        </w:rPr>
        <w:t>Consists of costs for certain products provided without cost.</w:t>
      </w:r>
    </w:p>
    <w:p>
      <w:pPr>
        <w:pStyle w:val="TextBody"/>
        <w:bidi w:val="0"/>
        <w:spacing w:before="0" w:after="0"/>
        <w:jc w:val="both"/>
        <w:rPr>
          <w:rFonts w:ascii="Arial" w:hAnsi="Arial"/>
          <w:b w:val="false"/>
          <w:sz w:val="15"/>
        </w:rPr>
      </w:pPr>
      <w:r>
        <w:rPr>
          <w:rFonts w:ascii="Arial" w:hAnsi="Arial"/>
          <w:b w:val="false"/>
          <w:sz w:val="15"/>
        </w:rPr>
        <w:t>(5)</w:t>
      </w:r>
    </w:p>
    <w:p>
      <w:pPr>
        <w:pStyle w:val="TextBody"/>
        <w:bidi w:val="0"/>
        <w:spacing w:before="0" w:after="0"/>
        <w:jc w:val="both"/>
        <w:rPr>
          <w:rFonts w:ascii="Arial;sans-serif" w:hAnsi="Arial;sans-serif"/>
          <w:b w:val="false"/>
          <w:sz w:val="15"/>
        </w:rPr>
      </w:pPr>
      <w:r>
        <w:rPr>
          <w:rFonts w:ascii="Arial;sans-serif" w:hAnsi="Arial;sans-serif"/>
          <w:b w:val="false"/>
          <w:sz w:val="15"/>
        </w:rPr>
        <w:t>Consists of spousal travel.</w:t>
      </w:r>
    </w:p>
    <w:p>
      <w:pPr>
        <w:pStyle w:val="TextBody"/>
        <w:bidi w:val="0"/>
        <w:spacing w:before="0" w:after="0"/>
        <w:jc w:val="both"/>
        <w:rPr>
          <w:rFonts w:ascii="Arial" w:hAnsi="Arial"/>
          <w:b w:val="false"/>
          <w:sz w:val="15"/>
        </w:rPr>
      </w:pPr>
      <w:r>
        <w:rPr>
          <w:rFonts w:ascii="Arial" w:hAnsi="Arial"/>
          <w:b w:val="false"/>
          <w:sz w:val="15"/>
        </w:rPr>
        <w:t>(6)</w:t>
      </w:r>
    </w:p>
    <w:p>
      <w:pPr>
        <w:pStyle w:val="TextBody"/>
        <w:bidi w:val="0"/>
        <w:spacing w:before="0" w:after="0"/>
        <w:jc w:val="both"/>
        <w:rPr>
          <w:rFonts w:ascii="Arial;sans-serif" w:hAnsi="Arial;sans-serif"/>
          <w:b w:val="false"/>
          <w:sz w:val="15"/>
        </w:rPr>
      </w:pPr>
      <w:r>
        <w:rPr>
          <w:rFonts w:ascii="Arial;sans-serif" w:hAnsi="Arial;sans-serif"/>
          <w:b w:val="false"/>
          <w:sz w:val="15"/>
        </w:rPr>
        <w:t>Consists of costs for certain products provided without cost and spousal travel.</w:t>
      </w:r>
    </w:p>
    <w:p>
      <w:pPr>
        <w:pStyle w:val="TextBody"/>
        <w:bidi w:val="0"/>
        <w:spacing w:before="0" w:after="0"/>
        <w:jc w:val="both"/>
        <w:rPr>
          <w:rFonts w:ascii="Arial" w:hAnsi="Arial"/>
          <w:b w:val="false"/>
          <w:sz w:val="15"/>
        </w:rPr>
      </w:pPr>
      <w:r>
        <w:rPr>
          <w:rFonts w:ascii="Arial" w:hAnsi="Arial"/>
          <w:b w:val="false"/>
          <w:sz w:val="15"/>
        </w:rPr>
        <w:t>(7)</w:t>
      </w:r>
    </w:p>
    <w:p>
      <w:pPr>
        <w:pStyle w:val="TextBody"/>
        <w:bidi w:val="0"/>
        <w:jc w:val="both"/>
        <w:rPr>
          <w:rFonts w:ascii="Arial;sans-serif" w:hAnsi="Arial;sans-serif"/>
          <w:b w:val="false"/>
          <w:sz w:val="15"/>
        </w:rPr>
      </w:pPr>
      <w:r>
        <w:rPr>
          <w:rFonts w:ascii="Arial;sans-serif" w:hAnsi="Arial;sans-serif"/>
          <w:b w:val="false"/>
          <w:sz w:val="15"/>
        </w:rPr>
        <w:t>Consists of reimbursement of medical coverage costs, costs for certain products provided without cost and spousal travel.</w:t>
      </w:r>
    </w:p>
    <w:p>
      <w:pPr>
        <w:pStyle w:val="TextBody"/>
        <w:bidi w:val="0"/>
        <w:spacing w:before="240" w:after="0"/>
        <w:jc w:val="both"/>
        <w:rPr>
          <w:rFonts w:ascii="Times New Roman" w:hAnsi="Times New Roman"/>
          <w:sz w:val="20"/>
        </w:rPr>
      </w:pPr>
      <w:r>
        <w:rPr>
          <w:rFonts w:ascii="Arial;sans-serif" w:hAnsi="Arial;sans-serif"/>
          <w:b w:val="false"/>
          <w:sz w:val="20"/>
        </w:rPr>
        <w:t>We maintain stock ownership guidelines for our directors and executive officers. See “Compensation Matters — Compensation Discussion and Analysis — Additional Compensation Matters — Stock Ownership and Retention Requirements.”</w:t>
      </w:r>
      <w:r>
        <w:rPr>
          <w:rFonts w:ascii="Times New Roman" w:hAnsi="Times New Roman"/>
          <w:sz w:val="20"/>
        </w:rPr>
        <w:t xml:space="preserve"> </w:t>
      </w:r>
    </w:p>
    <w:p>
      <w:pPr>
        <w:pStyle w:val="TextBody"/>
        <w:bidi w:val="0"/>
        <w:spacing w:before="0" w:after="0"/>
        <w:jc w:val="left"/>
        <w:rPr/>
      </w:pPr>
      <w:r>
        <w:rPr/>
        <w:t> </w:t>
      </w:r>
    </w:p>
    <w:tbl>
      <w:tblPr>
        <w:tblW w:w="3762" w:type="dxa"/>
        <w:jc w:val="left"/>
        <w:tblInd w:w="0" w:type="dxa"/>
        <w:tblLayout w:type="fixed"/>
        <w:tblCellMar>
          <w:top w:w="28" w:type="dxa"/>
          <w:left w:w="28" w:type="dxa"/>
          <w:bottom w:w="28" w:type="dxa"/>
          <w:right w:w="28" w:type="dxa"/>
        </w:tblCellMar>
      </w:tblPr>
      <w:tblGrid>
        <w:gridCol w:w="2266"/>
        <w:gridCol w:w="1496"/>
      </w:tblGrid>
      <w:tr>
        <w:trPr/>
        <w:tc>
          <w:tcPr>
            <w:tcW w:w="226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15</w:t>
            </w:r>
            <w:r>
              <w:rPr>
                <w:rFonts w:ascii="Times New Roman" w:hAnsi="Times New Roman"/>
                <w:sz w:val="18"/>
              </w:rPr>
              <w:t> </w:t>
            </w:r>
            <w:r>
              <w:rPr>
                <w:rFonts w:ascii="Arial;sans-serif" w:hAnsi="Arial;sans-serif"/>
                <w:b w:val="false"/>
                <w:sz w:val="18"/>
              </w:rPr>
              <w:t>I 2023 Proxy Statement</w:t>
            </w:r>
          </w:p>
        </w:tc>
        <w:tc>
          <w:tcPr>
            <w:tcW w:w="1496" w:type="dxa"/>
            <w:tcBorders/>
            <w:vAlign w:val="center"/>
          </w:tcPr>
          <w:p>
            <w:pPr>
              <w:pStyle w:val="TableContents"/>
              <w:bidi w:val="0"/>
              <w:spacing w:before="0" w:after="0"/>
              <w:ind w:left="0" w:right="0" w:hanging="0"/>
              <w:jc w:val="right"/>
              <w:rPr/>
            </w:pPr>
            <w:r>
              <w:rPr/>
              <w:drawing>
                <wp:inline distT="0" distB="0" distL="0" distR="0">
                  <wp:extent cx="828675" cy="1905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828675" cy="190500"/>
                          </a:xfrm>
                          <a:prstGeom prst="rect">
                            <a:avLst/>
                          </a:prstGeom>
                        </pic:spPr>
                      </pic:pic>
                    </a:graphicData>
                  </a:graphic>
                </wp:inline>
              </w:drawing>
            </w: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Arial;sans-serif" w:hAnsi="Arial;sans-serif"/>
          <w:b/>
          <w:caps/>
          <w:sz w:val="44"/>
        </w:rPr>
      </w:pPr>
      <w:bookmarkStart w:id="4" w:name="compensation_matters"/>
      <w:bookmarkEnd w:id="4"/>
      <w:r>
        <w:rPr>
          <w:rFonts w:ascii="Arial;sans-serif" w:hAnsi="Arial;sans-serif"/>
          <w:b/>
          <w:caps/>
          <w:sz w:val="44"/>
        </w:rPr>
        <w:t>compensation matters</w:t>
      </w:r>
    </w:p>
    <w:tbl>
      <w:tblPr>
        <w:tblW w:w="10205" w:type="dxa"/>
        <w:jc w:val="left"/>
        <w:tblInd w:w="0" w:type="dxa"/>
        <w:tblLayout w:type="fixed"/>
        <w:tblCellMar>
          <w:top w:w="28" w:type="dxa"/>
          <w:left w:w="28" w:type="dxa"/>
          <w:bottom w:w="28" w:type="dxa"/>
          <w:right w:w="28" w:type="dxa"/>
        </w:tblCellMar>
      </w:tblPr>
      <w:tblGrid>
        <w:gridCol w:w="161"/>
        <w:gridCol w:w="109"/>
        <w:gridCol w:w="9635"/>
        <w:gridCol w:w="109"/>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both"/>
              <w:rPr/>
            </w:pPr>
            <w:r>
              <w:rPr/>
              <w:t>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9635" w:type="dxa"/>
            <w:tcBorders/>
            <w:vAlign w:val="center"/>
          </w:tcPr>
          <w:p>
            <w:pPr>
              <w:pStyle w:val="TableContents"/>
              <w:bidi w:val="0"/>
              <w:spacing w:before="240" w:after="120"/>
              <w:ind w:left="0" w:right="0" w:hanging="0"/>
              <w:jc w:val="both"/>
              <w:rPr>
                <w:rFonts w:ascii="Arial;sans-serif" w:hAnsi="Arial;sans-serif"/>
                <w:b/>
                <w:caps/>
                <w:sz w:val="24"/>
              </w:rPr>
            </w:pPr>
            <w:bookmarkStart w:id="5" w:name="praposal_2"/>
            <w:bookmarkEnd w:id="5"/>
            <w:r>
              <w:rPr>
                <w:rFonts w:ascii="Arial;sans-serif" w:hAnsi="Arial;sans-serif"/>
                <w:b/>
                <w:caps/>
                <w:sz w:val="24"/>
              </w:rPr>
              <w:t>PROPOSAL TWO – ADVISORY VOTE ON EXECUTIVE COMPENSATION</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1" w:type="dxa"/>
            <w:tcBorders/>
            <w:vAlign w:val="center"/>
          </w:tcPr>
          <w:p>
            <w:pPr>
              <w:pStyle w:val="TableContents"/>
              <w:bidi w:val="0"/>
              <w:spacing w:before="0" w:after="0"/>
              <w:ind w:left="0" w:right="0" w:hanging="0"/>
              <w:jc w:val="both"/>
              <w:rPr/>
            </w:pPr>
            <w:r>
              <w:rPr/>
              <w:t> </w:t>
            </w:r>
          </w:p>
        </w:tc>
      </w:tr>
      <w:tr>
        <w:trPr/>
        <w:tc>
          <w:tcPr>
            <w:tcW w:w="161" w:type="dxa"/>
            <w:tcBorders/>
            <w:vAlign w:val="center"/>
          </w:tcPr>
          <w:p>
            <w:pPr>
              <w:pStyle w:val="TableContents"/>
              <w:bidi w:val="0"/>
              <w:spacing w:before="0" w:after="0"/>
              <w:ind w:left="0" w:right="0" w:hanging="0"/>
              <w:jc w:val="both"/>
              <w:rPr/>
            </w:pPr>
            <w:r>
              <w:rPr/>
              <w:t>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9635" w:type="dxa"/>
            <w:tcBorders/>
            <w:vAlign w:val="center"/>
          </w:tcPr>
          <w:p>
            <w:pPr>
              <w:pStyle w:val="TableContents"/>
              <w:bidi w:val="0"/>
              <w:spacing w:before="0" w:after="0"/>
              <w:ind w:left="0" w:right="0" w:hanging="0"/>
              <w:jc w:val="both"/>
              <w:rPr>
                <w:rFonts w:ascii="Times New Roman" w:hAnsi="Times New Roman"/>
                <w:sz w:val="20"/>
              </w:rPr>
            </w:pPr>
            <w:r>
              <w:rPr>
                <w:rFonts w:ascii="Arial;sans-serif" w:hAnsi="Arial;sans-serif"/>
                <w:b/>
                <w:sz w:val="20"/>
              </w:rPr>
              <w:t>What Am I Voting On?</w:t>
            </w:r>
            <w:r>
              <w:rPr>
                <w:rFonts w:ascii="Times New Roman" w:hAnsi="Times New Roman"/>
                <w:sz w:val="20"/>
              </w:rPr>
              <w:t> </w:t>
            </w:r>
            <w:r>
              <w:rPr>
                <w:rFonts w:ascii="Arial;sans-serif" w:hAnsi="Arial;sans-serif"/>
                <w:b w:val="false"/>
                <w:sz w:val="20"/>
              </w:rPr>
              <w:t>The Board is asking our stockholders to approve, on an advisory basis, the compensation of our NEOs as disclosed in this Proxy Statement</w:t>
            </w:r>
          </w:p>
          <w:p>
            <w:pPr>
              <w:pStyle w:val="TableContents"/>
              <w:bidi w:val="0"/>
              <w:spacing w:before="0" w:after="0"/>
              <w:ind w:left="0" w:right="0" w:hanging="0"/>
              <w:jc w:val="both"/>
              <w:rPr/>
            </w:pPr>
            <w:r>
              <w:rPr/>
              <w:t> </w:t>
            </w:r>
          </w:p>
          <w:p>
            <w:pPr>
              <w:pStyle w:val="TableContents"/>
              <w:bidi w:val="0"/>
              <w:spacing w:before="0" w:after="0"/>
              <w:ind w:left="0" w:right="0" w:hanging="0"/>
              <w:jc w:val="both"/>
              <w:rPr>
                <w:rFonts w:ascii="Times New Roman" w:hAnsi="Times New Roman"/>
                <w:sz w:val="20"/>
              </w:rPr>
            </w:pPr>
            <w:r>
              <w:rPr>
                <w:rFonts w:ascii="Arial;sans-serif" w:hAnsi="Arial;sans-serif"/>
                <w:b/>
                <w:sz w:val="20"/>
              </w:rPr>
              <w:t>Voting Recommendation:</w:t>
            </w:r>
            <w:r>
              <w:rPr>
                <w:rFonts w:ascii="Times New Roman" w:hAnsi="Times New Roman"/>
                <w:sz w:val="20"/>
              </w:rPr>
              <w:t xml:space="preserve"> </w:t>
            </w:r>
            <w:r>
              <w:rPr>
                <w:rFonts w:ascii="Arial;sans-serif" w:hAnsi="Arial;sans-serif"/>
                <w:b w:val="false"/>
                <w:sz w:val="20"/>
              </w:rPr>
              <w:t>FOR</w:t>
            </w:r>
            <w:r>
              <w:rPr>
                <w:rFonts w:ascii="Times New Roman" w:hAnsi="Times New Roman"/>
                <w:sz w:val="20"/>
              </w:rPr>
              <w:t xml:space="preserve"> </w:t>
            </w:r>
            <w:r>
              <w:rPr>
                <w:rFonts w:ascii="Arial;sans-serif" w:hAnsi="Arial;sans-serif"/>
                <w:b w:val="false"/>
                <w:sz w:val="20"/>
              </w:rPr>
              <w:t>the proposal</w:t>
            </w:r>
          </w:p>
          <w:p>
            <w:pPr>
              <w:pStyle w:val="TableContents"/>
              <w:bidi w:val="0"/>
              <w:spacing w:before="0" w:after="0"/>
              <w:ind w:left="0" w:right="0" w:hanging="0"/>
              <w:jc w:val="both"/>
              <w:rPr/>
            </w:pPr>
            <w:r>
              <w:rPr/>
              <w:t> </w:t>
            </w:r>
          </w:p>
          <w:p>
            <w:pPr>
              <w:pStyle w:val="TableContents"/>
              <w:bidi w:val="0"/>
              <w:spacing w:before="0" w:after="0"/>
              <w:ind w:left="0" w:right="0" w:hanging="0"/>
              <w:jc w:val="both"/>
              <w:rPr>
                <w:rFonts w:ascii="Times New Roman" w:hAnsi="Times New Roman"/>
                <w:sz w:val="20"/>
              </w:rPr>
            </w:pPr>
            <w:r>
              <w:rPr>
                <w:rFonts w:ascii="Arial;sans-serif" w:hAnsi="Arial;sans-serif"/>
                <w:b/>
                <w:sz w:val="20"/>
              </w:rPr>
              <w:t xml:space="preserve">Vote Required: </w:t>
            </w:r>
            <w:r>
              <w:rPr>
                <w:rFonts w:ascii="Arial;sans-serif" w:hAnsi="Arial;sans-serif"/>
                <w:b w:val="false"/>
                <w:sz w:val="20"/>
              </w:rPr>
              <w:t>The affirmative vote of a majority of the votes cast is required to approve the proposal</w:t>
            </w:r>
            <w:r>
              <w:rPr>
                <w:rFonts w:ascii="Times New Roman" w:hAnsi="Times New Roman"/>
                <w:sz w:val="20"/>
              </w:rPr>
              <w:t xml:space="preserve"> </w:t>
            </w:r>
          </w:p>
          <w:p>
            <w:pPr>
              <w:pStyle w:val="TableContents"/>
              <w:bidi w:val="0"/>
              <w:spacing w:before="0" w:after="0"/>
              <w:ind w:left="0" w:right="0" w:hanging="0"/>
              <w:jc w:val="both"/>
              <w:rPr/>
            </w:pPr>
            <w:r>
              <w:rPr/>
              <w:t> </w:t>
            </w:r>
          </w:p>
          <w:p>
            <w:pPr>
              <w:pStyle w:val="TableContents"/>
              <w:bidi w:val="0"/>
              <w:spacing w:before="0" w:after="0"/>
              <w:ind w:left="0" w:right="0" w:hanging="0"/>
              <w:jc w:val="both"/>
              <w:rPr>
                <w:rFonts w:ascii="Times New Roman" w:hAnsi="Times New Roman"/>
                <w:sz w:val="20"/>
              </w:rPr>
            </w:pPr>
            <w:r>
              <w:rPr>
                <w:rFonts w:ascii="Arial;sans-serif" w:hAnsi="Arial;sans-serif"/>
                <w:b/>
                <w:sz w:val="20"/>
              </w:rPr>
              <w:t>Broker Discretionary Voting Allowed?</w:t>
            </w:r>
            <w:r>
              <w:rPr>
                <w:rFonts w:ascii="Times New Roman" w:hAnsi="Times New Roman"/>
                <w:sz w:val="20"/>
              </w:rPr>
              <w:t> </w:t>
            </w:r>
            <w:r>
              <w:rPr>
                <w:rFonts w:ascii="Arial;sans-serif" w:hAnsi="Arial;sans-serif"/>
                <w:b w:val="false"/>
                <w:sz w:val="20"/>
              </w:rPr>
              <w:t>No – broker non-votes have no effect</w:t>
            </w:r>
          </w:p>
          <w:p>
            <w:pPr>
              <w:pStyle w:val="TableContents"/>
              <w:bidi w:val="0"/>
              <w:spacing w:before="0" w:after="0"/>
              <w:ind w:left="0" w:right="0" w:hanging="0"/>
              <w:jc w:val="both"/>
              <w:rPr/>
            </w:pPr>
            <w:r>
              <w:rPr/>
              <w:t> </w:t>
            </w:r>
          </w:p>
          <w:p>
            <w:pPr>
              <w:pStyle w:val="TableContents"/>
              <w:bidi w:val="0"/>
              <w:spacing w:before="0" w:after="240"/>
              <w:ind w:left="0" w:right="0" w:hanging="0"/>
              <w:jc w:val="both"/>
              <w:rPr>
                <w:rFonts w:ascii="Times New Roman" w:hAnsi="Times New Roman"/>
                <w:sz w:val="20"/>
              </w:rPr>
            </w:pPr>
            <w:r>
              <w:rPr>
                <w:rFonts w:ascii="Arial;sans-serif" w:hAnsi="Arial;sans-serif"/>
                <w:b/>
                <w:sz w:val="20"/>
              </w:rPr>
              <w:t>Abstentions:</w:t>
            </w:r>
            <w:r>
              <w:rPr>
                <w:rFonts w:ascii="Times New Roman" w:hAnsi="Times New Roman"/>
                <w:sz w:val="20"/>
              </w:rPr>
              <w:t> </w:t>
            </w:r>
            <w:r>
              <w:rPr>
                <w:rFonts w:ascii="Arial;sans-serif" w:hAnsi="Arial;sans-serif"/>
                <w:b w:val="false"/>
                <w:sz w:val="20"/>
              </w:rPr>
              <w:t>No effect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1" w:type="dxa"/>
            <w:tcBorders/>
            <w:vAlign w:val="center"/>
          </w:tcPr>
          <w:p>
            <w:pPr>
              <w:pStyle w:val="TableContents"/>
              <w:bidi w:val="0"/>
              <w:spacing w:before="0" w:after="0"/>
              <w:ind w:left="0" w:right="0" w:hanging="0"/>
              <w:jc w:val="both"/>
              <w:rPr/>
            </w:pPr>
            <w:r>
              <w:rPr/>
              <w:t> </w:t>
            </w:r>
          </w:p>
        </w:tc>
      </w:tr>
    </w:tbl>
    <w:p>
      <w:pPr>
        <w:pStyle w:val="TextBody"/>
        <w:bidi w:val="0"/>
        <w:spacing w:before="120" w:after="0"/>
        <w:jc w:val="both"/>
        <w:rPr>
          <w:rFonts w:ascii="Times New Roman" w:hAnsi="Times New Roman"/>
          <w:sz w:val="20"/>
        </w:rPr>
      </w:pPr>
      <w:r>
        <w:rPr>
          <w:rFonts w:ascii="Arial;sans-serif" w:hAnsi="Arial;sans-serif"/>
          <w:b w:val="false"/>
          <w:sz w:val="20"/>
        </w:rPr>
        <w:t>Pursuant to SEC rules, our stockholders are being asked to approve, on an advisory basis, the compensation of our NEOs as disclosed in this Proxy Statement. We have recently received high levels</w:t>
      </w:r>
      <w:r>
        <w:rPr>
          <w:rFonts w:ascii="Times New Roman" w:hAnsi="Times New Roman"/>
          <w:sz w:val="20"/>
        </w:rPr>
        <w:t xml:space="preserve"> </w:t>
      </w:r>
      <w:r>
        <w:rPr>
          <w:rFonts w:ascii="Arial;sans-serif" w:hAnsi="Arial;sans-serif"/>
          <w:b w:val="false"/>
          <w:sz w:val="20"/>
        </w:rPr>
        <w:t>of support from our stockholders on advisory votes to approve executive compensation.</w:t>
      </w:r>
    </w:p>
    <w:p>
      <w:pPr>
        <w:pStyle w:val="TextBody"/>
        <w:bidi w:val="0"/>
        <w:spacing w:before="0" w:after="0"/>
        <w:jc w:val="both"/>
        <w:rPr/>
      </w:pPr>
      <w:r>
        <w:rPr/>
        <w:t> </w:t>
      </w:r>
    </w:p>
    <w:tbl>
      <w:tblPr>
        <w:tblW w:w="4815" w:type="dxa"/>
        <w:jc w:val="left"/>
        <w:tblInd w:w="0" w:type="dxa"/>
        <w:tblLayout w:type="fixed"/>
        <w:tblCellMar>
          <w:top w:w="28" w:type="dxa"/>
          <w:left w:w="28" w:type="dxa"/>
          <w:bottom w:w="28" w:type="dxa"/>
          <w:right w:w="28" w:type="dxa"/>
        </w:tblCellMar>
      </w:tblPr>
      <w:tblGrid>
        <w:gridCol w:w="2388"/>
        <w:gridCol w:w="2427"/>
      </w:tblGrid>
      <w:tr>
        <w:trPr/>
        <w:tc>
          <w:tcPr>
            <w:tcW w:w="2388"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r>
      <w:tr>
        <w:trPr/>
        <w:tc>
          <w:tcPr>
            <w:tcW w:w="4815" w:type="dxa"/>
            <w:gridSpan w:val="2"/>
            <w:tcBorders/>
            <w:vAlign w:val="center"/>
          </w:tcPr>
          <w:p>
            <w:pPr>
              <w:pStyle w:val="TableContents"/>
              <w:bidi w:val="0"/>
              <w:spacing w:before="0" w:after="0"/>
              <w:ind w:left="0" w:right="0" w:hanging="0"/>
              <w:jc w:val="center"/>
              <w:rPr>
                <w:rFonts w:ascii="Arial;sans-serif" w:hAnsi="Arial;sans-serif"/>
                <w:b/>
                <w:sz w:val="24"/>
              </w:rPr>
            </w:pPr>
            <w:r>
              <w:rPr>
                <w:rFonts w:ascii="Arial;sans-serif" w:hAnsi="Arial;sans-serif"/>
                <w:b/>
                <w:sz w:val="24"/>
              </w:rPr>
              <w:t>Recent Support for Say-on-Pay Proposal</w:t>
            </w:r>
          </w:p>
        </w:tc>
      </w:tr>
      <w:tr>
        <w:trPr/>
        <w:tc>
          <w:tcPr>
            <w:tcW w:w="2388" w:type="dxa"/>
            <w:tcBorders/>
            <w:vAlign w:val="center"/>
          </w:tcPr>
          <w:p>
            <w:pPr>
              <w:pStyle w:val="TableContents"/>
              <w:bidi w:val="0"/>
              <w:spacing w:before="0" w:after="0"/>
              <w:ind w:left="0" w:right="0" w:hanging="0"/>
              <w:jc w:val="center"/>
              <w:rPr>
                <w:rFonts w:ascii="Times New Roman" w:hAnsi="Times New Roman"/>
                <w:sz w:val="36"/>
              </w:rPr>
            </w:pPr>
            <w:r>
              <w:rPr>
                <w:rFonts w:ascii="Arial;sans-serif" w:hAnsi="Arial;sans-serif"/>
                <w:b/>
                <w:sz w:val="36"/>
              </w:rPr>
              <w:t>2021:</w:t>
            </w:r>
            <w:r>
              <w:rPr>
                <w:rFonts w:ascii="Times New Roman" w:hAnsi="Times New Roman"/>
                <w:sz w:val="36"/>
              </w:rPr>
              <w:t xml:space="preserve"> </w:t>
            </w:r>
            <w:r>
              <w:rPr>
                <w:rFonts w:ascii="Arial;sans-serif" w:hAnsi="Arial;sans-serif"/>
                <w:b/>
                <w:sz w:val="36"/>
              </w:rPr>
              <w:t>97%</w:t>
            </w:r>
          </w:p>
        </w:tc>
        <w:tc>
          <w:tcPr>
            <w:tcW w:w="2427" w:type="dxa"/>
            <w:tcBorders/>
            <w:vAlign w:val="center"/>
          </w:tcPr>
          <w:p>
            <w:pPr>
              <w:pStyle w:val="TableContents"/>
              <w:bidi w:val="0"/>
              <w:spacing w:before="0" w:after="0"/>
              <w:ind w:left="0" w:right="0" w:hanging="0"/>
              <w:jc w:val="center"/>
              <w:rPr>
                <w:rFonts w:ascii="Times New Roman" w:hAnsi="Times New Roman"/>
                <w:sz w:val="36"/>
              </w:rPr>
            </w:pPr>
            <w:r>
              <w:rPr>
                <w:rFonts w:ascii="Arial;sans-serif" w:hAnsi="Arial;sans-serif"/>
                <w:b/>
                <w:sz w:val="36"/>
              </w:rPr>
              <w:t>2022:</w:t>
            </w:r>
            <w:r>
              <w:rPr>
                <w:rFonts w:ascii="Times New Roman" w:hAnsi="Times New Roman"/>
                <w:sz w:val="36"/>
              </w:rPr>
              <w:t xml:space="preserve"> </w:t>
            </w:r>
            <w:r>
              <w:rPr>
                <w:rFonts w:ascii="Arial;sans-serif" w:hAnsi="Arial;sans-serif"/>
                <w:b/>
                <w:sz w:val="36"/>
              </w:rPr>
              <w:t>95%</w:t>
            </w:r>
          </w:p>
        </w:tc>
      </w:tr>
    </w:tbl>
    <w:p>
      <w:pPr>
        <w:pStyle w:val="TextBody"/>
        <w:bidi w:val="0"/>
        <w:spacing w:before="120" w:after="0"/>
        <w:jc w:val="both"/>
        <w:rPr>
          <w:rFonts w:ascii="Times New Roman" w:hAnsi="Times New Roman"/>
          <w:sz w:val="20"/>
        </w:rPr>
      </w:pPr>
      <w:r>
        <w:rPr>
          <w:rFonts w:ascii="Arial;sans-serif" w:hAnsi="Arial;sans-serif"/>
          <w:b w:val="false"/>
          <w:sz w:val="20"/>
        </w:rPr>
        <w:t>As described in the Compensation Discussion and Analysis section, we believe our compensation policies and procedures are competitive, focused on pay-for-performance principles, and aligned with the long-term interests of our stockholders. Our executive compensation philosophy is to pay base salaries to our executive officers at levels that, in the context of unfavorable industry factors beyond the control of management, enable us to attract, motivate, and retain highly qualified executives. Our executive compensation program is designed to link annual performance-based cash incentive compensation to the achievement of pre-established performance objectives, based primarily on our financial results and achievement of other corporate goals.</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Arial;sans-serif" w:hAnsi="Arial;sans-serif"/>
          <w:b w:val="false"/>
          <w:sz w:val="20"/>
        </w:rPr>
      </w:pPr>
      <w:r>
        <w:rPr>
          <w:rFonts w:ascii="Arial;sans-serif" w:hAnsi="Arial;sans-serif"/>
          <w:b w:val="false"/>
          <w:sz w:val="20"/>
        </w:rPr>
        <w:t>Consistent with our pay-for-performance philosophy:</w:t>
      </w:r>
    </w:p>
    <w:p>
      <w:pPr>
        <w:pStyle w:val="TextBody"/>
        <w:bidi w:val="0"/>
        <w:spacing w:before="120" w:after="0"/>
        <w:jc w:val="both"/>
        <w:rPr/>
      </w:pPr>
      <w:r>
        <w:rPr/>
        <w:t>•</w:t>
      </w:r>
    </w:p>
    <w:p>
      <w:pPr>
        <w:pStyle w:val="TextBody"/>
        <w:bidi w:val="0"/>
        <w:spacing w:before="120" w:after="0"/>
        <w:jc w:val="both"/>
        <w:rPr/>
      </w:pPr>
      <w:r>
        <w:rPr>
          <w:rFonts w:ascii="Arial;sans-serif" w:hAnsi="Arial;sans-serif"/>
          <w:b w:val="false"/>
          <w:sz w:val="20"/>
        </w:rPr>
        <w:t xml:space="preserve">Our NEOs received </w:t>
      </w:r>
      <w:r>
        <w:rPr>
          <w:rFonts w:ascii="Arial;sans-serif" w:hAnsi="Arial;sans-serif"/>
          <w:b w:val="false"/>
          <w:sz w:val="20"/>
          <w:u w:val="single"/>
        </w:rPr>
        <w:t>no annual cash incentive payment</w:t>
      </w:r>
      <w:r>
        <w:rPr/>
        <w:t xml:space="preserve"> </w:t>
      </w:r>
      <w:r>
        <w:rPr>
          <w:rFonts w:ascii="Arial;sans-serif" w:hAnsi="Arial;sans-serif"/>
          <w:b w:val="false"/>
          <w:sz w:val="20"/>
        </w:rPr>
        <w:t>for fiscal 2023</w:t>
      </w:r>
      <w:r>
        <w:rPr/>
        <w:t xml:space="preserve"> </w:t>
      </w:r>
      <w:r>
        <w:rPr>
          <w:rFonts w:ascii="Arial;sans-serif" w:hAnsi="Arial;sans-serif"/>
          <w:b w:val="false"/>
          <w:sz w:val="20"/>
        </w:rPr>
        <w:t>because we failed to achieve the threshold target for Adjusted EBITDAS.</w:t>
      </w:r>
    </w:p>
    <w:p>
      <w:pPr>
        <w:pStyle w:val="TextBody"/>
        <w:bidi w:val="0"/>
        <w:spacing w:before="120" w:after="0"/>
        <w:jc w:val="both"/>
        <w:rPr/>
      </w:pPr>
      <w:r>
        <w:rPr/>
        <w:t>•</w:t>
      </w:r>
    </w:p>
    <w:p>
      <w:pPr>
        <w:pStyle w:val="TextBody"/>
        <w:bidi w:val="0"/>
        <w:spacing w:before="120" w:after="283"/>
        <w:jc w:val="both"/>
        <w:rPr/>
      </w:pPr>
      <w:r>
        <w:rPr>
          <w:rFonts w:ascii="Arial;sans-serif" w:hAnsi="Arial;sans-serif"/>
          <w:b w:val="false"/>
          <w:sz w:val="20"/>
        </w:rPr>
        <w:t>Our NEOs who received a stock-based award in 2020 received</w:t>
      </w:r>
      <w:r>
        <w:rPr/>
        <w:t xml:space="preserve"> </w:t>
      </w:r>
      <w:r>
        <w:rPr>
          <w:rFonts w:ascii="Arial;sans-serif" w:hAnsi="Arial;sans-serif"/>
          <w:b w:val="false"/>
          <w:sz w:val="20"/>
          <w:u w:val="single"/>
        </w:rPr>
        <w:t>none of the target shares</w:t>
      </w:r>
      <w:r>
        <w:rPr/>
        <w:t xml:space="preserve"> </w:t>
      </w:r>
      <w:r>
        <w:rPr>
          <w:rFonts w:ascii="Arial;sans-serif" w:hAnsi="Arial;sans-serif"/>
          <w:b w:val="false"/>
          <w:sz w:val="20"/>
        </w:rPr>
        <w:t>of common stock for the PSU portion of the award</w:t>
      </w:r>
      <w:r>
        <w:rPr/>
        <w:t xml:space="preserve"> </w:t>
      </w:r>
      <w:r>
        <w:rPr>
          <w:rFonts w:ascii="Arial;sans-serif" w:hAnsi="Arial;sans-serif"/>
          <w:b w:val="false"/>
          <w:sz w:val="20"/>
        </w:rPr>
        <w:t>because we failed to meet the minimum performance requirements.</w:t>
      </w:r>
    </w:p>
    <w:p>
      <w:pPr>
        <w:pStyle w:val="TextBody"/>
        <w:bidi w:val="0"/>
        <w:spacing w:before="240" w:after="0"/>
        <w:jc w:val="both"/>
        <w:rPr>
          <w:rFonts w:ascii="Arial;sans-serif" w:hAnsi="Arial;sans-serif"/>
          <w:b w:val="false"/>
          <w:sz w:val="20"/>
        </w:rPr>
      </w:pPr>
      <w:r>
        <w:rPr>
          <w:rFonts w:ascii="Arial;sans-serif" w:hAnsi="Arial;sans-serif"/>
          <w:b w:val="false"/>
          <w:sz w:val="20"/>
        </w:rPr>
        <w:t>The advisory vote on this resolution is not intended to address any specific element of compensation; rather, it relates to the overall compensation of our NEOs, as well as the compensation philosophy, policies, and practices described in this Proxy Statement. Our stockholders may vote for or against, or abstain from voting on, the following resolution:</w:t>
      </w:r>
    </w:p>
    <w:p>
      <w:pPr>
        <w:pStyle w:val="TextBody"/>
        <w:bidi w:val="0"/>
        <w:spacing w:before="120" w:after="0"/>
        <w:jc w:val="both"/>
        <w:rPr>
          <w:rFonts w:ascii="Times New Roman" w:hAnsi="Times New Roman"/>
          <w:sz w:val="20"/>
        </w:rPr>
      </w:pPr>
      <w:r>
        <w:rPr>
          <w:rFonts w:ascii="Arial;sans-serif" w:hAnsi="Arial;sans-serif"/>
          <w:b w:val="false"/>
          <w:sz w:val="20"/>
        </w:rPr>
        <w:t>RESOLVED, that the stockholders of the Company approve, on an advisory basis, the compensation of the Company’s named executive officers, as disclosed in the Compensation Discussion and Analysis, executive compensation tables, and narrative discussion set forth in the Proxy Statement for the 2023 Annual Meeting of Stockholders.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This advisory vote will not be binding on the Board. The Compensation Committee will, however, take the outcome of the vote into account when considering future executive compensation decisions. We provide our stockholders with this advisory vote on an annual basis and expect that the next such vote will occur at the 2024 Annual Meeting.</w:t>
      </w:r>
    </w:p>
    <w:p>
      <w:pPr>
        <w:pStyle w:val="TextBody"/>
        <w:bidi w:val="0"/>
        <w:spacing w:before="0" w:after="0"/>
        <w:jc w:val="both"/>
        <w:rPr/>
      </w:pPr>
      <w:r>
        <w:rPr/>
        <w:t> </w:t>
      </w:r>
    </w:p>
    <w:p>
      <w:pPr>
        <w:pStyle w:val="TextBody"/>
        <w:bidi w:val="0"/>
        <w:spacing w:before="0" w:after="0"/>
        <w:jc w:val="left"/>
        <w:rPr/>
      </w:pPr>
      <w:r>
        <w:rPr/>
        <w:t> </w:t>
      </w:r>
    </w:p>
    <w:tbl>
      <w:tblPr>
        <w:tblW w:w="3762" w:type="dxa"/>
        <w:jc w:val="left"/>
        <w:tblInd w:w="0" w:type="dxa"/>
        <w:tblLayout w:type="fixed"/>
        <w:tblCellMar>
          <w:top w:w="28" w:type="dxa"/>
          <w:left w:w="28" w:type="dxa"/>
          <w:bottom w:w="28" w:type="dxa"/>
          <w:right w:w="28" w:type="dxa"/>
        </w:tblCellMar>
      </w:tblPr>
      <w:tblGrid>
        <w:gridCol w:w="1466"/>
        <w:gridCol w:w="2296"/>
      </w:tblGrid>
      <w:tr>
        <w:trPr/>
        <w:tc>
          <w:tcPr>
            <w:tcW w:w="146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r>
      <w:tr>
        <w:trPr/>
        <w:tc>
          <w:tcPr>
            <w:tcW w:w="1466" w:type="dxa"/>
            <w:tcBorders/>
            <w:vAlign w:val="center"/>
          </w:tcPr>
          <w:p>
            <w:pPr>
              <w:pStyle w:val="TableContents"/>
              <w:bidi w:val="0"/>
              <w:spacing w:before="0" w:after="0"/>
              <w:ind w:left="0" w:right="0" w:hanging="0"/>
              <w:jc w:val="left"/>
              <w:rPr/>
            </w:pPr>
            <w:r>
              <w:rPr/>
              <w:drawing>
                <wp:inline distT="0" distB="0" distL="0" distR="0">
                  <wp:extent cx="828675" cy="1905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828675" cy="190500"/>
                          </a:xfrm>
                          <a:prstGeom prst="rect">
                            <a:avLst/>
                          </a:prstGeom>
                        </pic:spPr>
                      </pic:pic>
                    </a:graphicData>
                  </a:graphic>
                </wp:inline>
              </w:drawing>
            </w:r>
            <w:r>
              <w:rPr/>
              <w:t> </w:t>
            </w:r>
          </w:p>
        </w:tc>
        <w:tc>
          <w:tcPr>
            <w:tcW w:w="229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2023 Proxy Statement I 16</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2277" w:type="dxa"/>
        <w:jc w:val="left"/>
        <w:tblInd w:w="0" w:type="dxa"/>
        <w:tblLayout w:type="fixed"/>
        <w:tblCellMar>
          <w:top w:w="28" w:type="dxa"/>
          <w:left w:w="28" w:type="dxa"/>
          <w:bottom w:w="28" w:type="dxa"/>
          <w:right w:w="28" w:type="dxa"/>
        </w:tblCellMar>
      </w:tblPr>
      <w:tblGrid>
        <w:gridCol w:w="2086"/>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Compensation Matters</w:t>
            </w:r>
          </w:p>
        </w:tc>
        <w:tc>
          <w:tcPr>
            <w:tcW w:w="191" w:type="dxa"/>
            <w:tcBorders/>
            <w:vAlign w:val="center"/>
          </w:tcPr>
          <w:p>
            <w:pPr>
              <w:pStyle w:val="TableContents"/>
              <w:bidi w:val="0"/>
              <w:spacing w:before="0" w:after="0"/>
              <w:ind w:left="0" w:right="0" w:hanging="0"/>
              <w:jc w:val="left"/>
              <w:rPr/>
            </w:pPr>
            <w:r>
              <w:rPr/>
              <w:t> </w:t>
            </w:r>
          </w:p>
        </w:tc>
      </w:tr>
      <w:tr>
        <w:trPr/>
        <w:tc>
          <w:tcPr>
            <w:tcW w:w="208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46"/>
        <w:gridCol w:w="95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561" w:type="dxa"/>
            <w:tcBorders/>
            <w:vAlign w:val="center"/>
          </w:tcPr>
          <w:p>
            <w:pPr>
              <w:pStyle w:val="TableContents"/>
              <w:bidi w:val="0"/>
              <w:spacing w:before="240" w:after="120"/>
              <w:ind w:left="0" w:right="0" w:hanging="0"/>
              <w:jc w:val="both"/>
              <w:rPr>
                <w:rFonts w:ascii="Arial;sans-serif" w:hAnsi="Arial;sans-serif"/>
                <w:b/>
                <w:caps/>
                <w:sz w:val="24"/>
              </w:rPr>
            </w:pPr>
            <w:bookmarkStart w:id="6" w:name="proposal_3"/>
            <w:bookmarkEnd w:id="6"/>
            <w:r>
              <w:rPr>
                <w:rFonts w:ascii="Arial;sans-serif" w:hAnsi="Arial;sans-serif"/>
                <w:b/>
                <w:caps/>
                <w:sz w:val="24"/>
              </w:rPr>
              <w:t>PROPOSAL THREE – ADVISORY VOTE ON FREQUENCY OF FUTURE SAY-ON-PAY VOTES</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91" w:type="dxa"/>
            <w:tcBorders/>
            <w:vAlign w:val="center"/>
          </w:tcPr>
          <w:p>
            <w:pPr>
              <w:pStyle w:val="TableContents"/>
              <w:bidi w:val="0"/>
              <w:spacing w:before="0" w:after="0"/>
              <w:ind w:left="0" w:right="0" w:hanging="0"/>
              <w:jc w:val="both"/>
              <w:rPr/>
            </w:pPr>
            <w:r>
              <w:rPr/>
              <w:t> </w:t>
            </w:r>
          </w:p>
        </w:tc>
      </w:tr>
      <w:tr>
        <w:trPr/>
        <w:tc>
          <w:tcPr>
            <w:tcW w:w="161" w:type="dxa"/>
            <w:tcBorders/>
            <w:vAlign w:val="center"/>
          </w:tcPr>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0"/>
              <w:ind w:left="0" w:right="0" w:hanging="0"/>
              <w:jc w:val="both"/>
              <w:rPr/>
            </w:pPr>
            <w:r>
              <w:rPr/>
              <w:t> </w:t>
            </w:r>
          </w:p>
        </w:tc>
        <w:tc>
          <w:tcPr>
            <w:tcW w:w="9561" w:type="dxa"/>
            <w:tcBorders/>
            <w:vAlign w:val="center"/>
          </w:tcPr>
          <w:p>
            <w:pPr>
              <w:pStyle w:val="TableContents"/>
              <w:bidi w:val="0"/>
              <w:spacing w:before="0" w:after="0"/>
              <w:ind w:left="0" w:right="0" w:hanging="0"/>
              <w:jc w:val="both"/>
              <w:rPr>
                <w:rFonts w:ascii="Times New Roman" w:hAnsi="Times New Roman"/>
                <w:sz w:val="20"/>
              </w:rPr>
            </w:pPr>
            <w:r>
              <w:rPr>
                <w:rFonts w:ascii="Arial;sans-serif" w:hAnsi="Arial;sans-serif"/>
                <w:b/>
                <w:sz w:val="20"/>
              </w:rPr>
              <w:t>What Am I Voting On?</w:t>
            </w:r>
            <w:r>
              <w:rPr>
                <w:rFonts w:ascii="Times New Roman" w:hAnsi="Times New Roman"/>
                <w:sz w:val="20"/>
              </w:rPr>
              <w:t> </w:t>
            </w:r>
            <w:r>
              <w:rPr>
                <w:rFonts w:ascii="Arial;sans-serif" w:hAnsi="Arial;sans-serif"/>
                <w:b w:val="false"/>
                <w:sz w:val="20"/>
              </w:rPr>
              <w:t>The Board is asking our stockholders to approve, on an advisory basis, the frequency of future advisory votes on executive compensation</w:t>
            </w:r>
          </w:p>
        </w:tc>
        <w:tc>
          <w:tcPr>
            <w:tcW w:w="146" w:type="dxa"/>
            <w:tcBorders/>
            <w:vAlign w:val="center"/>
          </w:tcPr>
          <w:p>
            <w:pPr>
              <w:pStyle w:val="TableContents"/>
              <w:bidi w:val="0"/>
              <w:spacing w:before="0" w:after="0"/>
              <w:ind w:left="0" w:right="0" w:hanging="0"/>
              <w:jc w:val="both"/>
              <w:rPr/>
            </w:pPr>
            <w:r>
              <w:rPr/>
              <w:t> </w:t>
            </w:r>
          </w:p>
        </w:tc>
        <w:tc>
          <w:tcPr>
            <w:tcW w:w="191" w:type="dxa"/>
            <w:tcBorders/>
            <w:vAlign w:val="center"/>
          </w:tcPr>
          <w:p>
            <w:pPr>
              <w:pStyle w:val="TableContents"/>
              <w:bidi w:val="0"/>
              <w:spacing w:before="0" w:after="0"/>
              <w:ind w:left="0" w:right="0" w:hanging="0"/>
              <w:jc w:val="both"/>
              <w:rPr/>
            </w:pPr>
            <w:r>
              <w:rPr/>
              <w:t> </w:t>
            </w:r>
          </w:p>
        </w:tc>
      </w:tr>
      <w:tr>
        <w:trPr/>
        <w:tc>
          <w:tcPr>
            <w:tcW w:w="161" w:type="dxa"/>
            <w:tcBorders/>
            <w:vAlign w:val="center"/>
          </w:tcPr>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561" w:type="dxa"/>
            <w:tcBorders/>
            <w:vAlign w:val="center"/>
          </w:tcPr>
          <w:p>
            <w:pPr>
              <w:pStyle w:val="TableContents"/>
              <w:bidi w:val="0"/>
              <w:spacing w:before="0" w:after="0"/>
              <w:ind w:left="0" w:right="0" w:hanging="0"/>
              <w:jc w:val="both"/>
              <w:rPr>
                <w:rFonts w:ascii="Times New Roman" w:hAnsi="Times New Roman"/>
                <w:sz w:val="20"/>
              </w:rPr>
            </w:pPr>
            <w:r>
              <w:rPr>
                <w:rFonts w:ascii="Arial;sans-serif" w:hAnsi="Arial;sans-serif"/>
                <w:b/>
                <w:sz w:val="20"/>
              </w:rPr>
              <w:t>Voting Recommendation:</w:t>
            </w:r>
            <w:r>
              <w:rPr>
                <w:rFonts w:ascii="Times New Roman" w:hAnsi="Times New Roman"/>
                <w:sz w:val="20"/>
              </w:rPr>
              <w:t xml:space="preserve"> </w:t>
            </w:r>
            <w:r>
              <w:rPr>
                <w:rFonts w:ascii="Arial;sans-serif" w:hAnsi="Arial;sans-serif"/>
                <w:b w:val="false"/>
                <w:sz w:val="20"/>
              </w:rPr>
              <w:t>FOR</w:t>
            </w:r>
            <w:r>
              <w:rPr>
                <w:rFonts w:ascii="Times New Roman" w:hAnsi="Times New Roman"/>
                <w:sz w:val="20"/>
              </w:rPr>
              <w:t xml:space="preserve"> </w:t>
            </w:r>
            <w:r>
              <w:rPr>
                <w:rFonts w:ascii="Arial;sans-serif" w:hAnsi="Arial;sans-serif"/>
                <w:b w:val="false"/>
                <w:sz w:val="20"/>
              </w:rPr>
              <w:t>the option of every “1 year”</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91" w:type="dxa"/>
            <w:tcBorders/>
            <w:vAlign w:val="center"/>
          </w:tcPr>
          <w:p>
            <w:pPr>
              <w:pStyle w:val="TableContents"/>
              <w:bidi w:val="0"/>
              <w:spacing w:before="0" w:after="0"/>
              <w:ind w:left="0" w:right="0" w:hanging="0"/>
              <w:jc w:val="both"/>
              <w:rPr/>
            </w:pPr>
            <w:r>
              <w:rPr/>
              <w:t> </w:t>
            </w:r>
          </w:p>
        </w:tc>
      </w:tr>
      <w:tr>
        <w:trPr/>
        <w:tc>
          <w:tcPr>
            <w:tcW w:w="161" w:type="dxa"/>
            <w:tcBorders/>
            <w:vAlign w:val="center"/>
          </w:tcPr>
          <w:p>
            <w:pPr>
              <w:pStyle w:val="TableContents"/>
              <w:bidi w:val="0"/>
              <w:spacing w:before="0" w:after="0"/>
              <w:ind w:left="0" w:right="0" w:hanging="0"/>
              <w:jc w:val="both"/>
              <w:rPr/>
            </w:pPr>
            <w:r>
              <w:rPr/>
              <w:t> </w:t>
            </w:r>
          </w:p>
        </w:tc>
        <w:tc>
          <w:tcPr>
            <w:tcW w:w="9707" w:type="dxa"/>
            <w:gridSpan w:val="2"/>
            <w:tcBorders/>
            <w:vAlign w:val="center"/>
          </w:tcPr>
          <w:p>
            <w:pPr>
              <w:pStyle w:val="TableContents"/>
              <w:bidi w:val="0"/>
              <w:spacing w:before="0" w:after="0"/>
              <w:ind w:left="0" w:right="0" w:hanging="0"/>
              <w:jc w:val="both"/>
              <w:rPr/>
            </w:pPr>
            <w:r>
              <w:rPr/>
              <w:t> </w:t>
            </w:r>
          </w:p>
        </w:tc>
        <w:tc>
          <w:tcPr>
            <w:tcW w:w="337" w:type="dxa"/>
            <w:gridSpan w:val="2"/>
            <w:tcBorders/>
            <w:vAlign w:val="center"/>
          </w:tcPr>
          <w:p>
            <w:pPr>
              <w:pStyle w:val="TableContents"/>
              <w:bidi w:val="0"/>
              <w:spacing w:before="0" w:after="0"/>
              <w:ind w:left="0" w:right="0" w:hanging="0"/>
              <w:jc w:val="both"/>
              <w:rPr/>
            </w:pPr>
            <w:r>
              <w:rPr/>
              <w:t> </w:t>
            </w:r>
          </w:p>
        </w:tc>
      </w:tr>
      <w:tr>
        <w:trPr/>
        <w:tc>
          <w:tcPr>
            <w:tcW w:w="161" w:type="dxa"/>
            <w:tcBorders/>
            <w:vAlign w:val="center"/>
          </w:tcPr>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561" w:type="dxa"/>
            <w:tcBorders/>
            <w:vAlign w:val="center"/>
          </w:tcPr>
          <w:p>
            <w:pPr>
              <w:pStyle w:val="TableContents"/>
              <w:bidi w:val="0"/>
              <w:spacing w:before="0" w:after="0"/>
              <w:ind w:left="0" w:right="0" w:hanging="0"/>
              <w:jc w:val="both"/>
              <w:rPr>
                <w:rFonts w:ascii="Times New Roman" w:hAnsi="Times New Roman"/>
                <w:sz w:val="20"/>
              </w:rPr>
            </w:pPr>
            <w:r>
              <w:rPr>
                <w:rFonts w:ascii="Arial;sans-serif" w:hAnsi="Arial;sans-serif"/>
                <w:b/>
                <w:sz w:val="20"/>
              </w:rPr>
              <w:t>Vote Required:</w:t>
            </w:r>
            <w:r>
              <w:rPr>
                <w:rFonts w:ascii="Times New Roman" w:hAnsi="Times New Roman"/>
                <w:sz w:val="20"/>
              </w:rPr>
              <w:t> </w:t>
            </w:r>
            <w:r>
              <w:rPr>
                <w:rFonts w:ascii="Arial;sans-serif" w:hAnsi="Arial;sans-serif"/>
                <w:b w:val="false"/>
                <w:sz w:val="20"/>
              </w:rPr>
              <w:t>The option of every “1 year,” “2 years,” or “3 years” that receives the highest number of affirmative votes by those shares present in person or represented by proxy and entitled to vote</w:t>
            </w:r>
          </w:p>
          <w:p>
            <w:pPr>
              <w:pStyle w:val="TableContents"/>
              <w:bidi w:val="0"/>
              <w:spacing w:before="0" w:after="0"/>
              <w:ind w:left="0" w:right="0" w:hanging="0"/>
              <w:jc w:val="both"/>
              <w:rPr/>
            </w:pPr>
            <w:r>
              <w:rPr/>
              <w:t> </w:t>
            </w:r>
          </w:p>
          <w:p>
            <w:pPr>
              <w:pStyle w:val="TableContents"/>
              <w:bidi w:val="0"/>
              <w:spacing w:before="0" w:after="0"/>
              <w:ind w:left="0" w:right="0" w:hanging="0"/>
              <w:jc w:val="both"/>
              <w:rPr>
                <w:rFonts w:ascii="Times New Roman" w:hAnsi="Times New Roman"/>
                <w:sz w:val="20"/>
              </w:rPr>
            </w:pPr>
            <w:r>
              <w:rPr>
                <w:rFonts w:ascii="Arial;sans-serif" w:hAnsi="Arial;sans-serif"/>
                <w:b/>
                <w:sz w:val="20"/>
              </w:rPr>
              <w:t>Broker Discretionary Voting Allowed?</w:t>
            </w:r>
            <w:r>
              <w:rPr>
                <w:rFonts w:ascii="Times New Roman" w:hAnsi="Times New Roman"/>
                <w:sz w:val="20"/>
              </w:rPr>
              <w:t> </w:t>
            </w:r>
            <w:r>
              <w:rPr>
                <w:rFonts w:ascii="Arial;sans-serif" w:hAnsi="Arial;sans-serif"/>
                <w:b w:val="false"/>
                <w:sz w:val="20"/>
              </w:rPr>
              <w:t>No – broker non-votes have no effect</w:t>
            </w:r>
          </w:p>
          <w:p>
            <w:pPr>
              <w:pStyle w:val="TableContents"/>
              <w:bidi w:val="0"/>
              <w:spacing w:before="0" w:after="0"/>
              <w:ind w:left="0" w:right="0" w:hanging="0"/>
              <w:jc w:val="both"/>
              <w:rPr/>
            </w:pPr>
            <w:r>
              <w:rPr/>
              <w:t> </w:t>
            </w:r>
          </w:p>
          <w:p>
            <w:pPr>
              <w:pStyle w:val="TableContents"/>
              <w:bidi w:val="0"/>
              <w:spacing w:before="0" w:after="240"/>
              <w:ind w:left="0" w:right="0" w:hanging="0"/>
              <w:jc w:val="both"/>
              <w:rPr>
                <w:rFonts w:ascii="Times New Roman" w:hAnsi="Times New Roman"/>
                <w:sz w:val="20"/>
              </w:rPr>
            </w:pPr>
            <w:r>
              <w:rPr>
                <w:rFonts w:ascii="Arial;sans-serif" w:hAnsi="Arial;sans-serif"/>
                <w:b/>
                <w:sz w:val="20"/>
              </w:rPr>
              <w:t>Abstentions:</w:t>
            </w:r>
            <w:r>
              <w:rPr>
                <w:rFonts w:ascii="Times New Roman" w:hAnsi="Times New Roman"/>
                <w:sz w:val="20"/>
              </w:rPr>
              <w:t> </w:t>
            </w:r>
            <w:r>
              <w:rPr>
                <w:rFonts w:ascii="Arial;sans-serif" w:hAnsi="Arial;sans-serif"/>
                <w:b w:val="false"/>
                <w:sz w:val="20"/>
              </w:rPr>
              <w:t>No effect</w:t>
            </w:r>
          </w:p>
        </w:tc>
        <w:tc>
          <w:tcPr>
            <w:tcW w:w="146" w:type="dxa"/>
            <w:tcBorders/>
            <w:vAlign w:val="center"/>
          </w:tcPr>
          <w:p>
            <w:pPr>
              <w:pStyle w:val="TableContents"/>
              <w:bidi w:val="0"/>
              <w:spacing w:before="0" w:after="0"/>
              <w:ind w:left="0" w:right="0" w:hanging="0"/>
              <w:jc w:val="both"/>
              <w:rPr/>
            </w:pPr>
            <w:r>
              <w:rPr/>
              <w:t> </w:t>
            </w:r>
          </w:p>
        </w:tc>
        <w:tc>
          <w:tcPr>
            <w:tcW w:w="191" w:type="dxa"/>
            <w:tcBorders/>
            <w:vAlign w:val="center"/>
          </w:tcPr>
          <w:p>
            <w:pPr>
              <w:pStyle w:val="TableContents"/>
              <w:bidi w:val="0"/>
              <w:spacing w:before="0" w:after="0"/>
              <w:ind w:left="0" w:right="0" w:hanging="0"/>
              <w:jc w:val="both"/>
              <w:rPr/>
            </w:pPr>
            <w:r>
              <w:rPr/>
              <w:t> </w:t>
            </w:r>
          </w:p>
        </w:tc>
      </w:tr>
    </w:tbl>
    <w:p>
      <w:pPr>
        <w:pStyle w:val="TextBody"/>
        <w:bidi w:val="0"/>
        <w:spacing w:before="0" w:after="0"/>
        <w:jc w:val="both"/>
        <w:rPr/>
      </w:pPr>
      <w:r>
        <w:rPr/>
        <w:t> </w:t>
      </w:r>
    </w:p>
    <w:p>
      <w:pPr>
        <w:pStyle w:val="TextBody"/>
        <w:bidi w:val="0"/>
        <w:spacing w:before="0" w:after="0"/>
        <w:jc w:val="both"/>
        <w:rPr>
          <w:rFonts w:ascii="Arial;sans-serif" w:hAnsi="Arial;sans-serif"/>
          <w:b w:val="false"/>
          <w:sz w:val="20"/>
        </w:rPr>
      </w:pPr>
      <w:r>
        <w:rPr>
          <w:rFonts w:ascii="Arial;sans-serif" w:hAnsi="Arial;sans-serif"/>
          <w:b w:val="false"/>
          <w:sz w:val="20"/>
        </w:rPr>
        <w:t>In accordance with SEC rules, our stockholders may vote, on an advisory basis, on how frequently they would like to cast an advisory vote on the compensation of our NEOs. The Board believes conducting an advisory vote on executive compensation on an annual basis is currently appropriate for us and our stockholders.</w:t>
      </w:r>
    </w:p>
    <w:p>
      <w:pPr>
        <w:pStyle w:val="TextBody"/>
        <w:bidi w:val="0"/>
        <w:spacing w:before="240" w:after="0"/>
        <w:jc w:val="both"/>
        <w:rPr>
          <w:rFonts w:ascii="Arial;sans-serif" w:hAnsi="Arial;sans-serif"/>
          <w:b w:val="false"/>
          <w:sz w:val="20"/>
        </w:rPr>
      </w:pPr>
      <w:r>
        <w:rPr>
          <w:rFonts w:ascii="Arial;sans-serif" w:hAnsi="Arial;sans-serif"/>
          <w:b w:val="false"/>
          <w:sz w:val="20"/>
        </w:rPr>
        <w:t>Our stockholders may cast a vote on the preferred voting frequency by selecting the option of “1 year,” “2 years,” or “3 years,” or they may abstain from voting in response to the following resolution:</w:t>
      </w:r>
    </w:p>
    <w:p>
      <w:pPr>
        <w:pStyle w:val="TextBody"/>
        <w:bidi w:val="0"/>
        <w:spacing w:before="240" w:after="0"/>
        <w:jc w:val="left"/>
        <w:rPr>
          <w:rFonts w:ascii="Arial;sans-serif" w:hAnsi="Arial;sans-serif"/>
          <w:b w:val="false"/>
          <w:sz w:val="20"/>
        </w:rPr>
      </w:pPr>
      <w:r>
        <w:rPr>
          <w:rFonts w:ascii="Arial;sans-serif" w:hAnsi="Arial;sans-serif"/>
          <w:b w:val="false"/>
          <w:sz w:val="20"/>
        </w:rPr>
        <w:t>RESOLVED, that the Company’s stockholders wish the Company to include an advisory vote on the compensation of the Company’s named executive officers pursuant to Section 14(a) of the Securities Exchange Act every:</w:t>
      </w:r>
    </w:p>
    <w:p>
      <w:pPr>
        <w:pStyle w:val="TextBody"/>
        <w:bidi w:val="0"/>
        <w:spacing w:before="0" w:after="0"/>
        <w:jc w:val="left"/>
        <w:rPr>
          <w:rFonts w:ascii="Times New Roman" w:hAnsi="Times New Roman"/>
          <w:sz w:val="20"/>
        </w:rPr>
      </w:pPr>
      <w:r>
        <w:rPr>
          <w:rFonts w:ascii="Arial;sans-serif" w:hAnsi="Arial;sans-serif"/>
          <w:b w:val="false"/>
          <w:sz w:val="20"/>
        </w:rPr>
        <w:t></w:t>
      </w:r>
      <w:r>
        <w:rPr>
          <w:rFonts w:ascii="Times New Roman" w:hAnsi="Times New Roman"/>
          <w:sz w:val="20"/>
        </w:rPr>
        <w:t xml:space="preserve"> </w:t>
      </w:r>
      <w:r>
        <w:rPr>
          <w:rFonts w:ascii="Arial;sans-serif" w:hAnsi="Arial;sans-serif"/>
          <w:b w:val="false"/>
          <w:sz w:val="20"/>
        </w:rPr>
        <w:t>one year,</w:t>
      </w:r>
    </w:p>
    <w:p>
      <w:pPr>
        <w:pStyle w:val="TextBody"/>
        <w:bidi w:val="0"/>
        <w:spacing w:before="0" w:after="0"/>
        <w:jc w:val="left"/>
        <w:rPr>
          <w:rFonts w:ascii="Times New Roman" w:hAnsi="Times New Roman"/>
          <w:sz w:val="20"/>
        </w:rPr>
      </w:pPr>
      <w:r>
        <w:rPr>
          <w:rFonts w:ascii="Arial;sans-serif" w:hAnsi="Arial;sans-serif"/>
          <w:b w:val="false"/>
          <w:sz w:val="20"/>
        </w:rPr>
        <w:t></w:t>
      </w:r>
      <w:r>
        <w:rPr>
          <w:rFonts w:ascii="Times New Roman" w:hAnsi="Times New Roman"/>
          <w:sz w:val="20"/>
        </w:rPr>
        <w:t xml:space="preserve"> </w:t>
      </w:r>
      <w:r>
        <w:rPr>
          <w:rFonts w:ascii="Arial;sans-serif" w:hAnsi="Arial;sans-serif"/>
          <w:b w:val="false"/>
          <w:sz w:val="20"/>
        </w:rPr>
        <w:t>two years, or</w:t>
      </w:r>
    </w:p>
    <w:p>
      <w:pPr>
        <w:pStyle w:val="TextBody"/>
        <w:bidi w:val="0"/>
        <w:spacing w:before="0" w:after="0"/>
        <w:jc w:val="left"/>
        <w:rPr>
          <w:rFonts w:ascii="Arial;sans-serif" w:hAnsi="Arial;sans-serif"/>
          <w:b w:val="false"/>
          <w:sz w:val="20"/>
        </w:rPr>
      </w:pPr>
      <w:r>
        <w:rPr>
          <w:rFonts w:ascii="Arial;sans-serif" w:hAnsi="Arial;sans-serif"/>
          <w:b w:val="false"/>
          <w:sz w:val="20"/>
        </w:rPr>
        <w:t> three years.</w:t>
      </w:r>
    </w:p>
    <w:p>
      <w:pPr>
        <w:pStyle w:val="TextBody"/>
        <w:bidi w:val="0"/>
        <w:spacing w:before="0" w:after="0"/>
        <w:jc w:val="both"/>
        <w:rPr>
          <w:rFonts w:ascii="Arial;sans-serif" w:hAnsi="Arial;sans-serif"/>
          <w:b w:val="false"/>
          <w:sz w:val="20"/>
        </w:rPr>
      </w:pPr>
      <w:r>
        <w:rPr>
          <w:rFonts w:ascii="Arial;sans-serif" w:hAnsi="Arial;sans-serif"/>
          <w:b w:val="false"/>
          <w:sz w:val="20"/>
        </w:rPr>
        <w:t>Because the required vote is advisory, it will not be binding upon the Board. The Board will, however, take into account the outcome of the vote when considering the frequency with which we will provide our stockholders the opportunity to vote, on an advisory basis, to approve the compensation of our NEOs.</w:t>
      </w:r>
    </w:p>
    <w:p>
      <w:pPr>
        <w:pStyle w:val="TextBody"/>
        <w:bidi w:val="0"/>
        <w:spacing w:before="120" w:after="0"/>
        <w:jc w:val="both"/>
        <w:rPr/>
      </w:pPr>
      <w:r>
        <w:rPr/>
        <w:t> </w:t>
      </w:r>
    </w:p>
    <w:p>
      <w:pPr>
        <w:pStyle w:val="TextBody"/>
        <w:bidi w:val="0"/>
        <w:spacing w:before="0" w:after="0"/>
        <w:jc w:val="left"/>
        <w:rPr/>
      </w:pPr>
      <w:r>
        <w:rPr/>
        <w:t> </w:t>
      </w:r>
    </w:p>
    <w:tbl>
      <w:tblPr>
        <w:tblW w:w="3762" w:type="dxa"/>
        <w:jc w:val="left"/>
        <w:tblInd w:w="0" w:type="dxa"/>
        <w:tblLayout w:type="fixed"/>
        <w:tblCellMar>
          <w:top w:w="28" w:type="dxa"/>
          <w:left w:w="28" w:type="dxa"/>
          <w:bottom w:w="28" w:type="dxa"/>
          <w:right w:w="28" w:type="dxa"/>
        </w:tblCellMar>
      </w:tblPr>
      <w:tblGrid>
        <w:gridCol w:w="2266"/>
        <w:gridCol w:w="1496"/>
      </w:tblGrid>
      <w:tr>
        <w:trPr/>
        <w:tc>
          <w:tcPr>
            <w:tcW w:w="226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17</w:t>
            </w:r>
            <w:r>
              <w:rPr>
                <w:rFonts w:ascii="Times New Roman" w:hAnsi="Times New Roman"/>
                <w:sz w:val="18"/>
              </w:rPr>
              <w:t> </w:t>
            </w:r>
            <w:r>
              <w:rPr>
                <w:rFonts w:ascii="Arial;sans-serif" w:hAnsi="Arial;sans-serif"/>
                <w:b w:val="false"/>
                <w:sz w:val="18"/>
              </w:rPr>
              <w:t>I 2023 Proxy Statement</w:t>
            </w:r>
          </w:p>
        </w:tc>
        <w:tc>
          <w:tcPr>
            <w:tcW w:w="1496" w:type="dxa"/>
            <w:tcBorders/>
            <w:vAlign w:val="center"/>
          </w:tcPr>
          <w:p>
            <w:pPr>
              <w:pStyle w:val="TableContents"/>
              <w:bidi w:val="0"/>
              <w:spacing w:before="0" w:after="0"/>
              <w:ind w:left="0" w:right="0" w:hanging="0"/>
              <w:jc w:val="right"/>
              <w:rPr/>
            </w:pPr>
            <w:r>
              <w:rPr/>
              <w:drawing>
                <wp:inline distT="0" distB="0" distL="0" distR="0">
                  <wp:extent cx="828675" cy="1905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828675" cy="190500"/>
                          </a:xfrm>
                          <a:prstGeom prst="rect">
                            <a:avLst/>
                          </a:prstGeom>
                        </pic:spPr>
                      </pic:pic>
                    </a:graphicData>
                  </a:graphic>
                </wp:inline>
              </w:drawing>
            </w: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2277" w:type="dxa"/>
        <w:jc w:val="left"/>
        <w:tblInd w:w="0" w:type="dxa"/>
        <w:tblLayout w:type="fixed"/>
        <w:tblCellMar>
          <w:top w:w="28" w:type="dxa"/>
          <w:left w:w="28" w:type="dxa"/>
          <w:bottom w:w="28" w:type="dxa"/>
          <w:right w:w="28" w:type="dxa"/>
        </w:tblCellMar>
      </w:tblPr>
      <w:tblGrid>
        <w:gridCol w:w="2086"/>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Compensation Matters</w:t>
            </w:r>
          </w:p>
        </w:tc>
        <w:tc>
          <w:tcPr>
            <w:tcW w:w="191" w:type="dxa"/>
            <w:tcBorders/>
            <w:vAlign w:val="center"/>
          </w:tcPr>
          <w:p>
            <w:pPr>
              <w:pStyle w:val="TableContents"/>
              <w:bidi w:val="0"/>
              <w:spacing w:before="0" w:after="0"/>
              <w:ind w:left="0" w:right="0" w:hanging="0"/>
              <w:jc w:val="left"/>
              <w:rPr/>
            </w:pPr>
            <w:r>
              <w:rPr/>
              <w:t> </w:t>
            </w:r>
          </w:p>
        </w:tc>
      </w:tr>
      <w:tr>
        <w:trPr/>
        <w:tc>
          <w:tcPr>
            <w:tcW w:w="208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both"/>
        <w:rPr>
          <w:rFonts w:ascii="Arial;sans-serif" w:hAnsi="Arial;sans-serif"/>
          <w:b/>
          <w:caps/>
          <w:sz w:val="40"/>
        </w:rPr>
      </w:pPr>
      <w:bookmarkStart w:id="7" w:name="compensation_discussion_analysis"/>
      <w:bookmarkEnd w:id="7"/>
      <w:r>
        <w:rPr>
          <w:rFonts w:ascii="Arial;sans-serif" w:hAnsi="Arial;sans-serif"/>
          <w:b/>
          <w:caps/>
          <w:sz w:val="40"/>
        </w:rPr>
        <w:t>COMPENSATION DISCUSSION AND ANALysis</w:t>
      </w:r>
    </w:p>
    <w:p>
      <w:pPr>
        <w:pStyle w:val="TextBody"/>
        <w:bidi w:val="0"/>
        <w:spacing w:before="120" w:after="120"/>
        <w:jc w:val="both"/>
        <w:rPr>
          <w:rFonts w:ascii="Arial;sans-serif" w:hAnsi="Arial;sans-serif"/>
          <w:b/>
          <w:sz w:val="28"/>
        </w:rPr>
      </w:pPr>
      <w:r>
        <w:rPr>
          <w:rFonts w:ascii="Arial;sans-serif" w:hAnsi="Arial;sans-serif"/>
          <w:b/>
          <w:sz w:val="28"/>
        </w:rPr>
        <w:t>EXECUTIVE SUMMARY</w:t>
      </w:r>
    </w:p>
    <w:p>
      <w:pPr>
        <w:pStyle w:val="TextBody"/>
        <w:bidi w:val="0"/>
        <w:spacing w:before="0" w:after="0"/>
        <w:jc w:val="both"/>
        <w:rPr>
          <w:rFonts w:ascii="Times New Roman" w:hAnsi="Times New Roman"/>
          <w:sz w:val="20"/>
        </w:rPr>
      </w:pPr>
      <w:r>
        <w:rPr>
          <w:rFonts w:ascii="Arial;sans-serif" w:hAnsi="Arial;sans-serif"/>
          <w:b w:val="false"/>
          <w:sz w:val="24"/>
          <w:u w:val="single"/>
        </w:rPr>
        <w:t>Named Executive Officers</w:t>
      </w:r>
      <w:r>
        <w:rPr>
          <w:rFonts w:ascii="Times New Roman" w:hAnsi="Times New Roman"/>
          <w:sz w:val="20"/>
        </w:rPr>
        <w:t xml:space="preserve"> </w:t>
      </w:r>
    </w:p>
    <w:p>
      <w:pPr>
        <w:pStyle w:val="TextBody"/>
        <w:bidi w:val="0"/>
        <w:spacing w:before="0" w:after="0"/>
        <w:jc w:val="both"/>
        <w:rPr>
          <w:rFonts w:ascii="Arial;sans-serif" w:hAnsi="Arial;sans-serif"/>
          <w:b w:val="false"/>
          <w:sz w:val="20"/>
        </w:rPr>
      </w:pPr>
      <w:r>
        <w:rPr>
          <w:rFonts w:ascii="Arial;sans-serif" w:hAnsi="Arial;sans-serif"/>
          <w:b w:val="false"/>
          <w:sz w:val="20"/>
        </w:rPr>
        <w:t>This section describes our executive compensation program, outlines the core principles behind that program, and reviews the actions taken by the Compensation Committee concerning the fiscal 2023 compensation of the following NEOs:</w:t>
      </w:r>
    </w:p>
    <w:p>
      <w:pPr>
        <w:pStyle w:val="TextBody"/>
        <w:bidi w:val="0"/>
        <w:spacing w:before="0" w:after="0"/>
        <w:jc w:val="both"/>
        <w:rPr/>
      </w:pPr>
      <w:r>
        <w:rPr/>
        <w:t> </w:t>
      </w:r>
    </w:p>
    <w:tbl>
      <w:tblPr>
        <w:tblW w:w="6947" w:type="dxa"/>
        <w:jc w:val="left"/>
        <w:tblInd w:w="0" w:type="dxa"/>
        <w:tblLayout w:type="fixed"/>
        <w:tblCellMar>
          <w:top w:w="28" w:type="dxa"/>
          <w:left w:w="28" w:type="dxa"/>
          <w:bottom w:w="28" w:type="dxa"/>
          <w:right w:w="28" w:type="dxa"/>
        </w:tblCellMar>
      </w:tblPr>
      <w:tblGrid>
        <w:gridCol w:w="1891"/>
        <w:gridCol w:w="5056"/>
      </w:tblGrid>
      <w:tr>
        <w:trPr/>
        <w:tc>
          <w:tcPr>
            <w:tcW w:w="1891" w:type="dxa"/>
            <w:tcBorders/>
            <w:vAlign w:val="center"/>
          </w:tcPr>
          <w:p>
            <w:pPr>
              <w:pStyle w:val="TableContents"/>
              <w:bidi w:val="0"/>
              <w:spacing w:before="0" w:after="283"/>
              <w:jc w:val="left"/>
              <w:rPr>
                <w:sz w:val="4"/>
                <w:szCs w:val="4"/>
              </w:rPr>
            </w:pPr>
            <w:r>
              <w:rPr>
                <w:sz w:val="4"/>
                <w:szCs w:val="4"/>
              </w:rPr>
            </w:r>
          </w:p>
        </w:tc>
        <w:tc>
          <w:tcPr>
            <w:tcW w:w="5056" w:type="dxa"/>
            <w:tcBorders/>
            <w:vAlign w:val="center"/>
          </w:tcPr>
          <w:p>
            <w:pPr>
              <w:pStyle w:val="TableContents"/>
              <w:bidi w:val="0"/>
              <w:spacing w:before="0" w:after="283"/>
              <w:ind w:left="0" w:right="0" w:firstLine="90"/>
              <w:jc w:val="left"/>
              <w:rPr>
                <w:sz w:val="4"/>
                <w:szCs w:val="4"/>
              </w:rPr>
            </w:pPr>
            <w:r>
              <w:rPr>
                <w:sz w:val="4"/>
                <w:szCs w:val="4"/>
              </w:rPr>
            </w:r>
          </w:p>
        </w:tc>
      </w:tr>
      <w:tr>
        <w:trPr/>
        <w:tc>
          <w:tcPr>
            <w:tcW w:w="1891" w:type="dxa"/>
            <w:tcBorders/>
            <w:vAlign w:val="center"/>
          </w:tcPr>
          <w:p>
            <w:pPr>
              <w:pStyle w:val="TableContents"/>
              <w:bidi w:val="0"/>
              <w:spacing w:before="0" w:after="0"/>
              <w:ind w:left="90" w:right="0" w:hanging="0"/>
              <w:jc w:val="both"/>
              <w:rPr>
                <w:rFonts w:ascii="Arial;sans-serif" w:hAnsi="Arial;sans-serif"/>
                <w:b/>
                <w:sz w:val="18"/>
              </w:rPr>
            </w:pPr>
            <w:r>
              <w:rPr>
                <w:rFonts w:ascii="Arial;sans-serif" w:hAnsi="Arial;sans-serif"/>
                <w:b/>
                <w:sz w:val="18"/>
              </w:rPr>
              <w:t>Name</w:t>
            </w:r>
          </w:p>
        </w:tc>
        <w:tc>
          <w:tcPr>
            <w:tcW w:w="5056" w:type="dxa"/>
            <w:tcBorders/>
            <w:vAlign w:val="center"/>
          </w:tcPr>
          <w:p>
            <w:pPr>
              <w:pStyle w:val="TableContents"/>
              <w:bidi w:val="0"/>
              <w:spacing w:before="0" w:after="0"/>
              <w:ind w:left="0" w:right="0" w:firstLine="90"/>
              <w:jc w:val="both"/>
              <w:rPr>
                <w:rFonts w:ascii="Arial;sans-serif" w:hAnsi="Arial;sans-serif"/>
                <w:b/>
                <w:sz w:val="18"/>
              </w:rPr>
            </w:pPr>
            <w:r>
              <w:rPr>
                <w:rFonts w:ascii="Arial;sans-serif" w:hAnsi="Arial;sans-serif"/>
                <w:b/>
                <w:sz w:val="18"/>
              </w:rPr>
              <w:t>Title</w:t>
            </w:r>
          </w:p>
        </w:tc>
      </w:tr>
      <w:tr>
        <w:trPr/>
        <w:tc>
          <w:tcPr>
            <w:tcW w:w="1891" w:type="dxa"/>
            <w:tcBorders/>
            <w:vAlign w:val="center"/>
          </w:tcPr>
          <w:p>
            <w:pPr>
              <w:pStyle w:val="TableContents"/>
              <w:bidi w:val="0"/>
              <w:spacing w:before="60" w:after="60"/>
              <w:ind w:left="90" w:right="0" w:hanging="0"/>
              <w:jc w:val="both"/>
              <w:rPr>
                <w:rFonts w:ascii="Times New Roman" w:hAnsi="Times New Roman"/>
                <w:sz w:val="18"/>
              </w:rPr>
            </w:pPr>
            <w:r>
              <w:rPr>
                <w:rFonts w:ascii="Arial;sans-serif" w:hAnsi="Arial;sans-serif"/>
                <w:b w:val="false"/>
                <w:sz w:val="18"/>
              </w:rPr>
              <w:t>Mark P. Smith</w:t>
            </w:r>
            <w:r>
              <w:rPr>
                <w:rFonts w:ascii="Times New Roman" w:hAnsi="Times New Roman"/>
                <w:sz w:val="18"/>
              </w:rPr>
              <w:t xml:space="preserve"> </w:t>
            </w:r>
          </w:p>
        </w:tc>
        <w:tc>
          <w:tcPr>
            <w:tcW w:w="5056" w:type="dxa"/>
            <w:tcBorders/>
            <w:vAlign w:val="center"/>
          </w:tcPr>
          <w:p>
            <w:pPr>
              <w:pStyle w:val="TableContents"/>
              <w:bidi w:val="0"/>
              <w:spacing w:before="60" w:after="60"/>
              <w:ind w:left="0" w:right="0" w:firstLine="90"/>
              <w:jc w:val="both"/>
              <w:rPr>
                <w:rFonts w:ascii="Arial;sans-serif" w:hAnsi="Arial;sans-serif"/>
                <w:b w:val="false"/>
                <w:sz w:val="18"/>
              </w:rPr>
            </w:pPr>
            <w:r>
              <w:rPr>
                <w:rFonts w:ascii="Arial;sans-serif" w:hAnsi="Arial;sans-serif"/>
                <w:b w:val="false"/>
                <w:sz w:val="18"/>
              </w:rPr>
              <w:t>President and CEO</w:t>
            </w:r>
          </w:p>
        </w:tc>
      </w:tr>
      <w:tr>
        <w:trPr/>
        <w:tc>
          <w:tcPr>
            <w:tcW w:w="1891" w:type="dxa"/>
            <w:tcBorders/>
            <w:vAlign w:val="center"/>
          </w:tcPr>
          <w:p>
            <w:pPr>
              <w:pStyle w:val="TableContents"/>
              <w:bidi w:val="0"/>
              <w:spacing w:before="60" w:after="60"/>
              <w:ind w:left="90" w:right="0" w:hanging="0"/>
              <w:jc w:val="both"/>
              <w:rPr>
                <w:rFonts w:ascii="Times New Roman" w:hAnsi="Times New Roman"/>
                <w:sz w:val="18"/>
              </w:rPr>
            </w:pPr>
            <w:r>
              <w:rPr>
                <w:rFonts w:ascii="Arial;sans-serif" w:hAnsi="Arial;sans-serif"/>
                <w:b w:val="false"/>
                <w:sz w:val="18"/>
              </w:rPr>
              <w:t>Deana L. McPherson</w:t>
            </w:r>
            <w:r>
              <w:rPr>
                <w:rFonts w:ascii="Times New Roman" w:hAnsi="Times New Roman"/>
                <w:sz w:val="18"/>
              </w:rPr>
              <w:t xml:space="preserve"> </w:t>
            </w:r>
          </w:p>
        </w:tc>
        <w:tc>
          <w:tcPr>
            <w:tcW w:w="5056" w:type="dxa"/>
            <w:tcBorders/>
            <w:vAlign w:val="center"/>
          </w:tcPr>
          <w:p>
            <w:pPr>
              <w:pStyle w:val="TableContents"/>
              <w:bidi w:val="0"/>
              <w:spacing w:before="60" w:after="60"/>
              <w:ind w:left="0" w:right="90" w:hanging="0"/>
              <w:jc w:val="both"/>
              <w:rPr>
                <w:rFonts w:ascii="Arial;sans-serif" w:hAnsi="Arial;sans-serif"/>
                <w:b w:val="false"/>
                <w:sz w:val="18"/>
              </w:rPr>
            </w:pPr>
            <w:r>
              <w:rPr>
                <w:rFonts w:ascii="Arial;sans-serif" w:hAnsi="Arial;sans-serif"/>
                <w:b w:val="false"/>
                <w:sz w:val="18"/>
              </w:rPr>
              <w:t>Executive Vice President, CFO, Treasurer, and Assistant</w:t>
            </w:r>
          </w:p>
          <w:p>
            <w:pPr>
              <w:pStyle w:val="TableContents"/>
              <w:bidi w:val="0"/>
              <w:spacing w:before="60" w:after="60"/>
              <w:ind w:left="0" w:right="0" w:firstLine="90"/>
              <w:jc w:val="both"/>
              <w:rPr>
                <w:rFonts w:ascii="Arial;sans-serif" w:hAnsi="Arial;sans-serif"/>
                <w:b w:val="false"/>
                <w:sz w:val="18"/>
              </w:rPr>
            </w:pPr>
            <w:r>
              <w:rPr>
                <w:rFonts w:ascii="Arial;sans-serif" w:hAnsi="Arial;sans-serif"/>
                <w:b w:val="false"/>
                <w:sz w:val="18"/>
              </w:rPr>
              <w:t>Secretary</w:t>
            </w:r>
          </w:p>
        </w:tc>
      </w:tr>
      <w:tr>
        <w:trPr/>
        <w:tc>
          <w:tcPr>
            <w:tcW w:w="1891" w:type="dxa"/>
            <w:tcBorders/>
            <w:vAlign w:val="center"/>
          </w:tcPr>
          <w:p>
            <w:pPr>
              <w:pStyle w:val="TableContents"/>
              <w:bidi w:val="0"/>
              <w:spacing w:before="60" w:after="60"/>
              <w:ind w:left="90" w:right="0" w:hanging="0"/>
              <w:jc w:val="both"/>
              <w:rPr>
                <w:rFonts w:ascii="Arial;sans-serif" w:hAnsi="Arial;sans-serif"/>
                <w:b w:val="false"/>
                <w:sz w:val="18"/>
              </w:rPr>
            </w:pPr>
            <w:r>
              <w:rPr>
                <w:rFonts w:ascii="Arial;sans-serif" w:hAnsi="Arial;sans-serif"/>
                <w:b w:val="false"/>
                <w:sz w:val="18"/>
              </w:rPr>
              <w:t>Kevin A. Maxwell</w:t>
            </w:r>
          </w:p>
        </w:tc>
        <w:tc>
          <w:tcPr>
            <w:tcW w:w="5056" w:type="dxa"/>
            <w:tcBorders/>
            <w:vAlign w:val="center"/>
          </w:tcPr>
          <w:p>
            <w:pPr>
              <w:pStyle w:val="TableContents"/>
              <w:bidi w:val="0"/>
              <w:spacing w:before="60" w:after="60"/>
              <w:ind w:left="0" w:right="90" w:hanging="0"/>
              <w:jc w:val="both"/>
              <w:rPr>
                <w:rFonts w:ascii="Arial;sans-serif" w:hAnsi="Arial;sans-serif"/>
                <w:b w:val="false"/>
                <w:sz w:val="18"/>
              </w:rPr>
            </w:pPr>
            <w:r>
              <w:rPr>
                <w:rFonts w:ascii="Arial;sans-serif" w:hAnsi="Arial;sans-serif"/>
                <w:b w:val="false"/>
                <w:sz w:val="18"/>
              </w:rPr>
              <w:t>Senior Vice President, General Counsel, Chief Compliance</w:t>
            </w:r>
          </w:p>
          <w:p>
            <w:pPr>
              <w:pStyle w:val="TableContents"/>
              <w:bidi w:val="0"/>
              <w:spacing w:before="60" w:after="60"/>
              <w:ind w:left="0" w:right="0" w:firstLine="90"/>
              <w:jc w:val="both"/>
              <w:rPr>
                <w:rFonts w:ascii="Arial;sans-serif" w:hAnsi="Arial;sans-serif"/>
                <w:b w:val="false"/>
                <w:sz w:val="18"/>
              </w:rPr>
            </w:pPr>
            <w:r>
              <w:rPr>
                <w:rFonts w:ascii="Arial;sans-serif" w:hAnsi="Arial;sans-serif"/>
                <w:b w:val="false"/>
                <w:sz w:val="18"/>
              </w:rPr>
              <w:t>Officer, and Secretary</w:t>
            </w:r>
          </w:p>
        </w:tc>
      </w:tr>
      <w:tr>
        <w:trPr/>
        <w:tc>
          <w:tcPr>
            <w:tcW w:w="1891" w:type="dxa"/>
            <w:tcBorders/>
            <w:vAlign w:val="center"/>
          </w:tcPr>
          <w:p>
            <w:pPr>
              <w:pStyle w:val="TableContents"/>
              <w:bidi w:val="0"/>
              <w:spacing w:before="60" w:after="60"/>
              <w:ind w:left="90" w:right="0" w:hanging="0"/>
              <w:jc w:val="both"/>
              <w:rPr>
                <w:rFonts w:ascii="Times New Roman" w:hAnsi="Times New Roman"/>
                <w:sz w:val="18"/>
              </w:rPr>
            </w:pPr>
            <w:r>
              <w:rPr>
                <w:rFonts w:ascii="Arial;sans-serif" w:hAnsi="Arial;sans-serif"/>
                <w:b w:val="false"/>
                <w:sz w:val="18"/>
              </w:rPr>
              <w:t>Susan J. Cupero</w:t>
            </w:r>
            <w:r>
              <w:rPr>
                <w:rFonts w:ascii="Times New Roman" w:hAnsi="Times New Roman"/>
                <w:sz w:val="18"/>
              </w:rPr>
              <w:t xml:space="preserve"> </w:t>
            </w:r>
          </w:p>
        </w:tc>
        <w:tc>
          <w:tcPr>
            <w:tcW w:w="5056" w:type="dxa"/>
            <w:tcBorders/>
            <w:vAlign w:val="center"/>
          </w:tcPr>
          <w:p>
            <w:pPr>
              <w:pStyle w:val="TableContents"/>
              <w:bidi w:val="0"/>
              <w:spacing w:before="60" w:after="60"/>
              <w:ind w:left="0" w:right="90" w:hanging="0"/>
              <w:jc w:val="both"/>
              <w:rPr>
                <w:rFonts w:ascii="Arial;sans-serif" w:hAnsi="Arial;sans-serif"/>
                <w:b w:val="false"/>
                <w:sz w:val="18"/>
              </w:rPr>
            </w:pPr>
            <w:r>
              <w:rPr>
                <w:rFonts w:ascii="Arial;sans-serif" w:hAnsi="Arial;sans-serif"/>
                <w:b w:val="false"/>
                <w:sz w:val="18"/>
              </w:rPr>
              <w:t>Vice President, Sales</w:t>
            </w:r>
          </w:p>
        </w:tc>
      </w:tr>
    </w:tbl>
    <w:p>
      <w:pPr>
        <w:pStyle w:val="TextBody"/>
        <w:bidi w:val="0"/>
        <w:spacing w:before="240" w:after="0"/>
        <w:jc w:val="both"/>
        <w:rPr>
          <w:rFonts w:ascii="Times New Roman" w:hAnsi="Times New Roman"/>
          <w:sz w:val="20"/>
        </w:rPr>
      </w:pPr>
      <w:r>
        <w:rPr>
          <w:rFonts w:ascii="Arial;sans-serif" w:hAnsi="Arial;sans-serif"/>
          <w:b w:val="false"/>
          <w:sz w:val="24"/>
          <w:u w:val="single"/>
        </w:rPr>
        <w:t>Program Emphasis</w:t>
      </w:r>
      <w:r>
        <w:rPr>
          <w:rFonts w:ascii="Times New Roman" w:hAnsi="Times New Roman"/>
          <w:sz w:val="20"/>
        </w:rPr>
        <w:t xml:space="preserve"> </w:t>
      </w:r>
    </w:p>
    <w:p>
      <w:pPr>
        <w:pStyle w:val="TextBody"/>
        <w:bidi w:val="0"/>
        <w:spacing w:before="0" w:after="0"/>
        <w:jc w:val="both"/>
        <w:rPr>
          <w:rFonts w:ascii="Arial;sans-serif" w:hAnsi="Arial;sans-serif"/>
          <w:b w:val="false"/>
          <w:sz w:val="20"/>
        </w:rPr>
      </w:pPr>
      <w:r>
        <w:rPr>
          <w:rFonts w:ascii="Arial;sans-serif" w:hAnsi="Arial;sans-serif"/>
          <w:b w:val="false"/>
          <w:sz w:val="20"/>
        </w:rPr>
        <w:t>Our executive compensation program emphasizes our pay-for-performance philosophy and is designed to help us attract, motivate, and retain highly qualified executives.</w:t>
      </w:r>
    </w:p>
    <w:p>
      <w:pPr>
        <w:pStyle w:val="TextBody"/>
        <w:bidi w:val="0"/>
        <w:spacing w:before="240" w:after="0"/>
        <w:jc w:val="both"/>
        <w:rPr>
          <w:rFonts w:ascii="Times New Roman" w:hAnsi="Times New Roman"/>
          <w:sz w:val="20"/>
        </w:rPr>
      </w:pPr>
      <w:r>
        <w:rPr>
          <w:rFonts w:ascii="Arial;sans-serif" w:hAnsi="Arial;sans-serif"/>
          <w:b w:val="false"/>
          <w:sz w:val="24"/>
          <w:u w:val="single"/>
        </w:rPr>
        <w:t>Compensation Governance and Practices</w:t>
      </w:r>
      <w:r>
        <w:rPr>
          <w:rFonts w:ascii="Times New Roman" w:hAnsi="Times New Roman"/>
          <w:sz w:val="20"/>
        </w:rPr>
        <w:t xml:space="preserve"> </w:t>
      </w:r>
    </w:p>
    <w:p>
      <w:pPr>
        <w:pStyle w:val="TextBody"/>
        <w:bidi w:val="0"/>
        <w:spacing w:before="0" w:after="0"/>
        <w:jc w:val="both"/>
        <w:rPr>
          <w:rFonts w:ascii="Arial;sans-serif" w:hAnsi="Arial;sans-serif"/>
          <w:b w:val="false"/>
          <w:sz w:val="20"/>
        </w:rPr>
      </w:pPr>
      <w:r>
        <w:rPr>
          <w:rFonts w:ascii="Arial;sans-serif" w:hAnsi="Arial;sans-serif"/>
          <w:b w:val="false"/>
          <w:sz w:val="20"/>
        </w:rPr>
        <w:t>Our executive compensation program demonstrates our ongoing commitment to good corporate governance practices and aligns our executive officers’ interests with those of our stockholders.</w:t>
      </w:r>
    </w:p>
    <w:p>
      <w:pPr>
        <w:pStyle w:val="TextBody"/>
        <w:bidi w:val="0"/>
        <w:spacing w:before="0" w:after="0"/>
        <w:jc w:val="both"/>
        <w:rPr/>
      </w:pPr>
      <w:r>
        <w:rPr/>
        <w:t> </w:t>
      </w:r>
    </w:p>
    <w:tbl>
      <w:tblPr>
        <w:tblW w:w="8866" w:type="dxa"/>
        <w:jc w:val="left"/>
        <w:tblInd w:w="0" w:type="dxa"/>
        <w:tblLayout w:type="fixed"/>
        <w:tblCellMar>
          <w:top w:w="28" w:type="dxa"/>
          <w:left w:w="28" w:type="dxa"/>
          <w:bottom w:w="28" w:type="dxa"/>
          <w:right w:w="28" w:type="dxa"/>
        </w:tblCellMar>
      </w:tblPr>
      <w:tblGrid>
        <w:gridCol w:w="2256"/>
        <w:gridCol w:w="2049"/>
        <w:gridCol w:w="109"/>
        <w:gridCol w:w="266"/>
        <w:gridCol w:w="4186"/>
      </w:tblGrid>
      <w:tr>
        <w:trPr/>
        <w:tc>
          <w:tcPr>
            <w:tcW w:w="2256"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ind w:left="0" w:right="0" w:firstLine="120"/>
              <w:jc w:val="left"/>
              <w:rPr>
                <w:sz w:val="4"/>
                <w:szCs w:val="4"/>
              </w:rPr>
            </w:pPr>
            <w:r>
              <w:rPr>
                <w:sz w:val="4"/>
                <w:szCs w:val="4"/>
              </w:rPr>
            </w:r>
          </w:p>
        </w:tc>
      </w:tr>
      <w:tr>
        <w:trPr/>
        <w:tc>
          <w:tcPr>
            <w:tcW w:w="4305" w:type="dxa"/>
            <w:gridSpan w:val="2"/>
            <w:tcBorders/>
            <w:tcMar>
              <w:top w:w="0" w:type="dxa"/>
              <w:left w:w="0" w:type="dxa"/>
              <w:bottom w:w="0" w:type="dxa"/>
              <w:right w:w="0" w:type="dxa"/>
            </w:tcMar>
            <w:vAlign w:val="center"/>
          </w:tcPr>
          <w:p>
            <w:pPr>
              <w:pStyle w:val="TableContents"/>
              <w:bidi w:val="0"/>
              <w:spacing w:before="120" w:after="0"/>
              <w:ind w:left="120" w:right="0" w:hanging="0"/>
              <w:jc w:val="both"/>
              <w:rPr>
                <w:rFonts w:ascii="Arial;sans-serif" w:hAnsi="Arial;sans-serif"/>
                <w:b/>
                <w:sz w:val="20"/>
              </w:rPr>
            </w:pPr>
            <w:r>
              <w:rPr>
                <w:rFonts w:ascii="Arial;sans-serif" w:hAnsi="Arial;sans-serif"/>
                <w:b/>
                <w:sz w:val="20"/>
              </w:rPr>
              <w:t>Risk Mitigation</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before="0" w:after="0"/>
              <w:ind w:left="0" w:right="0" w:firstLine="120"/>
              <w:jc w:val="both"/>
              <w:rPr/>
            </w:pPr>
            <w:r>
              <w:rPr/>
              <w:t> </w:t>
            </w:r>
          </w:p>
        </w:tc>
        <w:tc>
          <w:tcPr>
            <w:tcW w:w="4186" w:type="dxa"/>
            <w:tcBorders/>
            <w:tcMar>
              <w:top w:w="0" w:type="dxa"/>
              <w:left w:w="0" w:type="dxa"/>
              <w:bottom w:w="0" w:type="dxa"/>
              <w:right w:w="0" w:type="dxa"/>
            </w:tcMar>
            <w:vAlign w:val="center"/>
          </w:tcPr>
          <w:p>
            <w:pPr>
              <w:pStyle w:val="TableContents"/>
              <w:bidi w:val="0"/>
              <w:spacing w:before="120" w:after="0"/>
              <w:ind w:left="120" w:right="0" w:hanging="0"/>
              <w:jc w:val="both"/>
              <w:rPr>
                <w:rFonts w:ascii="Arial;sans-serif" w:hAnsi="Arial;sans-serif"/>
                <w:b/>
                <w:sz w:val="20"/>
              </w:rPr>
            </w:pPr>
            <w:r>
              <w:rPr>
                <w:rFonts w:ascii="Arial;sans-serif" w:hAnsi="Arial;sans-serif"/>
                <w:b/>
                <w:sz w:val="20"/>
              </w:rPr>
              <w:t>Program Features</w:t>
            </w:r>
          </w:p>
        </w:tc>
      </w:tr>
      <w:tr>
        <w:trPr/>
        <w:tc>
          <w:tcPr>
            <w:tcW w:w="2256" w:type="dxa"/>
            <w:tcBorders/>
            <w:tcMar>
              <w:top w:w="0" w:type="dxa"/>
              <w:left w:w="0" w:type="dxa"/>
              <w:bottom w:w="0" w:type="dxa"/>
              <w:right w:w="0" w:type="dxa"/>
            </w:tcMar>
            <w:vAlign w:val="center"/>
          </w:tcPr>
          <w:p>
            <w:pPr>
              <w:pStyle w:val="TableContents"/>
              <w:bidi w:val="0"/>
              <w:spacing w:before="0" w:after="0"/>
              <w:ind w:left="0" w:right="0" w:hanging="0"/>
              <w:jc w:val="both"/>
              <w:rPr/>
            </w:pPr>
            <w:r>
              <w:rPr/>
              <w:t> </w:t>
            </w:r>
          </w:p>
        </w:tc>
        <w:tc>
          <w:tcPr>
            <w:tcW w:w="2049" w:type="dxa"/>
            <w:tcBorders/>
            <w:tcMar>
              <w:top w:w="0" w:type="dxa"/>
              <w:left w:w="0" w:type="dxa"/>
              <w:bottom w:w="0" w:type="dxa"/>
              <w:right w:w="0" w:type="dxa"/>
            </w:tcMar>
            <w:vAlign w:val="center"/>
          </w:tcPr>
          <w:p>
            <w:pPr>
              <w:pStyle w:val="TableContents"/>
              <w:bidi w:val="0"/>
              <w:spacing w:before="0" w:after="0"/>
              <w:ind w:left="0" w:right="0" w:hanging="0"/>
              <w:jc w:val="both"/>
              <w:rPr/>
            </w:pPr>
            <w:r>
              <w:rPr/>
              <w:t> </w:t>
            </w:r>
          </w:p>
        </w:tc>
        <w:tc>
          <w:tcPr>
            <w:tcW w:w="375" w:type="dxa"/>
            <w:gridSpan w:val="2"/>
            <w:tcBorders/>
            <w:tcMar>
              <w:top w:w="0" w:type="dxa"/>
              <w:left w:w="0" w:type="dxa"/>
              <w:bottom w:w="0" w:type="dxa"/>
              <w:right w:w="0" w:type="dxa"/>
            </w:tcMar>
            <w:vAlign w:val="center"/>
          </w:tcPr>
          <w:p>
            <w:pPr>
              <w:pStyle w:val="TableContents"/>
              <w:bidi w:val="0"/>
              <w:spacing w:before="0" w:after="0"/>
              <w:ind w:left="0" w:right="0" w:hanging="0"/>
              <w:jc w:val="both"/>
              <w:rPr/>
            </w:pPr>
            <w:r>
              <w:rPr/>
              <w:t> </w:t>
            </w:r>
          </w:p>
        </w:tc>
        <w:tc>
          <w:tcPr>
            <w:tcW w:w="4186" w:type="dxa"/>
            <w:tcBorders/>
            <w:tcMar>
              <w:top w:w="0" w:type="dxa"/>
              <w:left w:w="0" w:type="dxa"/>
              <w:bottom w:w="0" w:type="dxa"/>
              <w:right w:w="0" w:type="dxa"/>
            </w:tcMar>
            <w:vAlign w:val="center"/>
          </w:tcPr>
          <w:p>
            <w:pPr>
              <w:pStyle w:val="TableContents"/>
              <w:bidi w:val="0"/>
              <w:spacing w:before="0" w:after="0"/>
              <w:ind w:left="0" w:right="0" w:firstLine="120"/>
              <w:jc w:val="both"/>
              <w:rPr/>
            </w:pPr>
            <w:r>
              <w:rPr/>
              <w:t> </w:t>
            </w:r>
          </w:p>
        </w:tc>
      </w:tr>
      <w:tr>
        <w:trPr/>
        <w:tc>
          <w:tcPr>
            <w:tcW w:w="4305" w:type="dxa"/>
            <w:gridSpan w:val="2"/>
            <w:vMerge w:val="restart"/>
            <w:tcBorders/>
            <w:tcMar>
              <w:top w:w="0" w:type="dxa"/>
              <w:left w:w="0" w:type="dxa"/>
              <w:bottom w:w="0" w:type="dxa"/>
              <w:right w:w="0" w:type="dxa"/>
            </w:tcMar>
            <w:vAlign w:val="center"/>
          </w:tcPr>
          <w:p>
            <w:pPr>
              <w:pStyle w:val="TableContents"/>
              <w:bidi w:val="0"/>
              <w:spacing w:before="0" w:after="0"/>
              <w:ind w:left="120" w:right="0" w:hanging="0"/>
              <w:jc w:val="left"/>
              <w:rPr>
                <w:rFonts w:ascii="Times New Roman" w:hAnsi="Times New Roman"/>
                <w:sz w:val="18"/>
              </w:rPr>
            </w:pPr>
            <w:r>
              <w:rPr>
                <w:rFonts w:ascii="Times New Roman;serif" w:hAnsi="Times New Roman;serif"/>
                <w:b w:val="false"/>
                <w:sz w:val="18"/>
              </w:rPr>
              <w:t xml:space="preserve"> </w:t>
            </w:r>
            <w:r>
              <w:rPr>
                <w:rFonts w:ascii="Arial;sans-serif" w:hAnsi="Arial;sans-serif"/>
                <w:b w:val="false"/>
                <w:sz w:val="18"/>
              </w:rPr>
              <w:t>Clawback policy</w:t>
            </w:r>
          </w:p>
          <w:p>
            <w:pPr>
              <w:pStyle w:val="TableContents"/>
              <w:bidi w:val="0"/>
              <w:spacing w:before="120" w:after="0"/>
              <w:ind w:left="120" w:right="0" w:hanging="0"/>
              <w:jc w:val="left"/>
              <w:rPr>
                <w:rFonts w:ascii="Times New Roman" w:hAnsi="Times New Roman"/>
                <w:sz w:val="18"/>
              </w:rPr>
            </w:pPr>
            <w:r>
              <w:rPr>
                <w:rFonts w:ascii="Times New Roman;serif" w:hAnsi="Times New Roman;serif"/>
                <w:b w:val="false"/>
                <w:sz w:val="18"/>
              </w:rPr>
              <w:t xml:space="preserve"> </w:t>
            </w:r>
            <w:r>
              <w:rPr>
                <w:rFonts w:ascii="Arial;sans-serif" w:hAnsi="Arial;sans-serif"/>
                <w:b w:val="false"/>
                <w:sz w:val="18"/>
              </w:rPr>
              <w:t>Stock ownership guidelines</w:t>
            </w:r>
            <w:r>
              <w:rPr>
                <w:rFonts w:ascii="Times New Roman" w:hAnsi="Times New Roman"/>
                <w:sz w:val="18"/>
              </w:rPr>
              <w:t xml:space="preserve"> </w:t>
            </w:r>
          </w:p>
          <w:p>
            <w:pPr>
              <w:pStyle w:val="TableContents"/>
              <w:bidi w:val="0"/>
              <w:spacing w:before="120" w:after="0"/>
              <w:ind w:left="120" w:right="0" w:hanging="0"/>
              <w:jc w:val="left"/>
              <w:rPr>
                <w:rFonts w:ascii="Times New Roman" w:hAnsi="Times New Roman"/>
                <w:sz w:val="18"/>
              </w:rPr>
            </w:pPr>
            <w:r>
              <w:rPr>
                <w:rFonts w:ascii="Times New Roman;serif" w:hAnsi="Times New Roman;serif"/>
                <w:b w:val="false"/>
                <w:sz w:val="18"/>
              </w:rPr>
              <w:t xml:space="preserve"> </w:t>
            </w:r>
            <w:r>
              <w:rPr>
                <w:rFonts w:ascii="Arial;sans-serif" w:hAnsi="Arial;sans-serif"/>
                <w:b w:val="false"/>
                <w:sz w:val="18"/>
              </w:rPr>
              <w:t>Derivatives trading and hedging policy</w:t>
            </w:r>
          </w:p>
          <w:p>
            <w:pPr>
              <w:pStyle w:val="TableContents"/>
              <w:pBdr/>
              <w:bidi w:val="0"/>
              <w:spacing w:before="120" w:after="60"/>
              <w:ind w:left="120" w:right="0" w:hanging="140"/>
              <w:jc w:val="left"/>
              <w:rPr>
                <w:rFonts w:ascii="Times New Roman" w:hAnsi="Times New Roman"/>
                <w:sz w:val="18"/>
              </w:rPr>
            </w:pPr>
            <w:r>
              <w:rPr>
                <w:rFonts w:ascii="Times New Roman;serif" w:hAnsi="Times New Roman;serif"/>
                <w:b w:val="false"/>
                <w:sz w:val="18"/>
              </w:rPr>
              <w:t xml:space="preserve"> </w:t>
            </w:r>
            <w:r>
              <w:rPr>
                <w:rFonts w:ascii="Arial;sans-serif" w:hAnsi="Arial;sans-serif"/>
                <w:b w:val="false"/>
                <w:sz w:val="18"/>
              </w:rPr>
              <w:t>Annual review of compensation plans and policies</w:t>
            </w:r>
            <w:r>
              <w:rPr>
                <w:rFonts w:ascii="Times New Roman" w:hAnsi="Times New Roman"/>
                <w:sz w:val="18"/>
              </w:rPr>
              <w:t xml:space="preserve"> </w:t>
            </w:r>
          </w:p>
          <w:p>
            <w:pPr>
              <w:pStyle w:val="TableContents"/>
              <w:pBdr/>
              <w:bidi w:val="0"/>
              <w:spacing w:before="120" w:after="60"/>
              <w:ind w:left="120" w:right="0" w:hanging="140"/>
              <w:jc w:val="left"/>
              <w:rPr/>
            </w:pPr>
            <w:r>
              <w:rPr/>
              <w:t>   </w:t>
            </w:r>
            <w:r>
              <w:rPr>
                <w:rFonts w:ascii="Arial;sans-serif" w:hAnsi="Arial;sans-serif"/>
                <w:b w:val="false"/>
                <w:sz w:val="18"/>
              </w:rPr>
              <w:t>includes risk assessment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before="0" w:after="0"/>
              <w:ind w:left="0" w:right="0" w:firstLine="120"/>
              <w:jc w:val="left"/>
              <w:rPr/>
            </w:pPr>
            <w:r>
              <w:rPr/>
              <w:t> </w:t>
            </w:r>
          </w:p>
        </w:tc>
        <w:tc>
          <w:tcPr>
            <w:tcW w:w="4186" w:type="dxa"/>
            <w:vMerge w:val="restart"/>
            <w:tcBorders/>
            <w:tcMar>
              <w:top w:w="0" w:type="dxa"/>
              <w:left w:w="0" w:type="dxa"/>
              <w:bottom w:w="0" w:type="dxa"/>
              <w:right w:w="0" w:type="dxa"/>
            </w:tcMar>
            <w:vAlign w:val="center"/>
          </w:tcPr>
          <w:p>
            <w:pPr>
              <w:pStyle w:val="TableContents"/>
              <w:bidi w:val="0"/>
              <w:spacing w:before="0" w:after="0"/>
              <w:ind w:left="120" w:right="0" w:hanging="0"/>
              <w:jc w:val="left"/>
              <w:rPr>
                <w:rFonts w:ascii="Times New Roman" w:hAnsi="Times New Roman"/>
                <w:sz w:val="18"/>
              </w:rPr>
            </w:pPr>
            <w:r>
              <w:rPr>
                <w:rFonts w:ascii="Times New Roman;serif" w:hAnsi="Times New Roman;serif"/>
                <w:b w:val="false"/>
                <w:sz w:val="18"/>
              </w:rPr>
              <w:t xml:space="preserve"> </w:t>
            </w:r>
            <w:r>
              <w:rPr>
                <w:rFonts w:ascii="Arial;sans-serif" w:hAnsi="Arial;sans-serif"/>
                <w:b w:val="false"/>
                <w:sz w:val="18"/>
              </w:rPr>
              <w:t>Annual say-on-pay advisory vote</w:t>
            </w:r>
          </w:p>
          <w:p>
            <w:pPr>
              <w:pStyle w:val="TableContents"/>
              <w:bidi w:val="0"/>
              <w:spacing w:before="120" w:after="0"/>
              <w:ind w:left="120" w:right="0" w:hanging="0"/>
              <w:jc w:val="left"/>
              <w:rPr>
                <w:rFonts w:ascii="Times New Roman" w:hAnsi="Times New Roman"/>
                <w:sz w:val="18"/>
              </w:rPr>
            </w:pPr>
            <w:r>
              <w:rPr>
                <w:rFonts w:ascii="Times New Roman;serif" w:hAnsi="Times New Roman;serif"/>
                <w:b w:val="false"/>
                <w:sz w:val="18"/>
              </w:rPr>
              <w:t xml:space="preserve"> </w:t>
            </w:r>
            <w:r>
              <w:rPr>
                <w:rFonts w:ascii="Arial;sans-serif" w:hAnsi="Arial;sans-serif"/>
                <w:b w:val="false"/>
                <w:sz w:val="18"/>
              </w:rPr>
              <w:t>Independent compensation consultant</w:t>
            </w:r>
            <w:r>
              <w:rPr>
                <w:rFonts w:ascii="Times New Roman" w:hAnsi="Times New Roman"/>
                <w:sz w:val="18"/>
              </w:rPr>
              <w:t xml:space="preserve"> </w:t>
            </w:r>
          </w:p>
          <w:p>
            <w:pPr>
              <w:pStyle w:val="TableContents"/>
              <w:bidi w:val="0"/>
              <w:spacing w:before="120" w:after="0"/>
              <w:ind w:left="120" w:right="0" w:hanging="0"/>
              <w:jc w:val="left"/>
              <w:rPr>
                <w:rFonts w:ascii="Times New Roman" w:hAnsi="Times New Roman"/>
                <w:sz w:val="18"/>
              </w:rPr>
            </w:pPr>
            <w:r>
              <w:rPr>
                <w:rFonts w:ascii="Times New Roman;serif" w:hAnsi="Times New Roman;serif"/>
                <w:b w:val="false"/>
                <w:sz w:val="18"/>
              </w:rPr>
              <w:t> "</w:t>
            </w:r>
            <w:r>
              <w:rPr>
                <w:rFonts w:ascii="Arial;sans-serif" w:hAnsi="Arial;sans-serif"/>
                <w:b w:val="false"/>
                <w:sz w:val="18"/>
              </w:rPr>
              <w:t>Double trigger" vesting acceleration in the event</w:t>
              <w:br/>
              <w:t>    of a change-in-control</w:t>
            </w:r>
          </w:p>
          <w:p>
            <w:pPr>
              <w:pStyle w:val="TableContents"/>
              <w:pBdr/>
              <w:bidi w:val="0"/>
              <w:spacing w:before="120" w:after="60"/>
              <w:ind w:left="120" w:right="0" w:hanging="140"/>
              <w:jc w:val="left"/>
              <w:rPr>
                <w:rFonts w:ascii="Times New Roman" w:hAnsi="Times New Roman"/>
                <w:sz w:val="18"/>
              </w:rPr>
            </w:pPr>
            <w:r>
              <w:rPr>
                <w:rFonts w:ascii="Times New Roman;serif" w:hAnsi="Times New Roman;serif"/>
                <w:b w:val="false"/>
                <w:sz w:val="18"/>
              </w:rPr>
              <w:t xml:space="preserve"> </w:t>
            </w:r>
            <w:r>
              <w:rPr>
                <w:rFonts w:ascii="Arial;sans-serif" w:hAnsi="Arial;sans-serif"/>
                <w:b w:val="false"/>
                <w:sz w:val="18"/>
              </w:rPr>
              <w:t>No tax gross ups in connection with severance or</w:t>
            </w:r>
          </w:p>
          <w:p>
            <w:pPr>
              <w:pStyle w:val="TableContents"/>
              <w:pBdr/>
              <w:bidi w:val="0"/>
              <w:spacing w:before="120" w:after="60"/>
              <w:ind w:left="120" w:right="0" w:hanging="140"/>
              <w:jc w:val="left"/>
              <w:rPr/>
            </w:pPr>
            <w:r>
              <w:rPr/>
              <w:t>   </w:t>
            </w:r>
            <w:r>
              <w:rPr>
                <w:rFonts w:ascii="Arial;sans-serif" w:hAnsi="Arial;sans-serif"/>
                <w:b w:val="false"/>
                <w:sz w:val="18"/>
              </w:rPr>
              <w:t>change-in control payments</w:t>
            </w:r>
          </w:p>
        </w:tc>
      </w:tr>
      <w:tr>
        <w:trPr/>
        <w:tc>
          <w:tcPr>
            <w:tcW w:w="4305" w:type="dxa"/>
            <w:gridSpan w:val="2"/>
            <w:vMerge w:val="continue"/>
            <w:tcBorders/>
            <w:tcMar>
              <w:top w:w="0" w:type="dxa"/>
              <w:left w:w="0" w:type="dxa"/>
              <w:bottom w:w="0" w:type="dxa"/>
              <w:right w:w="0" w:type="dxa"/>
            </w:tcMar>
            <w:vAlign w:val="center"/>
          </w:tcPr>
          <w:p>
            <w:pPr>
              <w:pStyle w:val="Normal"/>
              <w:bidi w:val="0"/>
              <w:jc w:val="left"/>
              <w:rPr/>
            </w:pPr>
            <w:r>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186" w:type="dxa"/>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120" w:after="0"/>
        <w:jc w:val="both"/>
        <w:rPr>
          <w:rFonts w:ascii="Arial;sans-serif" w:hAnsi="Arial;sans-serif"/>
          <w:b w:val="false"/>
          <w:sz w:val="24"/>
          <w:u w:val="single"/>
        </w:rPr>
      </w:pPr>
      <w:r>
        <w:rPr>
          <w:rFonts w:ascii="Arial;sans-serif" w:hAnsi="Arial;sans-serif"/>
          <w:b w:val="false"/>
          <w:sz w:val="24"/>
          <w:u w:val="single"/>
        </w:rPr>
        <w:t>Say-on-Pay Results</w:t>
      </w:r>
    </w:p>
    <w:p>
      <w:pPr>
        <w:pStyle w:val="TextBody"/>
        <w:bidi w:val="0"/>
        <w:spacing w:before="0" w:after="0"/>
        <w:jc w:val="both"/>
        <w:rPr>
          <w:rFonts w:ascii="Arial;sans-serif" w:hAnsi="Arial;sans-serif"/>
          <w:b w:val="false"/>
          <w:sz w:val="20"/>
        </w:rPr>
      </w:pPr>
      <w:r>
        <w:rPr>
          <w:rFonts w:ascii="Arial;sans-serif" w:hAnsi="Arial;sans-serif"/>
          <w:b w:val="false"/>
          <w:sz w:val="20"/>
        </w:rPr>
        <w:t>At the 2022 Annual Meeting, 95% of the votes cast were in favor of the advisory vote to approve executive compensation. We have recently received high levels of support from our stockholders on advisory votes to approve executive compensation. Based on these high levels of support, the Compensation Committee determined not to make any material changes to our executive compensation program.</w:t>
      </w:r>
    </w:p>
    <w:tbl>
      <w:tblPr>
        <w:tblW w:w="4815" w:type="dxa"/>
        <w:jc w:val="left"/>
        <w:tblInd w:w="0" w:type="dxa"/>
        <w:tblLayout w:type="fixed"/>
        <w:tblCellMar>
          <w:top w:w="28" w:type="dxa"/>
          <w:left w:w="28" w:type="dxa"/>
          <w:bottom w:w="28" w:type="dxa"/>
          <w:right w:w="28" w:type="dxa"/>
        </w:tblCellMar>
      </w:tblPr>
      <w:tblGrid>
        <w:gridCol w:w="2388"/>
        <w:gridCol w:w="2427"/>
      </w:tblGrid>
      <w:tr>
        <w:trPr/>
        <w:tc>
          <w:tcPr>
            <w:tcW w:w="2388"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r>
      <w:tr>
        <w:trPr/>
        <w:tc>
          <w:tcPr>
            <w:tcW w:w="4815" w:type="dxa"/>
            <w:gridSpan w:val="2"/>
            <w:tcBorders/>
            <w:vAlign w:val="center"/>
          </w:tcPr>
          <w:p>
            <w:pPr>
              <w:pStyle w:val="TableContents"/>
              <w:bidi w:val="0"/>
              <w:spacing w:before="0" w:after="0"/>
              <w:ind w:left="0" w:right="0" w:hanging="0"/>
              <w:jc w:val="center"/>
              <w:rPr>
                <w:rFonts w:ascii="Arial;sans-serif" w:hAnsi="Arial;sans-serif"/>
                <w:b/>
                <w:sz w:val="24"/>
              </w:rPr>
            </w:pPr>
            <w:r>
              <w:rPr>
                <w:rFonts w:ascii="Arial;sans-serif" w:hAnsi="Arial;sans-serif"/>
                <w:b/>
                <w:sz w:val="24"/>
              </w:rPr>
              <w:t>Recent Support for Say-on-Pay Proposal</w:t>
            </w:r>
          </w:p>
        </w:tc>
      </w:tr>
      <w:tr>
        <w:trPr/>
        <w:tc>
          <w:tcPr>
            <w:tcW w:w="2388" w:type="dxa"/>
            <w:tcBorders/>
            <w:vAlign w:val="center"/>
          </w:tcPr>
          <w:p>
            <w:pPr>
              <w:pStyle w:val="TableContents"/>
              <w:bidi w:val="0"/>
              <w:spacing w:before="0" w:after="0"/>
              <w:ind w:left="0" w:right="0" w:hanging="0"/>
              <w:jc w:val="center"/>
              <w:rPr>
                <w:rFonts w:ascii="Times New Roman" w:hAnsi="Times New Roman"/>
                <w:sz w:val="36"/>
              </w:rPr>
            </w:pPr>
            <w:r>
              <w:rPr>
                <w:rFonts w:ascii="Arial;sans-serif" w:hAnsi="Arial;sans-serif"/>
                <w:b/>
                <w:sz w:val="36"/>
              </w:rPr>
              <w:t>2021:</w:t>
            </w:r>
            <w:r>
              <w:rPr>
                <w:rFonts w:ascii="Times New Roman" w:hAnsi="Times New Roman"/>
                <w:sz w:val="36"/>
              </w:rPr>
              <w:t xml:space="preserve"> </w:t>
            </w:r>
            <w:r>
              <w:rPr>
                <w:rFonts w:ascii="Arial;sans-serif" w:hAnsi="Arial;sans-serif"/>
                <w:b/>
                <w:sz w:val="36"/>
              </w:rPr>
              <w:t>97%</w:t>
            </w:r>
          </w:p>
        </w:tc>
        <w:tc>
          <w:tcPr>
            <w:tcW w:w="2427" w:type="dxa"/>
            <w:tcBorders/>
            <w:vAlign w:val="center"/>
          </w:tcPr>
          <w:p>
            <w:pPr>
              <w:pStyle w:val="TableContents"/>
              <w:bidi w:val="0"/>
              <w:spacing w:before="0" w:after="0"/>
              <w:ind w:left="0" w:right="0" w:hanging="0"/>
              <w:jc w:val="center"/>
              <w:rPr>
                <w:rFonts w:ascii="Times New Roman" w:hAnsi="Times New Roman"/>
                <w:sz w:val="36"/>
              </w:rPr>
            </w:pPr>
            <w:r>
              <w:rPr>
                <w:rFonts w:ascii="Arial;sans-serif" w:hAnsi="Arial;sans-serif"/>
                <w:b/>
                <w:sz w:val="36"/>
              </w:rPr>
              <w:t>2022:</w:t>
            </w:r>
            <w:r>
              <w:rPr>
                <w:rFonts w:ascii="Times New Roman" w:hAnsi="Times New Roman"/>
                <w:sz w:val="36"/>
              </w:rPr>
              <w:t xml:space="preserve"> </w:t>
            </w:r>
            <w:r>
              <w:rPr>
                <w:rFonts w:ascii="Arial;sans-serif" w:hAnsi="Arial;sans-serif"/>
                <w:b/>
                <w:sz w:val="36"/>
              </w:rPr>
              <w:t>95%</w:t>
            </w:r>
          </w:p>
        </w:tc>
      </w:tr>
    </w:tbl>
    <w:p>
      <w:pPr>
        <w:pStyle w:val="TextBody"/>
        <w:bidi w:val="0"/>
        <w:spacing w:before="0" w:after="0"/>
        <w:jc w:val="both"/>
        <w:rPr/>
      </w:pPr>
      <w:r>
        <w:rPr/>
        <w:t> </w:t>
      </w:r>
    </w:p>
    <w:p>
      <w:pPr>
        <w:pStyle w:val="TextBody"/>
        <w:bidi w:val="0"/>
        <w:spacing w:before="0" w:after="0"/>
        <w:jc w:val="left"/>
        <w:rPr/>
      </w:pPr>
      <w:r>
        <w:rPr/>
        <w:t> </w:t>
      </w:r>
    </w:p>
    <w:tbl>
      <w:tblPr>
        <w:tblW w:w="3762" w:type="dxa"/>
        <w:jc w:val="left"/>
        <w:tblInd w:w="0" w:type="dxa"/>
        <w:tblLayout w:type="fixed"/>
        <w:tblCellMar>
          <w:top w:w="28" w:type="dxa"/>
          <w:left w:w="28" w:type="dxa"/>
          <w:bottom w:w="28" w:type="dxa"/>
          <w:right w:w="28" w:type="dxa"/>
        </w:tblCellMar>
      </w:tblPr>
      <w:tblGrid>
        <w:gridCol w:w="2266"/>
        <w:gridCol w:w="1496"/>
      </w:tblGrid>
      <w:tr>
        <w:trPr/>
        <w:tc>
          <w:tcPr>
            <w:tcW w:w="226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18</w:t>
            </w:r>
            <w:r>
              <w:rPr>
                <w:rFonts w:ascii="Times New Roman" w:hAnsi="Times New Roman"/>
                <w:sz w:val="18"/>
              </w:rPr>
              <w:t> </w:t>
            </w:r>
            <w:r>
              <w:rPr>
                <w:rFonts w:ascii="Arial;sans-serif" w:hAnsi="Arial;sans-serif"/>
                <w:b w:val="false"/>
                <w:sz w:val="18"/>
              </w:rPr>
              <w:t>I 2023 Proxy Statement</w:t>
            </w:r>
          </w:p>
        </w:tc>
        <w:tc>
          <w:tcPr>
            <w:tcW w:w="1496" w:type="dxa"/>
            <w:tcBorders/>
            <w:vAlign w:val="center"/>
          </w:tcPr>
          <w:p>
            <w:pPr>
              <w:pStyle w:val="TableContents"/>
              <w:bidi w:val="0"/>
              <w:spacing w:before="0" w:after="0"/>
              <w:ind w:left="0" w:right="0" w:hanging="0"/>
              <w:jc w:val="right"/>
              <w:rPr/>
            </w:pPr>
            <w:r>
              <w:rPr/>
              <w:drawing>
                <wp:inline distT="0" distB="0" distL="0" distR="0">
                  <wp:extent cx="828675" cy="1905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828675" cy="190500"/>
                          </a:xfrm>
                          <a:prstGeom prst="rect">
                            <a:avLst/>
                          </a:prstGeom>
                        </pic:spPr>
                      </pic:pic>
                    </a:graphicData>
                  </a:graphic>
                </wp:inline>
              </w:drawing>
            </w: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2277" w:type="dxa"/>
        <w:jc w:val="left"/>
        <w:tblInd w:w="0" w:type="dxa"/>
        <w:tblLayout w:type="fixed"/>
        <w:tblCellMar>
          <w:top w:w="28" w:type="dxa"/>
          <w:left w:w="28" w:type="dxa"/>
          <w:bottom w:w="28" w:type="dxa"/>
          <w:right w:w="28" w:type="dxa"/>
        </w:tblCellMar>
      </w:tblPr>
      <w:tblGrid>
        <w:gridCol w:w="2086"/>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Compensation Matters</w:t>
            </w:r>
          </w:p>
        </w:tc>
        <w:tc>
          <w:tcPr>
            <w:tcW w:w="191" w:type="dxa"/>
            <w:tcBorders/>
            <w:vAlign w:val="center"/>
          </w:tcPr>
          <w:p>
            <w:pPr>
              <w:pStyle w:val="TableContents"/>
              <w:bidi w:val="0"/>
              <w:spacing w:before="0" w:after="0"/>
              <w:ind w:left="0" w:right="0" w:hanging="0"/>
              <w:jc w:val="left"/>
              <w:rPr/>
            </w:pPr>
            <w:r>
              <w:rPr/>
              <w:t> </w:t>
            </w:r>
          </w:p>
        </w:tc>
      </w:tr>
      <w:tr>
        <w:trPr/>
        <w:tc>
          <w:tcPr>
            <w:tcW w:w="208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Arial;sans-serif" w:hAnsi="Arial;sans-serif"/>
          <w:b w:val="false"/>
          <w:sz w:val="24"/>
          <w:u w:val="single"/>
        </w:rPr>
        <w:t>Summary of Fiscal 2023 Compensation Program</w:t>
      </w:r>
      <w:r>
        <w:rPr>
          <w:rFonts w:ascii="Times New Roman" w:hAnsi="Times New Roman"/>
          <w:sz w:val="20"/>
        </w:rPr>
        <w:t xml:space="preserve"> </w:t>
      </w:r>
    </w:p>
    <w:p>
      <w:pPr>
        <w:pStyle w:val="TextBody"/>
        <w:bidi w:val="0"/>
        <w:spacing w:before="40" w:after="0"/>
        <w:jc w:val="both"/>
        <w:rPr>
          <w:rFonts w:ascii="Times New Roman" w:hAnsi="Times New Roman"/>
          <w:sz w:val="20"/>
        </w:rPr>
      </w:pPr>
      <w:r>
        <w:rPr>
          <w:rFonts w:ascii="Arial;sans-serif" w:hAnsi="Arial;sans-serif"/>
          <w:b w:val="false"/>
          <w:sz w:val="20"/>
        </w:rPr>
        <w:t>The following highlights aspects of our fiscal 2023 compensation program:</w:t>
      </w:r>
      <w:r>
        <w:rPr>
          <w:rFonts w:ascii="Times New Roman" w:hAnsi="Times New Roman"/>
          <w:sz w:val="20"/>
        </w:rPr>
        <w:t xml:space="preserve"> </w:t>
      </w:r>
    </w:p>
    <w:p>
      <w:pPr>
        <w:pStyle w:val="TextBody"/>
        <w:bidi w:val="0"/>
        <w:spacing w:before="120" w:after="0"/>
        <w:jc w:val="both"/>
        <w:rPr/>
      </w:pPr>
      <w:r>
        <w:rPr/>
        <w:t>•</w:t>
      </w:r>
    </w:p>
    <w:p>
      <w:pPr>
        <w:pStyle w:val="TextBody"/>
        <w:bidi w:val="0"/>
        <w:spacing w:before="120" w:after="0"/>
        <w:jc w:val="both"/>
        <w:rPr/>
      </w:pPr>
      <w:r>
        <w:rPr>
          <w:rFonts w:ascii="Arial;sans-serif" w:hAnsi="Arial;sans-serif"/>
          <w:b/>
          <w:i/>
          <w:sz w:val="20"/>
        </w:rPr>
        <w:t>Base Salary</w:t>
      </w:r>
      <w:r>
        <w:rPr/>
        <w:t xml:space="preserve"> — </w:t>
      </w:r>
      <w:r>
        <w:rPr>
          <w:rFonts w:ascii="Arial;sans-serif" w:hAnsi="Arial;sans-serif"/>
          <w:b w:val="false"/>
          <w:sz w:val="20"/>
        </w:rPr>
        <w:t>Consistent with past practice, in April 2022 the Compensation Committee, with advice from its independent compensation consultant, reviewed the base salaries of our executive officers and compared them with peer group and broad market data. The Compensation Committee adjusted base salary levels to more closely align with comparable positions at our peer group, to reflect additional experience, and to take into account cost-of-living factors. In fiscal 2023, base salary increases for our NEOs ranged from 2.9% to 3.0%.</w:t>
      </w:r>
    </w:p>
    <w:p>
      <w:pPr>
        <w:pStyle w:val="TextBody"/>
        <w:bidi w:val="0"/>
        <w:spacing w:before="120" w:after="0"/>
        <w:jc w:val="both"/>
        <w:rPr/>
      </w:pPr>
      <w:r>
        <w:rPr/>
        <w:t>•</w:t>
      </w:r>
    </w:p>
    <w:p>
      <w:pPr>
        <w:pStyle w:val="TextBody"/>
        <w:bidi w:val="0"/>
        <w:spacing w:before="120" w:after="0"/>
        <w:jc w:val="both"/>
        <w:rPr/>
      </w:pPr>
      <w:r>
        <w:rPr>
          <w:rFonts w:ascii="Arial;sans-serif" w:hAnsi="Arial;sans-serif"/>
          <w:b/>
          <w:i/>
          <w:sz w:val="20"/>
        </w:rPr>
        <w:t>Annual Cash Incentive Bonuses</w:t>
      </w:r>
      <w:r>
        <w:rPr/>
        <w:t xml:space="preserve"> — </w:t>
      </w:r>
      <w:r>
        <w:rPr>
          <w:rFonts w:ascii="Arial;sans-serif" w:hAnsi="Arial;sans-serif"/>
          <w:b w:val="false"/>
          <w:sz w:val="20"/>
        </w:rPr>
        <w:t xml:space="preserve">Our executive annual cash incentive program for fiscal 2023 continued to focus on the achievement of objective annual financial goals; specifically, Net Sales and Adjusted EBITDAS. NEO annual target cash incentive compensation as a percentage of base salary was 100% in the case of our CEO, 75% in the case of our CFO, and 65% for our other NEOs. When setting the financial performance goals at the beginning of fiscal 2022, the Compensation Committee considered the difficult and unpredictable environment for our business and the relative lack of control that our management has over external, social, political, health, and economic factors that impact us. In accordance with our pay-for-performance philosophy, our NEOs received </w:t>
      </w:r>
      <w:r>
        <w:rPr>
          <w:rFonts w:ascii="Arial;sans-serif" w:hAnsi="Arial;sans-serif"/>
          <w:b w:val="false"/>
          <w:sz w:val="20"/>
          <w:u w:val="single"/>
        </w:rPr>
        <w:t>no bonus payment</w:t>
      </w:r>
      <w:r>
        <w:rPr/>
        <w:t xml:space="preserve"> </w:t>
      </w:r>
      <w:r>
        <w:rPr>
          <w:rFonts w:ascii="Arial;sans-serif" w:hAnsi="Arial;sans-serif"/>
          <w:b w:val="false"/>
          <w:sz w:val="20"/>
        </w:rPr>
        <w:t>for fiscal 2023 because we failed to achieve the threshold target for Adjusted EBITDAS.</w:t>
      </w:r>
    </w:p>
    <w:p>
      <w:pPr>
        <w:pStyle w:val="TextBody"/>
        <w:bidi w:val="0"/>
        <w:spacing w:before="120" w:after="0"/>
        <w:jc w:val="both"/>
        <w:rPr/>
      </w:pPr>
      <w:r>
        <w:rPr/>
        <w:t>•</w:t>
      </w:r>
    </w:p>
    <w:p>
      <w:pPr>
        <w:pStyle w:val="TextBody"/>
        <w:bidi w:val="0"/>
        <w:spacing w:before="120" w:after="283"/>
        <w:jc w:val="both"/>
        <w:rPr/>
      </w:pPr>
      <w:r>
        <w:rPr>
          <w:rFonts w:ascii="Arial;sans-serif" w:hAnsi="Arial;sans-serif"/>
          <w:b/>
          <w:i/>
          <w:sz w:val="20"/>
        </w:rPr>
        <w:t>Long-Term Incentive Compensation</w:t>
      </w:r>
      <w:r>
        <w:rPr/>
        <w:t xml:space="preserve"> — </w:t>
      </w:r>
      <w:r>
        <w:rPr>
          <w:rFonts w:ascii="Arial;sans-serif" w:hAnsi="Arial;sans-serif"/>
          <w:b w:val="false"/>
          <w:sz w:val="20"/>
        </w:rPr>
        <w:t>Consistent with past practice, the Compensation Committee granted stock-based awards to our executive officers in fiscal 2023, consisting of a mix of RSUs (40%) and PSUs (60%). The RSUs vest one-fourth following each of the first, second, third, and fourth anniversaries of the grant date. The number of shares of common stock, if any, to be delivered under PSUs depends on the relative performance of our common stock compared with the performance of the Russell 2000 Index (the “RUT”), with a target payout requiring our performance to be higher than the RUT over a three-year period.</w:t>
      </w:r>
    </w:p>
    <w:p>
      <w:pPr>
        <w:pStyle w:val="TextBody"/>
        <w:bidi w:val="0"/>
        <w:spacing w:before="120" w:after="0"/>
        <w:jc w:val="both"/>
        <w:rPr>
          <w:rFonts w:ascii="Times New Roman" w:hAnsi="Times New Roman"/>
          <w:sz w:val="20"/>
        </w:rPr>
      </w:pPr>
      <w:r>
        <w:rPr>
          <w:rFonts w:ascii="Arial;sans-serif" w:hAnsi="Arial;sans-serif"/>
          <w:b w:val="false"/>
          <w:sz w:val="24"/>
          <w:u w:val="single"/>
        </w:rPr>
        <w:t>Factors Affecting Fiscal 2023 Compensation</w:t>
      </w:r>
      <w:r>
        <w:rPr>
          <w:rFonts w:ascii="Times New Roman" w:hAnsi="Times New Roman"/>
          <w:sz w:val="20"/>
        </w:rPr>
        <w:t xml:space="preserve"> </w:t>
      </w:r>
    </w:p>
    <w:p>
      <w:pPr>
        <w:pStyle w:val="TextBody"/>
        <w:bidi w:val="0"/>
        <w:spacing w:before="0" w:after="0"/>
        <w:jc w:val="both"/>
        <w:rPr>
          <w:rFonts w:ascii="Arial;sans-serif" w:hAnsi="Arial;sans-serif"/>
          <w:b w:val="false"/>
          <w:sz w:val="20"/>
        </w:rPr>
      </w:pPr>
      <w:r>
        <w:rPr>
          <w:rFonts w:ascii="Arial;sans-serif" w:hAnsi="Arial;sans-serif"/>
          <w:b w:val="false"/>
          <w:sz w:val="20"/>
        </w:rPr>
        <w:t>Historically, the firearm industry has been very cyclical, with past expansions and contractions driven, in large part, by unpredictable political, economic, social, legislative, and regulatory factors beyond the control of industry participants and their management teams. For example, we experienced historic levels of demand for our products in parts of fiscal 2021 and fiscal 2022, in part, as a result of the impact of COVID-19 and the social unrest experienced in the United States during the summer of 2020. Since then, demand for our products has returned to more normalized levels, which adversely impacted our year-over-year financial and operating results in fiscal 2023.</w:t>
      </w:r>
    </w:p>
    <w:p>
      <w:pPr>
        <w:pStyle w:val="TextBody"/>
        <w:bidi w:val="0"/>
        <w:spacing w:before="120" w:after="0"/>
        <w:jc w:val="both"/>
        <w:rPr>
          <w:rFonts w:ascii="Arial;sans-serif" w:hAnsi="Arial;sans-serif"/>
          <w:b/>
          <w:sz w:val="28"/>
        </w:rPr>
      </w:pPr>
      <w:r>
        <w:rPr>
          <w:rFonts w:ascii="Arial;sans-serif" w:hAnsi="Arial;sans-serif"/>
          <w:b/>
          <w:sz w:val="28"/>
        </w:rPr>
        <w:t>EXECUTIVE COMPENSATION PROGRAM OVERVIEW</w:t>
      </w:r>
    </w:p>
    <w:p>
      <w:pPr>
        <w:pStyle w:val="TextBody"/>
        <w:bidi w:val="0"/>
        <w:spacing w:before="120" w:after="0"/>
        <w:jc w:val="both"/>
        <w:rPr>
          <w:rFonts w:ascii="Arial;sans-serif" w:hAnsi="Arial;sans-serif"/>
          <w:b w:val="false"/>
          <w:sz w:val="24"/>
          <w:u w:val="single"/>
        </w:rPr>
      </w:pPr>
      <w:r>
        <w:rPr>
          <w:rFonts w:ascii="Arial;sans-serif" w:hAnsi="Arial;sans-serif"/>
          <w:b w:val="false"/>
          <w:sz w:val="24"/>
          <w:u w:val="single"/>
        </w:rPr>
        <w:t>Philosophy and Objectives</w:t>
      </w:r>
    </w:p>
    <w:p>
      <w:pPr>
        <w:pStyle w:val="TextBody"/>
        <w:bidi w:val="0"/>
        <w:spacing w:before="0" w:after="0"/>
        <w:jc w:val="both"/>
        <w:rPr>
          <w:rFonts w:ascii="Times New Roman" w:hAnsi="Times New Roman"/>
          <w:sz w:val="20"/>
        </w:rPr>
      </w:pPr>
      <w:r>
        <w:rPr>
          <w:rFonts w:ascii="Arial;sans-serif" w:hAnsi="Arial;sans-serif"/>
          <w:b w:val="false"/>
          <w:sz w:val="20"/>
        </w:rPr>
        <w:t>Our executive compensation philosophy is to pay base salaries to our executive officers at levels that, in the context of unfavorable industry factors beyond the control of management, enable us to attract, motivate, and retain highly qualified executives. Our executive compensation program is designed to link annual performance-based cash incentive compensation to the achievement of pre-established performance objectives, based primarily on our financial results. Similarly, our executive compensation program is designed so that stock-based compensation focuses our executive officers’ efforts on increasing stockholder value by aligning their economic interests with those of our stockholders.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Total compensation levels for our executive officers reflect corporate positions, responsibilities, and the achievement of performance objectives. Due to our pay-for-performance philosophy, realized compensation levels may vary significantly from year-to-year and among our executive officers.</w:t>
      </w:r>
    </w:p>
    <w:p>
      <w:pPr>
        <w:pStyle w:val="TextBody"/>
        <w:bidi w:val="0"/>
        <w:spacing w:before="0" w:after="0"/>
        <w:jc w:val="left"/>
        <w:rPr/>
      </w:pPr>
      <w:r>
        <w:rPr/>
        <w:t> </w:t>
      </w:r>
    </w:p>
    <w:tbl>
      <w:tblPr>
        <w:tblW w:w="3762" w:type="dxa"/>
        <w:jc w:val="left"/>
        <w:tblInd w:w="0" w:type="dxa"/>
        <w:tblLayout w:type="fixed"/>
        <w:tblCellMar>
          <w:top w:w="28" w:type="dxa"/>
          <w:left w:w="28" w:type="dxa"/>
          <w:bottom w:w="28" w:type="dxa"/>
          <w:right w:w="28" w:type="dxa"/>
        </w:tblCellMar>
      </w:tblPr>
      <w:tblGrid>
        <w:gridCol w:w="2266"/>
        <w:gridCol w:w="1496"/>
      </w:tblGrid>
      <w:tr>
        <w:trPr/>
        <w:tc>
          <w:tcPr>
            <w:tcW w:w="226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19</w:t>
            </w:r>
            <w:r>
              <w:rPr>
                <w:rFonts w:ascii="Times New Roman" w:hAnsi="Times New Roman"/>
                <w:sz w:val="18"/>
              </w:rPr>
              <w:t> </w:t>
            </w:r>
            <w:r>
              <w:rPr>
                <w:rFonts w:ascii="Arial;sans-serif" w:hAnsi="Arial;sans-serif"/>
                <w:b w:val="false"/>
                <w:sz w:val="18"/>
              </w:rPr>
              <w:t>I 2023 Proxy Statement</w:t>
            </w:r>
          </w:p>
        </w:tc>
        <w:tc>
          <w:tcPr>
            <w:tcW w:w="1496" w:type="dxa"/>
            <w:tcBorders/>
            <w:vAlign w:val="center"/>
          </w:tcPr>
          <w:p>
            <w:pPr>
              <w:pStyle w:val="TableContents"/>
              <w:bidi w:val="0"/>
              <w:spacing w:before="0" w:after="0"/>
              <w:ind w:left="0" w:right="0" w:hanging="0"/>
              <w:jc w:val="right"/>
              <w:rPr/>
            </w:pPr>
            <w:r>
              <w:rPr/>
              <w:drawing>
                <wp:inline distT="0" distB="0" distL="0" distR="0">
                  <wp:extent cx="828675" cy="1905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828675" cy="190500"/>
                          </a:xfrm>
                          <a:prstGeom prst="rect">
                            <a:avLst/>
                          </a:prstGeom>
                        </pic:spPr>
                      </pic:pic>
                    </a:graphicData>
                  </a:graphic>
                </wp:inline>
              </w:drawing>
            </w: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2277" w:type="dxa"/>
        <w:jc w:val="left"/>
        <w:tblInd w:w="0" w:type="dxa"/>
        <w:tblLayout w:type="fixed"/>
        <w:tblCellMar>
          <w:top w:w="28" w:type="dxa"/>
          <w:left w:w="28" w:type="dxa"/>
          <w:bottom w:w="28" w:type="dxa"/>
          <w:right w:w="28" w:type="dxa"/>
        </w:tblCellMar>
      </w:tblPr>
      <w:tblGrid>
        <w:gridCol w:w="2086"/>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Compensation Matters</w:t>
            </w:r>
          </w:p>
        </w:tc>
        <w:tc>
          <w:tcPr>
            <w:tcW w:w="191" w:type="dxa"/>
            <w:tcBorders/>
            <w:vAlign w:val="center"/>
          </w:tcPr>
          <w:p>
            <w:pPr>
              <w:pStyle w:val="TableContents"/>
              <w:bidi w:val="0"/>
              <w:spacing w:before="0" w:after="0"/>
              <w:ind w:left="0" w:right="0" w:hanging="0"/>
              <w:jc w:val="left"/>
              <w:rPr/>
            </w:pPr>
            <w:r>
              <w:rPr/>
              <w:t> </w:t>
            </w:r>
          </w:p>
        </w:tc>
      </w:tr>
      <w:tr>
        <w:trPr/>
        <w:tc>
          <w:tcPr>
            <w:tcW w:w="208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both"/>
        <w:rPr>
          <w:rFonts w:ascii="Arial;sans-serif" w:hAnsi="Arial;sans-serif"/>
          <w:b w:val="false"/>
          <w:sz w:val="24"/>
          <w:u w:val="single"/>
        </w:rPr>
      </w:pPr>
      <w:r>
        <w:rPr>
          <w:rFonts w:ascii="Arial;sans-serif" w:hAnsi="Arial;sans-serif"/>
          <w:b w:val="false"/>
          <w:sz w:val="24"/>
          <w:u w:val="single"/>
        </w:rPr>
        <w:t>Goals</w:t>
      </w:r>
    </w:p>
    <w:p>
      <w:pPr>
        <w:pStyle w:val="TextBody"/>
        <w:bidi w:val="0"/>
        <w:spacing w:before="0" w:after="0"/>
        <w:jc w:val="both"/>
        <w:rPr>
          <w:rFonts w:ascii="Arial;sans-serif" w:hAnsi="Arial;sans-serif"/>
          <w:b w:val="false"/>
          <w:sz w:val="20"/>
        </w:rPr>
      </w:pPr>
      <w:r>
        <w:rPr>
          <w:rFonts w:ascii="Arial;sans-serif" w:hAnsi="Arial;sans-serif"/>
          <w:b w:val="false"/>
          <w:sz w:val="20"/>
        </w:rPr>
        <w:t>Our executive compensation program’s objectives include:</w:t>
      </w:r>
    </w:p>
    <w:p>
      <w:pPr>
        <w:pStyle w:val="TextBody"/>
        <w:bidi w:val="0"/>
        <w:spacing w:before="240" w:after="0"/>
        <w:jc w:val="both"/>
        <w:rPr/>
      </w:pPr>
      <w:r>
        <w:rPr/>
        <w:t>•</w:t>
      </w:r>
    </w:p>
    <w:p>
      <w:pPr>
        <w:pStyle w:val="TextBody"/>
        <w:bidi w:val="0"/>
        <w:spacing w:before="240" w:after="0"/>
        <w:jc w:val="both"/>
        <w:rPr>
          <w:rFonts w:ascii="Arial;sans-serif" w:hAnsi="Arial;sans-serif"/>
          <w:b w:val="false"/>
          <w:sz w:val="20"/>
        </w:rPr>
      </w:pPr>
      <w:r>
        <w:rPr>
          <w:rFonts w:ascii="Arial;sans-serif" w:hAnsi="Arial;sans-serif"/>
          <w:b w:val="false"/>
          <w:sz w:val="20"/>
        </w:rPr>
        <w:t>Attracting, motivating, and retaining highly qualified executives, especially in the context of challenging business conditions.</w:t>
      </w:r>
    </w:p>
    <w:p>
      <w:pPr>
        <w:pStyle w:val="TextBody"/>
        <w:bidi w:val="0"/>
        <w:spacing w:before="240" w:after="0"/>
        <w:jc w:val="both"/>
        <w:rPr/>
      </w:pPr>
      <w:r>
        <w:rPr/>
        <w:t>•</w:t>
      </w:r>
    </w:p>
    <w:p>
      <w:pPr>
        <w:pStyle w:val="TextBody"/>
        <w:bidi w:val="0"/>
        <w:spacing w:before="240" w:after="0"/>
        <w:jc w:val="both"/>
        <w:rPr>
          <w:rFonts w:ascii="Arial;sans-serif" w:hAnsi="Arial;sans-serif"/>
          <w:b w:val="false"/>
          <w:sz w:val="20"/>
        </w:rPr>
      </w:pPr>
      <w:r>
        <w:rPr>
          <w:rFonts w:ascii="Arial;sans-serif" w:hAnsi="Arial;sans-serif"/>
          <w:b w:val="false"/>
          <w:sz w:val="20"/>
        </w:rPr>
        <w:t>Reflecting our culture and approach to total rewards, which include health and welfare benefits, a safe work environment, and professional development opportunities.</w:t>
      </w:r>
    </w:p>
    <w:p>
      <w:pPr>
        <w:pStyle w:val="TextBody"/>
        <w:bidi w:val="0"/>
        <w:spacing w:before="240" w:after="0"/>
        <w:jc w:val="both"/>
        <w:rPr/>
      </w:pPr>
      <w:r>
        <w:rPr/>
        <w:t>•</w:t>
      </w:r>
    </w:p>
    <w:p>
      <w:pPr>
        <w:pStyle w:val="TextBody"/>
        <w:bidi w:val="0"/>
        <w:spacing w:before="240" w:after="0"/>
        <w:jc w:val="both"/>
        <w:rPr>
          <w:rFonts w:ascii="Arial;sans-serif" w:hAnsi="Arial;sans-serif"/>
          <w:b w:val="false"/>
          <w:sz w:val="20"/>
        </w:rPr>
      </w:pPr>
      <w:r>
        <w:rPr>
          <w:rFonts w:ascii="Arial;sans-serif" w:hAnsi="Arial;sans-serif"/>
          <w:b w:val="false"/>
          <w:sz w:val="20"/>
        </w:rPr>
        <w:t>Reflecting our “pay-for-performance” philosophy.</w:t>
      </w:r>
    </w:p>
    <w:p>
      <w:pPr>
        <w:pStyle w:val="TextBody"/>
        <w:bidi w:val="0"/>
        <w:spacing w:before="240" w:after="0"/>
        <w:jc w:val="both"/>
        <w:rPr/>
      </w:pPr>
      <w:r>
        <w:rPr/>
        <w:t>•</w:t>
      </w:r>
    </w:p>
    <w:p>
      <w:pPr>
        <w:pStyle w:val="TextBody"/>
        <w:bidi w:val="0"/>
        <w:spacing w:before="240" w:after="0"/>
        <w:jc w:val="both"/>
        <w:rPr>
          <w:rFonts w:ascii="Arial;sans-serif" w:hAnsi="Arial;sans-serif"/>
          <w:b w:val="false"/>
          <w:sz w:val="20"/>
        </w:rPr>
      </w:pPr>
      <w:r>
        <w:rPr>
          <w:rFonts w:ascii="Arial;sans-serif" w:hAnsi="Arial;sans-serif"/>
          <w:b w:val="false"/>
          <w:sz w:val="20"/>
        </w:rPr>
        <w:t>Providing a rational and consistent approach to compensation that is understood by senior leadership.</w:t>
      </w:r>
    </w:p>
    <w:p>
      <w:pPr>
        <w:pStyle w:val="TextBody"/>
        <w:bidi w:val="0"/>
        <w:spacing w:before="240" w:after="0"/>
        <w:jc w:val="both"/>
        <w:rPr/>
      </w:pPr>
      <w:r>
        <w:rPr/>
        <w:t>•</w:t>
      </w:r>
    </w:p>
    <w:p>
      <w:pPr>
        <w:pStyle w:val="TextBody"/>
        <w:bidi w:val="0"/>
        <w:spacing w:before="240" w:after="0"/>
        <w:jc w:val="both"/>
        <w:rPr>
          <w:rFonts w:ascii="Arial;sans-serif" w:hAnsi="Arial;sans-serif"/>
          <w:b w:val="false"/>
          <w:sz w:val="20"/>
        </w:rPr>
      </w:pPr>
      <w:r>
        <w:rPr>
          <w:rFonts w:ascii="Arial;sans-serif" w:hAnsi="Arial;sans-serif"/>
          <w:b w:val="false"/>
          <w:sz w:val="20"/>
        </w:rPr>
        <w:t>Aligning compensation with our interests, as well as those of our stockholders.</w:t>
      </w:r>
    </w:p>
    <w:p>
      <w:pPr>
        <w:pStyle w:val="TextBody"/>
        <w:bidi w:val="0"/>
        <w:spacing w:before="240" w:after="0"/>
        <w:jc w:val="both"/>
        <w:rPr/>
      </w:pPr>
      <w:r>
        <w:rPr/>
        <w:t>•</w:t>
      </w:r>
    </w:p>
    <w:p>
      <w:pPr>
        <w:pStyle w:val="TextBody"/>
        <w:bidi w:val="0"/>
        <w:spacing w:before="240" w:after="283"/>
        <w:jc w:val="both"/>
        <w:rPr>
          <w:rFonts w:ascii="Arial;sans-serif" w:hAnsi="Arial;sans-serif"/>
          <w:b w:val="false"/>
          <w:sz w:val="20"/>
        </w:rPr>
      </w:pPr>
      <w:r>
        <w:rPr>
          <w:rFonts w:ascii="Arial;sans-serif" w:hAnsi="Arial;sans-serif"/>
          <w:b w:val="false"/>
          <w:sz w:val="20"/>
        </w:rPr>
        <w:t>Recognizing corporate stewardship and fiscal responsibility.</w:t>
      </w:r>
    </w:p>
    <w:p>
      <w:pPr>
        <w:pStyle w:val="TextBody"/>
        <w:bidi w:val="0"/>
        <w:spacing w:before="360" w:after="0"/>
        <w:jc w:val="both"/>
        <w:rPr>
          <w:rFonts w:ascii="Arial;sans-serif" w:hAnsi="Arial;sans-serif"/>
          <w:b/>
          <w:sz w:val="28"/>
        </w:rPr>
      </w:pPr>
      <w:r>
        <w:rPr>
          <w:rFonts w:ascii="Arial;sans-serif" w:hAnsi="Arial;sans-serif"/>
          <w:b/>
          <w:sz w:val="28"/>
        </w:rPr>
        <w:t>ADMINISTRATION</w:t>
      </w:r>
    </w:p>
    <w:p>
      <w:pPr>
        <w:pStyle w:val="TextBody"/>
        <w:bidi w:val="0"/>
        <w:spacing w:before="0" w:after="0"/>
        <w:jc w:val="both"/>
        <w:rPr>
          <w:rFonts w:ascii="Arial;sans-serif" w:hAnsi="Arial;sans-serif"/>
          <w:b w:val="false"/>
          <w:sz w:val="20"/>
        </w:rPr>
      </w:pPr>
      <w:r>
        <w:rPr>
          <w:rFonts w:ascii="Arial;sans-serif" w:hAnsi="Arial;sans-serif"/>
          <w:b w:val="false"/>
          <w:sz w:val="20"/>
        </w:rPr>
        <w:t>The Board has appointed a Compensation Committee, consisting exclusively of independent directors. The charter of the Compensation Committee authorizes the Compensation Committee to determine and approve, or to make recommendations to the Board with respect to, the compensation of our CEO and other executive officers. The Board has authorized the Compensation Committee to make all decisions with respect to executive compensation. Among other things, the Compensation Committee is authorized to determine and approve the base salary of our CEO and other executive officers. Additionally, the Compensation Committee establishes annual cash and stock-based incentive compensation programs for our CEO and other executive officers and provides our executives with variable compensation opportunities, a majority of which is based on the achievement of key operating measures determined at the beginning of the fiscal year. Once the Compensation Committee determines key operating measures for the upcoming fiscal year, the measures generally are not subject to material changes during the fiscal year. The Compensation Committee, with advice from its independent compensation consultant, also determines the compensation of our directors.</w:t>
      </w:r>
    </w:p>
    <w:p>
      <w:pPr>
        <w:pStyle w:val="TextBody"/>
        <w:bidi w:val="0"/>
        <w:spacing w:before="240" w:after="0"/>
        <w:jc w:val="both"/>
        <w:rPr>
          <w:rFonts w:ascii="Arial;sans-serif" w:hAnsi="Arial;sans-serif"/>
          <w:b w:val="false"/>
          <w:sz w:val="24"/>
          <w:u w:val="single"/>
        </w:rPr>
      </w:pPr>
      <w:r>
        <w:rPr>
          <w:rFonts w:ascii="Arial;sans-serif" w:hAnsi="Arial;sans-serif"/>
          <w:b w:val="false"/>
          <w:sz w:val="24"/>
          <w:u w:val="single"/>
        </w:rPr>
        <w:t>Role of the Compensation Committee and our CEO</w:t>
      </w:r>
    </w:p>
    <w:p>
      <w:pPr>
        <w:pStyle w:val="TextBody"/>
        <w:bidi w:val="0"/>
        <w:spacing w:before="0" w:after="0"/>
        <w:jc w:val="both"/>
        <w:rPr>
          <w:rFonts w:ascii="Arial;sans-serif" w:hAnsi="Arial;sans-serif"/>
          <w:b w:val="false"/>
          <w:sz w:val="20"/>
        </w:rPr>
      </w:pPr>
      <w:r>
        <w:rPr>
          <w:rFonts w:ascii="Arial;sans-serif" w:hAnsi="Arial;sans-serif"/>
          <w:b w:val="false"/>
          <w:sz w:val="20"/>
        </w:rPr>
        <w:t>The Compensation Committee determines the compensation of our executive officers, including our CEO, at least annually in light of the goals and objectives of that fiscal year’s compensation program. Together with our CEO, the Compensation Committee annually assesses the performance of our other executive officers. After receiving recommendations from our CEO, the Compensation Committee, with input from its independent compensation consultant, determines the compensation of our other executive officers.</w:t>
      </w:r>
    </w:p>
    <w:p>
      <w:pPr>
        <w:pStyle w:val="TextBody"/>
        <w:bidi w:val="0"/>
        <w:spacing w:before="240" w:after="0"/>
        <w:jc w:val="both"/>
        <w:rPr>
          <w:rFonts w:ascii="Arial;sans-serif" w:hAnsi="Arial;sans-serif"/>
          <w:b w:val="false"/>
          <w:sz w:val="20"/>
        </w:rPr>
      </w:pPr>
      <w:r>
        <w:rPr>
          <w:rFonts w:ascii="Arial;sans-serif" w:hAnsi="Arial;sans-serif"/>
          <w:b w:val="false"/>
          <w:sz w:val="20"/>
        </w:rPr>
        <w:t>In determining executive officer compensation levels, the Compensation Committee periodically reviews compensation levels of executives of companies deemed to be generally similar to ours based on their size, industry, and competitive factors. The Compensation Committee uses this peer group information, as well as published executive compensation survey data from a broader group of companies with similar revenue to ours, as points of reference; however, the Compensation Committee does not benchmark or target our compensation levels to a specific percentile against this competitive information.</w:t>
      </w:r>
    </w:p>
    <w:p>
      <w:pPr>
        <w:pStyle w:val="TextBody"/>
        <w:bidi w:val="0"/>
        <w:spacing w:before="240" w:after="0"/>
        <w:jc w:val="both"/>
        <w:rPr>
          <w:rFonts w:ascii="Arial;sans-serif" w:hAnsi="Arial;sans-serif"/>
          <w:b w:val="false"/>
          <w:sz w:val="20"/>
        </w:rPr>
      </w:pPr>
      <w:r>
        <w:rPr>
          <w:rFonts w:ascii="Arial;sans-serif" w:hAnsi="Arial;sans-serif"/>
          <w:b w:val="false"/>
          <w:sz w:val="20"/>
        </w:rPr>
        <w:t>At the invitation of the Compensation Committee, our CEO may attend portions of Compensation Committee meetings, except those at which his compensation is discussed or determined. This enables the Compensation Committee to review with him the goals that he regards as important to achieving our success and to receive his assessment of the performance of, and goals for, our other executive officers. However, the Compensation Committee, with the assistance of its independent compensation consultant, rather than our CEO, determines goals, targets, and compensation for our other executives.</w:t>
      </w:r>
    </w:p>
    <w:p>
      <w:pPr>
        <w:pStyle w:val="TextBody"/>
        <w:bidi w:val="0"/>
        <w:spacing w:before="0" w:after="0"/>
        <w:jc w:val="left"/>
        <w:rPr/>
      </w:pPr>
      <w:r>
        <w:rPr/>
        <w:t> </w:t>
      </w:r>
    </w:p>
    <w:tbl>
      <w:tblPr>
        <w:tblW w:w="3762" w:type="dxa"/>
        <w:jc w:val="left"/>
        <w:tblInd w:w="0" w:type="dxa"/>
        <w:tblLayout w:type="fixed"/>
        <w:tblCellMar>
          <w:top w:w="28" w:type="dxa"/>
          <w:left w:w="28" w:type="dxa"/>
          <w:bottom w:w="28" w:type="dxa"/>
          <w:right w:w="28" w:type="dxa"/>
        </w:tblCellMar>
      </w:tblPr>
      <w:tblGrid>
        <w:gridCol w:w="2266"/>
        <w:gridCol w:w="1496"/>
      </w:tblGrid>
      <w:tr>
        <w:trPr/>
        <w:tc>
          <w:tcPr>
            <w:tcW w:w="226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20</w:t>
            </w:r>
            <w:r>
              <w:rPr>
                <w:rFonts w:ascii="Times New Roman" w:hAnsi="Times New Roman"/>
                <w:sz w:val="18"/>
              </w:rPr>
              <w:t> </w:t>
            </w:r>
            <w:r>
              <w:rPr>
                <w:rFonts w:ascii="Arial;sans-serif" w:hAnsi="Arial;sans-serif"/>
                <w:b w:val="false"/>
                <w:sz w:val="18"/>
              </w:rPr>
              <w:t>I 2023 Proxy Statement</w:t>
            </w:r>
          </w:p>
        </w:tc>
        <w:tc>
          <w:tcPr>
            <w:tcW w:w="1496" w:type="dxa"/>
            <w:tcBorders/>
            <w:vAlign w:val="center"/>
          </w:tcPr>
          <w:p>
            <w:pPr>
              <w:pStyle w:val="TableContents"/>
              <w:bidi w:val="0"/>
              <w:spacing w:before="0" w:after="0"/>
              <w:ind w:left="0" w:right="0" w:hanging="0"/>
              <w:jc w:val="right"/>
              <w:rPr/>
            </w:pPr>
            <w:r>
              <w:rPr/>
              <w:drawing>
                <wp:inline distT="0" distB="0" distL="0" distR="0">
                  <wp:extent cx="828675" cy="1905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828675" cy="190500"/>
                          </a:xfrm>
                          <a:prstGeom prst="rect">
                            <a:avLst/>
                          </a:prstGeom>
                        </pic:spPr>
                      </pic:pic>
                    </a:graphicData>
                  </a:graphic>
                </wp:inline>
              </w:drawing>
            </w: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2277" w:type="dxa"/>
        <w:jc w:val="left"/>
        <w:tblInd w:w="0" w:type="dxa"/>
        <w:tblLayout w:type="fixed"/>
        <w:tblCellMar>
          <w:top w:w="28" w:type="dxa"/>
          <w:left w:w="28" w:type="dxa"/>
          <w:bottom w:w="28" w:type="dxa"/>
          <w:right w:w="28" w:type="dxa"/>
        </w:tblCellMar>
      </w:tblPr>
      <w:tblGrid>
        <w:gridCol w:w="2086"/>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Compensation Matters</w:t>
            </w:r>
          </w:p>
        </w:tc>
        <w:tc>
          <w:tcPr>
            <w:tcW w:w="191" w:type="dxa"/>
            <w:tcBorders/>
            <w:vAlign w:val="center"/>
          </w:tcPr>
          <w:p>
            <w:pPr>
              <w:pStyle w:val="TableContents"/>
              <w:bidi w:val="0"/>
              <w:spacing w:before="0" w:after="0"/>
              <w:ind w:left="0" w:right="0" w:hanging="0"/>
              <w:jc w:val="left"/>
              <w:rPr/>
            </w:pPr>
            <w:r>
              <w:rPr/>
              <w:t> </w:t>
            </w:r>
          </w:p>
        </w:tc>
      </w:tr>
      <w:tr>
        <w:trPr/>
        <w:tc>
          <w:tcPr>
            <w:tcW w:w="208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both"/>
        <w:rPr>
          <w:rFonts w:ascii="Arial;sans-serif" w:hAnsi="Arial;sans-serif"/>
          <w:b w:val="false"/>
          <w:sz w:val="24"/>
          <w:u w:val="single"/>
        </w:rPr>
      </w:pPr>
      <w:r>
        <w:rPr>
          <w:rFonts w:ascii="Arial;sans-serif" w:hAnsi="Arial;sans-serif"/>
          <w:b w:val="false"/>
          <w:sz w:val="24"/>
          <w:u w:val="single"/>
        </w:rPr>
        <w:t>Role of the Independent Compensation Consultant</w:t>
      </w:r>
    </w:p>
    <w:p>
      <w:pPr>
        <w:pStyle w:val="TextBody"/>
        <w:bidi w:val="0"/>
        <w:spacing w:before="0" w:after="0"/>
        <w:jc w:val="both"/>
        <w:rPr>
          <w:rFonts w:ascii="Arial;sans-serif" w:hAnsi="Arial;sans-serif"/>
          <w:b w:val="false"/>
          <w:sz w:val="20"/>
        </w:rPr>
      </w:pPr>
      <w:r>
        <w:rPr>
          <w:rFonts w:ascii="Arial;sans-serif" w:hAnsi="Arial;sans-serif"/>
          <w:b w:val="false"/>
          <w:sz w:val="20"/>
        </w:rPr>
        <w:t>The Compensation Committee has sole discretion to retain a compensation consultant and is directly responsible for the appointment, compensation, and oversight of the work of the compensation consultant. The Compensation Committee retains a compensation consultant to assist in setting the design and goals of the executive compensation program, to review trends in executive compensation, to identify relevant peer companies, and to conduct an assessment and analysis of executive market compensation. The compensation consultant reports directly to the Compensation Committee.</w:t>
      </w:r>
    </w:p>
    <w:p>
      <w:pPr>
        <w:pStyle w:val="TextBody"/>
        <w:bidi w:val="0"/>
        <w:spacing w:before="240" w:after="0"/>
        <w:jc w:val="both"/>
        <w:rPr>
          <w:rFonts w:ascii="Arial;sans-serif" w:hAnsi="Arial;sans-serif"/>
          <w:b w:val="false"/>
          <w:sz w:val="20"/>
        </w:rPr>
      </w:pPr>
      <w:r>
        <w:rPr>
          <w:rFonts w:ascii="Arial;sans-serif" w:hAnsi="Arial;sans-serif"/>
          <w:b w:val="false"/>
          <w:sz w:val="20"/>
        </w:rPr>
        <w:t>Compensia, Inc. served as the Compensation Committee’s independent compensation consultant for fiscal 2023. For fiscal 2023, the compensation consultant identified for the Compensation Committee peer group companies, provided a compensation assessment and analysis of those companies, determined the positioning of each executive officer’s compensation by element among the peer companies and the survey data, developed recommendations and guidelines for the structure of our executive compensation program, reviewed the overall compensation package, and advised the Compensation Committee regarding the appropriateness of our executive compensation program. In addressing Compensia’s independence in light of applicable SEC rules and Nasdaq standards, the Compensation Committee considered relevant factors and concluded that Compensia is independent and the engagement would not raise any conflicts of interest under the applicable rules and standards.</w:t>
      </w:r>
    </w:p>
    <w:p>
      <w:pPr>
        <w:pStyle w:val="TextBody"/>
        <w:bidi w:val="0"/>
        <w:spacing w:before="240" w:after="0"/>
        <w:jc w:val="both"/>
        <w:rPr>
          <w:rFonts w:ascii="Arial;sans-serif" w:hAnsi="Arial;sans-serif"/>
          <w:b w:val="false"/>
          <w:sz w:val="24"/>
          <w:u w:val="single"/>
        </w:rPr>
      </w:pPr>
      <w:r>
        <w:rPr>
          <w:rFonts w:ascii="Arial;sans-serif" w:hAnsi="Arial;sans-serif"/>
          <w:b w:val="false"/>
          <w:sz w:val="24"/>
          <w:u w:val="single"/>
        </w:rPr>
        <w:t>Peer Group for Fiscal 2023</w:t>
      </w:r>
    </w:p>
    <w:p>
      <w:pPr>
        <w:pStyle w:val="TextBody"/>
        <w:bidi w:val="0"/>
        <w:spacing w:before="0" w:after="0"/>
        <w:jc w:val="both"/>
        <w:rPr>
          <w:rFonts w:ascii="Times New Roman" w:hAnsi="Times New Roman"/>
          <w:sz w:val="20"/>
        </w:rPr>
      </w:pPr>
      <w:r>
        <w:rPr>
          <w:rFonts w:ascii="Arial;sans-serif" w:hAnsi="Arial;sans-serif"/>
          <w:b w:val="false"/>
          <w:sz w:val="20"/>
        </w:rPr>
        <w:t>The Compensation Committee’s independent compensation consultant identified for the Compensation Committee a peer group for fiscal 2023. In selecting peer companies for the Compensation Committee’s final review, the consultant identified companies deemed generally relevant to us with a focus on those involved in durables and apparel and consumer products companies, especially those with high dollar value products. The consultant then supplemented the list with companies involved in manufacturing. Within these industries, the consultant used a “rules-based” approach to select companies based on similar financial characteristics; specifically, it targeted companies with revenue from approximately $500 million to $2 billion and a market capitalization from approximately $300 million to $3 billion. The consultant proposed, and the Compensation Committee adopted, a number of changes to the peer group for fiscal 2023 in order to improve our alignment with the peer group’s median revenue and market capitalization selection criteria. Specifically, the Compensation Committee added three companies (Lifetime Brands, Inc., OneWater Marine Inc., and Quannex Building Products Corp.) to the peer group for fiscal 2023 and removed three other companies (Callaway Golf Company, National Presto Industries, and NN, Inc.).</w:t>
      </w:r>
      <w:r>
        <w:rPr>
          <w:rFonts w:ascii="Times New Roman" w:hAnsi="Times New Roman"/>
          <w:sz w:val="20"/>
        </w:rPr>
        <w:t xml:space="preserve"> </w:t>
      </w:r>
    </w:p>
    <w:p>
      <w:pPr>
        <w:pStyle w:val="TextBody"/>
        <w:bidi w:val="0"/>
        <w:spacing w:before="0" w:after="0"/>
        <w:jc w:val="both"/>
        <w:rPr/>
      </w:pPr>
      <w:r>
        <w:rPr/>
        <w:t> </w:t>
      </w:r>
    </w:p>
    <w:tbl>
      <w:tblPr>
        <w:tblW w:w="6287" w:type="dxa"/>
        <w:jc w:val="left"/>
        <w:tblInd w:w="0" w:type="dxa"/>
        <w:tblLayout w:type="fixed"/>
        <w:tblCellMar>
          <w:top w:w="28" w:type="dxa"/>
          <w:left w:w="28" w:type="dxa"/>
          <w:bottom w:w="28" w:type="dxa"/>
          <w:right w:w="28" w:type="dxa"/>
        </w:tblCellMar>
      </w:tblPr>
      <w:tblGrid>
        <w:gridCol w:w="3151"/>
        <w:gridCol w:w="3136"/>
      </w:tblGrid>
      <w:tr>
        <w:trPr/>
        <w:tc>
          <w:tcPr>
            <w:tcW w:w="3151"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6287" w:type="dxa"/>
            <w:gridSpan w:val="2"/>
            <w:tcBorders/>
            <w:vAlign w:val="center"/>
          </w:tcPr>
          <w:p>
            <w:pPr>
              <w:pStyle w:val="TableContents"/>
              <w:bidi w:val="0"/>
              <w:spacing w:before="0" w:after="0"/>
              <w:ind w:left="0" w:right="0" w:firstLine="90"/>
              <w:jc w:val="both"/>
              <w:rPr>
                <w:rFonts w:ascii="Arial;sans-serif" w:hAnsi="Arial;sans-serif"/>
                <w:b/>
                <w:sz w:val="20"/>
              </w:rPr>
            </w:pPr>
            <w:r>
              <w:rPr>
                <w:rFonts w:ascii="Arial;sans-serif" w:hAnsi="Arial;sans-serif"/>
                <w:b/>
                <w:sz w:val="20"/>
              </w:rPr>
              <w:t>Fiscal 2023 Peer Group</w:t>
            </w:r>
          </w:p>
        </w:tc>
      </w:tr>
      <w:tr>
        <w:trPr/>
        <w:tc>
          <w:tcPr>
            <w:tcW w:w="3151" w:type="dxa"/>
            <w:tcBorders/>
            <w:vAlign w:val="center"/>
          </w:tcPr>
          <w:p>
            <w:pPr>
              <w:pStyle w:val="TableContents"/>
              <w:bidi w:val="0"/>
              <w:spacing w:before="60" w:after="60"/>
              <w:ind w:left="90" w:right="0" w:hanging="0"/>
              <w:jc w:val="both"/>
              <w:rPr>
                <w:rFonts w:ascii="Arial;sans-serif" w:hAnsi="Arial;sans-serif"/>
                <w:b w:val="false"/>
                <w:sz w:val="20"/>
              </w:rPr>
            </w:pPr>
            <w:r>
              <w:rPr>
                <w:rFonts w:ascii="Arial;sans-serif" w:hAnsi="Arial;sans-serif"/>
                <w:b w:val="false"/>
                <w:sz w:val="20"/>
              </w:rPr>
              <w:t>Ethan Allen Interiors, Inc.</w:t>
            </w:r>
          </w:p>
        </w:tc>
        <w:tc>
          <w:tcPr>
            <w:tcW w:w="3136" w:type="dxa"/>
            <w:tcBorders/>
            <w:vAlign w:val="center"/>
          </w:tcPr>
          <w:p>
            <w:pPr>
              <w:pStyle w:val="TableContents"/>
              <w:bidi w:val="0"/>
              <w:spacing w:before="60" w:after="60"/>
              <w:ind w:left="0" w:right="0" w:firstLine="90"/>
              <w:jc w:val="both"/>
              <w:rPr>
                <w:rFonts w:ascii="Arial;sans-serif" w:hAnsi="Arial;sans-serif"/>
                <w:b w:val="false"/>
                <w:sz w:val="20"/>
              </w:rPr>
            </w:pPr>
            <w:r>
              <w:rPr>
                <w:rFonts w:ascii="Arial;sans-serif" w:hAnsi="Arial;sans-serif"/>
                <w:b w:val="false"/>
                <w:sz w:val="20"/>
              </w:rPr>
              <w:t>Movado Group, Inc.</w:t>
            </w:r>
          </w:p>
        </w:tc>
      </w:tr>
      <w:tr>
        <w:trPr/>
        <w:tc>
          <w:tcPr>
            <w:tcW w:w="3151" w:type="dxa"/>
            <w:tcBorders/>
            <w:vAlign w:val="center"/>
          </w:tcPr>
          <w:p>
            <w:pPr>
              <w:pStyle w:val="TableContents"/>
              <w:bidi w:val="0"/>
              <w:spacing w:before="60" w:after="60"/>
              <w:ind w:left="90" w:right="0" w:hanging="0"/>
              <w:jc w:val="both"/>
              <w:rPr>
                <w:rFonts w:ascii="Arial;sans-serif" w:hAnsi="Arial;sans-serif"/>
                <w:b w:val="false"/>
                <w:sz w:val="20"/>
              </w:rPr>
            </w:pPr>
            <w:r>
              <w:rPr>
                <w:rFonts w:ascii="Arial;sans-serif" w:hAnsi="Arial;sans-serif"/>
                <w:b w:val="false"/>
                <w:sz w:val="20"/>
              </w:rPr>
              <w:t>Go Pro, Inc.</w:t>
            </w:r>
          </w:p>
        </w:tc>
        <w:tc>
          <w:tcPr>
            <w:tcW w:w="3136" w:type="dxa"/>
            <w:tcBorders/>
            <w:vAlign w:val="center"/>
          </w:tcPr>
          <w:p>
            <w:pPr>
              <w:pStyle w:val="TableContents"/>
              <w:bidi w:val="0"/>
              <w:spacing w:before="0" w:after="0"/>
              <w:ind w:left="0" w:right="0" w:firstLine="90"/>
              <w:jc w:val="left"/>
              <w:rPr>
                <w:rFonts w:ascii="Arial;sans-serif" w:hAnsi="Arial;sans-serif"/>
                <w:b w:val="false"/>
                <w:sz w:val="20"/>
              </w:rPr>
            </w:pPr>
            <w:r>
              <w:rPr>
                <w:rFonts w:ascii="Arial;sans-serif" w:hAnsi="Arial;sans-serif"/>
                <w:b w:val="false"/>
                <w:sz w:val="20"/>
              </w:rPr>
              <w:t>OneWater Marine Inc.</w:t>
            </w:r>
          </w:p>
        </w:tc>
      </w:tr>
      <w:tr>
        <w:trPr/>
        <w:tc>
          <w:tcPr>
            <w:tcW w:w="3151" w:type="dxa"/>
            <w:tcBorders/>
            <w:vAlign w:val="center"/>
          </w:tcPr>
          <w:p>
            <w:pPr>
              <w:pStyle w:val="TableContents"/>
              <w:bidi w:val="0"/>
              <w:spacing w:before="60" w:after="60"/>
              <w:ind w:left="90" w:right="0" w:hanging="0"/>
              <w:jc w:val="both"/>
              <w:rPr>
                <w:rFonts w:ascii="Times New Roman" w:hAnsi="Times New Roman"/>
                <w:sz w:val="20"/>
              </w:rPr>
            </w:pPr>
            <w:r>
              <w:rPr>
                <w:rFonts w:ascii="Arial;sans-serif" w:hAnsi="Arial;sans-serif"/>
                <w:b w:val="false"/>
                <w:sz w:val="20"/>
              </w:rPr>
              <w:t>Haverty Furniture Companies, Inc.</w:t>
            </w:r>
            <w:r>
              <w:rPr>
                <w:rFonts w:ascii="Times New Roman" w:hAnsi="Times New Roman"/>
                <w:sz w:val="20"/>
              </w:rPr>
              <w:t xml:space="preserve"> </w:t>
            </w:r>
          </w:p>
        </w:tc>
        <w:tc>
          <w:tcPr>
            <w:tcW w:w="3136" w:type="dxa"/>
            <w:tcBorders/>
            <w:vAlign w:val="center"/>
          </w:tcPr>
          <w:p>
            <w:pPr>
              <w:pStyle w:val="TableContents"/>
              <w:bidi w:val="0"/>
              <w:spacing w:before="0" w:after="0"/>
              <w:ind w:left="0" w:right="0" w:firstLine="90"/>
              <w:jc w:val="left"/>
              <w:rPr>
                <w:rFonts w:ascii="Arial;sans-serif" w:hAnsi="Arial;sans-serif"/>
                <w:b w:val="false"/>
                <w:sz w:val="20"/>
              </w:rPr>
            </w:pPr>
            <w:r>
              <w:rPr>
                <w:rFonts w:ascii="Arial;sans-serif" w:hAnsi="Arial;sans-serif"/>
                <w:b w:val="false"/>
                <w:sz w:val="20"/>
              </w:rPr>
              <w:t>Quanex Building Products Corp.</w:t>
            </w:r>
          </w:p>
        </w:tc>
      </w:tr>
      <w:tr>
        <w:trPr/>
        <w:tc>
          <w:tcPr>
            <w:tcW w:w="3151" w:type="dxa"/>
            <w:tcBorders/>
            <w:vAlign w:val="center"/>
          </w:tcPr>
          <w:p>
            <w:pPr>
              <w:pStyle w:val="TableContents"/>
              <w:bidi w:val="0"/>
              <w:spacing w:before="60" w:after="60"/>
              <w:ind w:left="90" w:right="0" w:hanging="0"/>
              <w:jc w:val="both"/>
              <w:rPr>
                <w:rFonts w:ascii="Arial;sans-serif" w:hAnsi="Arial;sans-serif"/>
                <w:b w:val="false"/>
                <w:sz w:val="20"/>
              </w:rPr>
            </w:pPr>
            <w:r>
              <w:rPr>
                <w:rFonts w:ascii="Arial;sans-serif" w:hAnsi="Arial;sans-serif"/>
                <w:b w:val="false"/>
                <w:sz w:val="20"/>
              </w:rPr>
              <w:t>Hooker Furniture Corporation</w:t>
            </w:r>
          </w:p>
        </w:tc>
        <w:tc>
          <w:tcPr>
            <w:tcW w:w="3136" w:type="dxa"/>
            <w:tcBorders/>
            <w:vAlign w:val="center"/>
          </w:tcPr>
          <w:p>
            <w:pPr>
              <w:pStyle w:val="TableContents"/>
              <w:bidi w:val="0"/>
              <w:spacing w:before="60" w:after="60"/>
              <w:ind w:left="0" w:right="0" w:firstLine="90"/>
              <w:jc w:val="both"/>
              <w:rPr>
                <w:rFonts w:ascii="Arial;sans-serif" w:hAnsi="Arial;sans-serif"/>
                <w:b w:val="false"/>
                <w:sz w:val="20"/>
              </w:rPr>
            </w:pPr>
            <w:r>
              <w:rPr>
                <w:rFonts w:ascii="Arial;sans-serif" w:hAnsi="Arial;sans-serif"/>
                <w:b w:val="false"/>
                <w:sz w:val="20"/>
              </w:rPr>
              <w:t>Standard Motor Products</w:t>
            </w:r>
          </w:p>
        </w:tc>
      </w:tr>
      <w:tr>
        <w:trPr/>
        <w:tc>
          <w:tcPr>
            <w:tcW w:w="3151" w:type="dxa"/>
            <w:tcBorders/>
            <w:vAlign w:val="center"/>
          </w:tcPr>
          <w:p>
            <w:pPr>
              <w:pStyle w:val="TableContents"/>
              <w:bidi w:val="0"/>
              <w:spacing w:before="60" w:after="60"/>
              <w:ind w:left="90" w:right="0" w:hanging="0"/>
              <w:jc w:val="both"/>
              <w:rPr>
                <w:rFonts w:ascii="Arial;sans-serif" w:hAnsi="Arial;sans-serif"/>
                <w:b w:val="false"/>
                <w:sz w:val="20"/>
              </w:rPr>
            </w:pPr>
            <w:r>
              <w:rPr>
                <w:rFonts w:ascii="Arial;sans-serif" w:hAnsi="Arial;sans-serif"/>
                <w:b w:val="false"/>
                <w:sz w:val="20"/>
              </w:rPr>
              <w:t>iRobot Corporation</w:t>
            </w:r>
          </w:p>
        </w:tc>
        <w:tc>
          <w:tcPr>
            <w:tcW w:w="3136" w:type="dxa"/>
            <w:tcBorders/>
            <w:vAlign w:val="center"/>
          </w:tcPr>
          <w:p>
            <w:pPr>
              <w:pStyle w:val="TableContents"/>
              <w:bidi w:val="0"/>
              <w:spacing w:before="60" w:after="60"/>
              <w:ind w:left="0" w:right="0" w:firstLine="90"/>
              <w:jc w:val="both"/>
              <w:rPr>
                <w:rFonts w:ascii="Arial;sans-serif" w:hAnsi="Arial;sans-serif"/>
                <w:b w:val="false"/>
                <w:sz w:val="20"/>
              </w:rPr>
            </w:pPr>
            <w:r>
              <w:rPr>
                <w:rFonts w:ascii="Arial;sans-serif" w:hAnsi="Arial;sans-serif"/>
                <w:b w:val="false"/>
                <w:sz w:val="20"/>
              </w:rPr>
              <w:t>Standex International Corporation</w:t>
            </w:r>
          </w:p>
        </w:tc>
      </w:tr>
      <w:tr>
        <w:trPr/>
        <w:tc>
          <w:tcPr>
            <w:tcW w:w="3151" w:type="dxa"/>
            <w:tcBorders/>
            <w:vAlign w:val="center"/>
          </w:tcPr>
          <w:p>
            <w:pPr>
              <w:pStyle w:val="TableContents"/>
              <w:bidi w:val="0"/>
              <w:spacing w:before="60" w:after="60"/>
              <w:ind w:left="90" w:right="0" w:hanging="0"/>
              <w:jc w:val="both"/>
              <w:rPr>
                <w:rFonts w:ascii="Arial;sans-serif" w:hAnsi="Arial;sans-serif"/>
                <w:b w:val="false"/>
                <w:sz w:val="20"/>
              </w:rPr>
            </w:pPr>
            <w:r>
              <w:rPr>
                <w:rFonts w:ascii="Arial;sans-serif" w:hAnsi="Arial;sans-serif"/>
                <w:b w:val="false"/>
                <w:sz w:val="20"/>
              </w:rPr>
              <w:t>Johnson Outdoors Inc.</w:t>
            </w:r>
          </w:p>
        </w:tc>
        <w:tc>
          <w:tcPr>
            <w:tcW w:w="3136" w:type="dxa"/>
            <w:tcBorders/>
            <w:vAlign w:val="center"/>
          </w:tcPr>
          <w:p>
            <w:pPr>
              <w:pStyle w:val="TableContents"/>
              <w:bidi w:val="0"/>
              <w:spacing w:before="60" w:after="60"/>
              <w:ind w:left="0" w:right="0" w:hanging="0"/>
              <w:jc w:val="both"/>
              <w:rPr>
                <w:rFonts w:ascii="Arial;sans-serif" w:hAnsi="Arial;sans-serif"/>
                <w:b w:val="false"/>
                <w:sz w:val="20"/>
              </w:rPr>
            </w:pPr>
            <w:r>
              <w:rPr>
                <w:rFonts w:ascii="Arial;sans-serif" w:hAnsi="Arial;sans-serif"/>
                <w:b w:val="false"/>
                <w:sz w:val="20"/>
              </w:rPr>
              <w:t>Stoneridge, Inc.</w:t>
            </w:r>
          </w:p>
        </w:tc>
      </w:tr>
      <w:tr>
        <w:trPr/>
        <w:tc>
          <w:tcPr>
            <w:tcW w:w="3151" w:type="dxa"/>
            <w:tcBorders/>
            <w:vAlign w:val="center"/>
          </w:tcPr>
          <w:p>
            <w:pPr>
              <w:pStyle w:val="TableContents"/>
              <w:bidi w:val="0"/>
              <w:spacing w:before="0" w:after="0"/>
              <w:ind w:left="0" w:right="0" w:hanging="0"/>
              <w:jc w:val="left"/>
              <w:rPr/>
            </w:pPr>
            <w:r>
              <w:rPr/>
              <w:t>  </w:t>
            </w:r>
            <w:r>
              <w:rPr>
                <w:rFonts w:ascii="Arial;sans-serif" w:hAnsi="Arial;sans-serif"/>
                <w:b w:val="false"/>
                <w:sz w:val="20"/>
              </w:rPr>
              <w:t>Lifetime Brands, Inc.</w:t>
            </w:r>
          </w:p>
        </w:tc>
        <w:tc>
          <w:tcPr>
            <w:tcW w:w="3136" w:type="dxa"/>
            <w:tcBorders/>
            <w:vAlign w:val="center"/>
          </w:tcPr>
          <w:p>
            <w:pPr>
              <w:pStyle w:val="TableContents"/>
              <w:bidi w:val="0"/>
              <w:spacing w:before="60" w:after="60"/>
              <w:ind w:left="0" w:right="0" w:firstLine="90"/>
              <w:jc w:val="both"/>
              <w:rPr>
                <w:rFonts w:ascii="Arial;sans-serif" w:hAnsi="Arial;sans-serif"/>
                <w:b w:val="false"/>
                <w:sz w:val="20"/>
              </w:rPr>
            </w:pPr>
            <w:r>
              <w:rPr>
                <w:rFonts w:ascii="Arial;sans-serif" w:hAnsi="Arial;sans-serif"/>
                <w:b w:val="false"/>
                <w:sz w:val="20"/>
              </w:rPr>
              <w:t>Sturm, Ruger &amp; Company, Inc.</w:t>
            </w:r>
          </w:p>
        </w:tc>
      </w:tr>
      <w:tr>
        <w:trPr/>
        <w:tc>
          <w:tcPr>
            <w:tcW w:w="3151" w:type="dxa"/>
            <w:tcBorders/>
            <w:vAlign w:val="center"/>
          </w:tcPr>
          <w:p>
            <w:pPr>
              <w:pStyle w:val="TableContents"/>
              <w:bidi w:val="0"/>
              <w:spacing w:before="60" w:after="60"/>
              <w:ind w:left="90" w:right="0" w:hanging="0"/>
              <w:jc w:val="both"/>
              <w:rPr>
                <w:rFonts w:ascii="Arial;sans-serif" w:hAnsi="Arial;sans-serif"/>
                <w:b w:val="false"/>
                <w:sz w:val="20"/>
              </w:rPr>
            </w:pPr>
            <w:r>
              <w:rPr>
                <w:rFonts w:ascii="Arial;sans-serif" w:hAnsi="Arial;sans-serif"/>
                <w:b w:val="false"/>
                <w:sz w:val="20"/>
              </w:rPr>
              <w:t>Malibu Boats, Inc.</w:t>
            </w:r>
          </w:p>
        </w:tc>
        <w:tc>
          <w:tcPr>
            <w:tcW w:w="3136" w:type="dxa"/>
            <w:tcBorders/>
            <w:vAlign w:val="center"/>
          </w:tcPr>
          <w:p>
            <w:pPr>
              <w:pStyle w:val="TableContents"/>
              <w:bidi w:val="0"/>
              <w:spacing w:before="60" w:after="60"/>
              <w:ind w:left="0" w:right="0" w:firstLine="90"/>
              <w:jc w:val="both"/>
              <w:rPr>
                <w:rFonts w:ascii="Arial;sans-serif" w:hAnsi="Arial;sans-serif"/>
                <w:b w:val="false"/>
                <w:sz w:val="20"/>
              </w:rPr>
            </w:pPr>
            <w:r>
              <w:rPr>
                <w:rFonts w:ascii="Arial;sans-serif" w:hAnsi="Arial;sans-serif"/>
                <w:b w:val="false"/>
                <w:sz w:val="20"/>
              </w:rPr>
              <w:t>Universal Electronics Inc.</w:t>
            </w:r>
          </w:p>
        </w:tc>
      </w:tr>
      <w:tr>
        <w:trPr/>
        <w:tc>
          <w:tcPr>
            <w:tcW w:w="3151" w:type="dxa"/>
            <w:tcBorders/>
            <w:vAlign w:val="center"/>
          </w:tcPr>
          <w:p>
            <w:pPr>
              <w:pStyle w:val="TableContents"/>
              <w:bidi w:val="0"/>
              <w:spacing w:before="60" w:after="60"/>
              <w:ind w:left="90" w:right="0" w:hanging="0"/>
              <w:jc w:val="both"/>
              <w:rPr>
                <w:rFonts w:ascii="Arial;sans-serif" w:hAnsi="Arial;sans-serif"/>
                <w:b w:val="false"/>
                <w:sz w:val="20"/>
              </w:rPr>
            </w:pPr>
            <w:r>
              <w:rPr>
                <w:rFonts w:ascii="Arial;sans-serif" w:hAnsi="Arial;sans-serif"/>
                <w:b w:val="false"/>
                <w:sz w:val="20"/>
              </w:rPr>
              <w:t>MarineMax, Inc.</w:t>
            </w:r>
          </w:p>
        </w:tc>
        <w:tc>
          <w:tcPr>
            <w:tcW w:w="3136" w:type="dxa"/>
            <w:tcBorders/>
            <w:vAlign w:val="center"/>
          </w:tcPr>
          <w:p>
            <w:pPr>
              <w:pStyle w:val="TableContents"/>
              <w:bidi w:val="0"/>
              <w:spacing w:before="60" w:after="60"/>
              <w:ind w:left="0" w:right="0" w:firstLine="90"/>
              <w:jc w:val="both"/>
              <w:rPr>
                <w:rFonts w:ascii="Arial;sans-serif" w:hAnsi="Arial;sans-serif"/>
                <w:b w:val="false"/>
                <w:sz w:val="20"/>
              </w:rPr>
            </w:pPr>
            <w:r>
              <w:rPr>
                <w:rFonts w:ascii="Arial;sans-serif" w:hAnsi="Arial;sans-serif"/>
                <w:b w:val="false"/>
                <w:sz w:val="20"/>
              </w:rPr>
              <w:t>Vista Outdoor Inc.</w:t>
            </w:r>
          </w:p>
        </w:tc>
      </w:tr>
      <w:tr>
        <w:trPr/>
        <w:tc>
          <w:tcPr>
            <w:tcW w:w="3151" w:type="dxa"/>
            <w:tcBorders/>
            <w:vAlign w:val="center"/>
          </w:tcPr>
          <w:p>
            <w:pPr>
              <w:pStyle w:val="TableContents"/>
              <w:bidi w:val="0"/>
              <w:spacing w:before="60" w:after="60"/>
              <w:ind w:left="90" w:right="0" w:hanging="0"/>
              <w:jc w:val="both"/>
              <w:rPr>
                <w:rFonts w:ascii="Arial;sans-serif" w:hAnsi="Arial;sans-serif"/>
                <w:b w:val="false"/>
                <w:sz w:val="20"/>
              </w:rPr>
            </w:pPr>
            <w:r>
              <w:rPr>
                <w:rFonts w:ascii="Arial;sans-serif" w:hAnsi="Arial;sans-serif"/>
                <w:b w:val="false"/>
                <w:sz w:val="20"/>
              </w:rPr>
              <w:t>MasterCraft Boat Holdings, Inc.</w:t>
            </w:r>
          </w:p>
        </w:tc>
        <w:tc>
          <w:tcPr>
            <w:tcW w:w="3136" w:type="dxa"/>
            <w:tcBorders/>
            <w:vAlign w:val="center"/>
          </w:tcPr>
          <w:p>
            <w:pPr>
              <w:pStyle w:val="TableContents"/>
              <w:bidi w:val="0"/>
              <w:spacing w:before="60" w:after="60"/>
              <w:ind w:left="0" w:right="0" w:firstLine="90"/>
              <w:jc w:val="both"/>
              <w:rPr>
                <w:rFonts w:ascii="Arial;sans-serif" w:hAnsi="Arial;sans-serif"/>
                <w:b w:val="false"/>
                <w:sz w:val="20"/>
              </w:rPr>
            </w:pPr>
            <w:r>
              <w:rPr>
                <w:rFonts w:ascii="Arial;sans-serif" w:hAnsi="Arial;sans-serif"/>
                <w:b w:val="false"/>
                <w:sz w:val="20"/>
              </w:rPr>
              <w:t>Wolverine World Wide, Inc.</w:t>
            </w:r>
          </w:p>
        </w:tc>
      </w:tr>
      <w:tr>
        <w:trPr/>
        <w:tc>
          <w:tcPr>
            <w:tcW w:w="3151" w:type="dxa"/>
            <w:tcBorders/>
            <w:vAlign w:val="center"/>
          </w:tcPr>
          <w:p>
            <w:pPr>
              <w:pStyle w:val="TableContents"/>
              <w:bidi w:val="0"/>
              <w:spacing w:before="60" w:after="60"/>
              <w:ind w:left="90" w:right="0" w:hanging="0"/>
              <w:jc w:val="both"/>
              <w:rPr>
                <w:rFonts w:ascii="Arial;sans-serif" w:hAnsi="Arial;sans-serif"/>
                <w:b w:val="false"/>
                <w:sz w:val="20"/>
              </w:rPr>
            </w:pPr>
            <w:r>
              <w:rPr>
                <w:rFonts w:ascii="Arial;sans-serif" w:hAnsi="Arial;sans-serif"/>
                <w:b w:val="false"/>
                <w:sz w:val="20"/>
              </w:rPr>
              <w:t>Motorcar Parts of America, Inc.</w:t>
            </w:r>
          </w:p>
        </w:tc>
        <w:tc>
          <w:tcPr>
            <w:tcW w:w="3136" w:type="dxa"/>
            <w:tcBorders/>
            <w:vAlign w:val="center"/>
          </w:tcPr>
          <w:p>
            <w:pPr>
              <w:pStyle w:val="TableContents"/>
              <w:bidi w:val="0"/>
              <w:spacing w:before="60" w:after="60"/>
              <w:ind w:left="0" w:right="0" w:hanging="0"/>
              <w:jc w:val="both"/>
              <w:rPr/>
            </w:pPr>
            <w:r>
              <w:rPr/>
              <w:t> </w:t>
            </w:r>
          </w:p>
        </w:tc>
      </w:tr>
    </w:tbl>
    <w:p>
      <w:pPr>
        <w:pStyle w:val="TextBody"/>
        <w:bidi w:val="0"/>
        <w:spacing w:before="0" w:after="0"/>
        <w:jc w:val="both"/>
        <w:rPr/>
      </w:pPr>
      <w:r>
        <w:rPr/>
        <w:t> </w:t>
      </w:r>
    </w:p>
    <w:p>
      <w:pPr>
        <w:pStyle w:val="TextBody"/>
        <w:bidi w:val="0"/>
        <w:spacing w:before="0" w:after="0"/>
        <w:jc w:val="left"/>
        <w:rPr/>
      </w:pPr>
      <w:r>
        <w:rPr/>
        <w:t> </w:t>
      </w:r>
    </w:p>
    <w:tbl>
      <w:tblPr>
        <w:tblW w:w="3762" w:type="dxa"/>
        <w:jc w:val="left"/>
        <w:tblInd w:w="0" w:type="dxa"/>
        <w:tblLayout w:type="fixed"/>
        <w:tblCellMar>
          <w:top w:w="28" w:type="dxa"/>
          <w:left w:w="28" w:type="dxa"/>
          <w:bottom w:w="28" w:type="dxa"/>
          <w:right w:w="28" w:type="dxa"/>
        </w:tblCellMar>
      </w:tblPr>
      <w:tblGrid>
        <w:gridCol w:w="2266"/>
        <w:gridCol w:w="1496"/>
      </w:tblGrid>
      <w:tr>
        <w:trPr/>
        <w:tc>
          <w:tcPr>
            <w:tcW w:w="226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21</w:t>
            </w:r>
            <w:r>
              <w:rPr>
                <w:rFonts w:ascii="Times New Roman" w:hAnsi="Times New Roman"/>
                <w:sz w:val="18"/>
              </w:rPr>
              <w:t> </w:t>
            </w:r>
            <w:r>
              <w:rPr>
                <w:rFonts w:ascii="Arial;sans-serif" w:hAnsi="Arial;sans-serif"/>
                <w:b w:val="false"/>
                <w:sz w:val="18"/>
              </w:rPr>
              <w:t>I 2023 Proxy Statement</w:t>
            </w:r>
          </w:p>
        </w:tc>
        <w:tc>
          <w:tcPr>
            <w:tcW w:w="1496" w:type="dxa"/>
            <w:tcBorders/>
            <w:vAlign w:val="center"/>
          </w:tcPr>
          <w:p>
            <w:pPr>
              <w:pStyle w:val="TableContents"/>
              <w:bidi w:val="0"/>
              <w:spacing w:before="0" w:after="0"/>
              <w:ind w:left="0" w:right="0" w:hanging="0"/>
              <w:jc w:val="right"/>
              <w:rPr/>
            </w:pPr>
            <w:r>
              <w:rPr/>
              <w:drawing>
                <wp:inline distT="0" distB="0" distL="0" distR="0">
                  <wp:extent cx="828675" cy="1905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828675" cy="190500"/>
                          </a:xfrm>
                          <a:prstGeom prst="rect">
                            <a:avLst/>
                          </a:prstGeom>
                        </pic:spPr>
                      </pic:pic>
                    </a:graphicData>
                  </a:graphic>
                </wp:inline>
              </w:drawing>
            </w: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2277" w:type="dxa"/>
        <w:jc w:val="left"/>
        <w:tblInd w:w="0" w:type="dxa"/>
        <w:tblLayout w:type="fixed"/>
        <w:tblCellMar>
          <w:top w:w="28" w:type="dxa"/>
          <w:left w:w="28" w:type="dxa"/>
          <w:bottom w:w="28" w:type="dxa"/>
          <w:right w:w="28" w:type="dxa"/>
        </w:tblCellMar>
      </w:tblPr>
      <w:tblGrid>
        <w:gridCol w:w="2086"/>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Compensation Matters</w:t>
            </w:r>
          </w:p>
        </w:tc>
        <w:tc>
          <w:tcPr>
            <w:tcW w:w="191" w:type="dxa"/>
            <w:tcBorders/>
            <w:vAlign w:val="center"/>
          </w:tcPr>
          <w:p>
            <w:pPr>
              <w:pStyle w:val="TableContents"/>
              <w:bidi w:val="0"/>
              <w:spacing w:before="0" w:after="0"/>
              <w:ind w:left="0" w:right="0" w:hanging="0"/>
              <w:jc w:val="left"/>
              <w:rPr/>
            </w:pPr>
            <w:r>
              <w:rPr/>
              <w:t> </w:t>
            </w:r>
          </w:p>
        </w:tc>
      </w:tr>
      <w:tr>
        <w:trPr/>
        <w:tc>
          <w:tcPr>
            <w:tcW w:w="208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both"/>
        <w:rPr>
          <w:rFonts w:ascii="Arial;sans-serif" w:hAnsi="Arial;sans-serif"/>
          <w:b/>
          <w:sz w:val="28"/>
        </w:rPr>
      </w:pPr>
      <w:r>
        <w:rPr>
          <w:rFonts w:ascii="Arial;sans-serif" w:hAnsi="Arial;sans-serif"/>
          <w:b/>
          <w:sz w:val="28"/>
        </w:rPr>
        <w:t>COMPENSATION ELEMENTS</w:t>
      </w:r>
    </w:p>
    <w:p>
      <w:pPr>
        <w:pStyle w:val="TextBody"/>
        <w:bidi w:val="0"/>
        <w:spacing w:before="0" w:after="0"/>
        <w:jc w:val="both"/>
        <w:rPr>
          <w:rFonts w:ascii="Arial;sans-serif" w:hAnsi="Arial;sans-serif"/>
          <w:b w:val="false"/>
          <w:sz w:val="20"/>
        </w:rPr>
      </w:pPr>
      <w:r>
        <w:rPr>
          <w:rFonts w:ascii="Arial;sans-serif" w:hAnsi="Arial;sans-serif"/>
          <w:b w:val="false"/>
          <w:sz w:val="20"/>
        </w:rPr>
        <w:t>Our executive compensation program consists primarily of base salary, annual performance-based cash incentive compensation opportunities, stock-based compensation, and severance benefits, together with health and welfare benefits generally available to most employees and our other executives, and limited perquisites. The Compensation Committee considers each element of compensation individually and collectively with other elements of compensation when establishing the various forms, elements, and levels of compensation for our executive officers.</w:t>
      </w:r>
    </w:p>
    <w:p>
      <w:pPr>
        <w:pStyle w:val="TextBody"/>
        <w:bidi w:val="0"/>
        <w:spacing w:before="240" w:after="0"/>
        <w:jc w:val="both"/>
        <w:rPr>
          <w:rFonts w:ascii="Arial;sans-serif" w:hAnsi="Arial;sans-serif"/>
          <w:b w:val="false"/>
          <w:sz w:val="20"/>
        </w:rPr>
      </w:pPr>
      <w:r>
        <w:rPr>
          <w:rFonts w:ascii="Arial;sans-serif" w:hAnsi="Arial;sans-serif"/>
          <w:b w:val="false"/>
          <w:sz w:val="20"/>
        </w:rPr>
        <w:t>Our fiscal 2023 executive compensation program included the following direct compensation components: base salary, annual performance-based cash incentives, and stock-based compensation.</w:t>
      </w:r>
    </w:p>
    <w:p>
      <w:pPr>
        <w:pStyle w:val="TextBody"/>
        <w:bidi w:val="0"/>
        <w:spacing w:before="0" w:after="0"/>
        <w:jc w:val="both"/>
        <w:rPr/>
      </w:pPr>
      <w:r>
        <w:rPr/>
        <w:t> </w:t>
      </w:r>
    </w:p>
    <w:tbl>
      <w:tblPr>
        <w:tblW w:w="8885" w:type="dxa"/>
        <w:jc w:val="left"/>
        <w:tblInd w:w="0" w:type="dxa"/>
        <w:tblLayout w:type="fixed"/>
        <w:tblCellMar>
          <w:top w:w="28" w:type="dxa"/>
          <w:left w:w="28" w:type="dxa"/>
          <w:bottom w:w="28" w:type="dxa"/>
          <w:right w:w="28" w:type="dxa"/>
        </w:tblCellMar>
      </w:tblPr>
      <w:tblGrid>
        <w:gridCol w:w="2521"/>
        <w:gridCol w:w="1201"/>
        <w:gridCol w:w="2011"/>
        <w:gridCol w:w="1741"/>
        <w:gridCol w:w="1411"/>
      </w:tblGrid>
      <w:tr>
        <w:trPr/>
        <w:tc>
          <w:tcPr>
            <w:tcW w:w="252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ind w:left="0" w:right="0" w:firstLine="199"/>
              <w:jc w:val="left"/>
              <w:rPr>
                <w:sz w:val="4"/>
                <w:szCs w:val="4"/>
              </w:rPr>
            </w:pPr>
            <w:r>
              <w:rPr>
                <w:sz w:val="4"/>
                <w:szCs w:val="4"/>
              </w:rPr>
            </w:r>
          </w:p>
        </w:tc>
      </w:tr>
      <w:tr>
        <w:trPr/>
        <w:tc>
          <w:tcPr>
            <w:tcW w:w="2521" w:type="dxa"/>
            <w:tcBorders/>
            <w:tcMar>
              <w:top w:w="0" w:type="dxa"/>
              <w:left w:w="0" w:type="dxa"/>
              <w:bottom w:w="0" w:type="dxa"/>
              <w:right w:w="0" w:type="dxa"/>
            </w:tcMar>
            <w:vAlign w:val="center"/>
          </w:tcPr>
          <w:p>
            <w:pPr>
              <w:pStyle w:val="TableContents"/>
              <w:bidi w:val="0"/>
              <w:spacing w:before="0" w:after="0"/>
              <w:ind w:left="199" w:right="0" w:hanging="0"/>
              <w:jc w:val="center"/>
              <w:rPr>
                <w:rFonts w:ascii="Arial;sans-serif" w:hAnsi="Arial;sans-serif"/>
                <w:b/>
                <w:sz w:val="20"/>
              </w:rPr>
            </w:pPr>
            <w:r>
              <w:rPr>
                <w:rFonts w:ascii="Arial;sans-serif" w:hAnsi="Arial;sans-serif"/>
                <w:b/>
                <w:sz w:val="20"/>
              </w:rPr>
              <w:t>Factors</w:t>
            </w:r>
          </w:p>
        </w:tc>
        <w:tc>
          <w:tcPr>
            <w:tcW w:w="120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Base Salary</w:t>
            </w:r>
          </w:p>
        </w:tc>
        <w:tc>
          <w:tcPr>
            <w:tcW w:w="201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Annual Performance</w:t>
            </w:r>
          </w:p>
          <w:p>
            <w:pPr>
              <w:pStyle w:val="TableContents"/>
              <w:bidi w:val="0"/>
              <w:spacing w:before="0" w:after="0"/>
              <w:ind w:left="0" w:right="0" w:hanging="0"/>
              <w:jc w:val="center"/>
              <w:rPr>
                <w:rFonts w:ascii="Arial;sans-serif" w:hAnsi="Arial;sans-serif"/>
                <w:b/>
                <w:sz w:val="20"/>
              </w:rPr>
            </w:pPr>
            <w:r>
              <w:rPr>
                <w:rFonts w:ascii="Arial;sans-serif" w:hAnsi="Arial;sans-serif"/>
                <w:b/>
                <w:sz w:val="20"/>
              </w:rPr>
              <w:t>-Based</w:t>
            </w:r>
          </w:p>
          <w:p>
            <w:pPr>
              <w:pStyle w:val="TableContents"/>
              <w:bidi w:val="0"/>
              <w:spacing w:before="0" w:after="0"/>
              <w:ind w:left="0" w:right="0" w:hanging="0"/>
              <w:jc w:val="center"/>
              <w:rPr>
                <w:rFonts w:ascii="Arial;sans-serif" w:hAnsi="Arial;sans-serif"/>
                <w:b/>
                <w:sz w:val="20"/>
              </w:rPr>
            </w:pPr>
            <w:r>
              <w:rPr>
                <w:rFonts w:ascii="Arial;sans-serif" w:hAnsi="Arial;sans-serif"/>
                <w:b/>
                <w:sz w:val="20"/>
              </w:rPr>
              <w:t>Cash Incentive</w:t>
            </w:r>
          </w:p>
        </w:tc>
        <w:tc>
          <w:tcPr>
            <w:tcW w:w="1741" w:type="dxa"/>
            <w:tcBorders/>
            <w:tcMar>
              <w:top w:w="0" w:type="dxa"/>
              <w:left w:w="0" w:type="dxa"/>
              <w:bottom w:w="0" w:type="dxa"/>
              <w:right w:w="0" w:type="dxa"/>
            </w:tcMar>
            <w:vAlign w:val="center"/>
          </w:tcPr>
          <w:p>
            <w:pPr>
              <w:pStyle w:val="TableContents"/>
              <w:bidi w:val="0"/>
              <w:spacing w:before="0" w:after="0"/>
              <w:ind w:left="0" w:right="0" w:hanging="0"/>
              <w:jc w:val="both"/>
              <w:rPr/>
            </w:pPr>
            <w:r>
              <w:rPr/>
              <w:t> </w:t>
            </w:r>
          </w:p>
          <w:p>
            <w:pPr>
              <w:pStyle w:val="TableContents"/>
              <w:bidi w:val="0"/>
              <w:spacing w:before="0" w:after="0"/>
              <w:ind w:left="0" w:right="0" w:hanging="0"/>
              <w:jc w:val="center"/>
              <w:rPr>
                <w:rFonts w:ascii="Arial;sans-serif" w:hAnsi="Arial;sans-serif"/>
                <w:b/>
                <w:sz w:val="20"/>
              </w:rPr>
            </w:pPr>
            <w:r>
              <w:rPr>
                <w:rFonts w:ascii="Arial;sans-serif" w:hAnsi="Arial;sans-serif"/>
                <w:b/>
                <w:sz w:val="20"/>
              </w:rPr>
              <w:t>PSUs</w:t>
            </w:r>
          </w:p>
          <w:p>
            <w:pPr>
              <w:pStyle w:val="TableContents"/>
              <w:bidi w:val="0"/>
              <w:spacing w:before="0" w:after="0"/>
              <w:ind w:left="0" w:right="0" w:hanging="0"/>
              <w:jc w:val="both"/>
              <w:rPr/>
            </w:pPr>
            <w:r>
              <w:rPr/>
              <w:t> </w:t>
            </w:r>
          </w:p>
        </w:tc>
        <w:tc>
          <w:tcPr>
            <w:tcW w:w="141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RSUs</w:t>
            </w:r>
          </w:p>
        </w:tc>
      </w:tr>
      <w:tr>
        <w:trPr/>
        <w:tc>
          <w:tcPr>
            <w:tcW w:w="2521" w:type="dxa"/>
            <w:vMerge w:val="restart"/>
            <w:tcBorders/>
            <w:tcMar>
              <w:top w:w="0" w:type="dxa"/>
              <w:left w:w="0" w:type="dxa"/>
              <w:bottom w:w="0" w:type="dxa"/>
              <w:right w:w="0" w:type="dxa"/>
            </w:tcMar>
            <w:vAlign w:val="center"/>
          </w:tcPr>
          <w:p>
            <w:pPr>
              <w:pStyle w:val="TableContents"/>
              <w:bidi w:val="0"/>
              <w:spacing w:before="0" w:after="0"/>
              <w:ind w:left="0" w:right="0" w:hanging="0"/>
              <w:jc w:val="both"/>
              <w:rPr/>
            </w:pPr>
            <w:r>
              <w:rPr/>
              <w:t>   </w:t>
            </w:r>
            <w:r>
              <w:rPr>
                <w:rFonts w:ascii="Arial;sans-serif" w:hAnsi="Arial;sans-serif"/>
                <w:b w:val="false"/>
                <w:sz w:val="20"/>
              </w:rPr>
              <w:t>Form of Compensation</w:t>
            </w:r>
          </w:p>
        </w:tc>
        <w:tc>
          <w:tcPr>
            <w:tcW w:w="32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1152" w:hanging="0"/>
              <w:jc w:val="center"/>
              <w:rPr>
                <w:rFonts w:ascii="Arial;sans-serif" w:hAnsi="Arial;sans-serif"/>
                <w:b w:val="false"/>
                <w:sz w:val="18"/>
              </w:rPr>
            </w:pPr>
            <w:r>
              <w:rPr>
                <w:rFonts w:ascii="Arial;sans-serif" w:hAnsi="Arial;sans-serif"/>
                <w:b w:val="false"/>
                <w:sz w:val="18"/>
              </w:rPr>
              <w:t>Cash</w:t>
            </w:r>
          </w:p>
        </w:tc>
        <w:tc>
          <w:tcPr>
            <w:tcW w:w="31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Equity</w:t>
            </w:r>
          </w:p>
        </w:tc>
      </w:tr>
      <w:tr>
        <w:trPr/>
        <w:tc>
          <w:tcPr>
            <w:tcW w:w="2521" w:type="dxa"/>
            <w:vMerge w:val="continue"/>
            <w:tcBorders/>
            <w:tcMar>
              <w:top w:w="0" w:type="dxa"/>
              <w:left w:w="0" w:type="dxa"/>
              <w:bottom w:w="0" w:type="dxa"/>
              <w:right w:w="0" w:type="dxa"/>
            </w:tcMar>
            <w:vAlign w:val="center"/>
          </w:tcPr>
          <w:p>
            <w:pPr>
              <w:pStyle w:val="Normal"/>
              <w:bidi w:val="0"/>
              <w:jc w:val="left"/>
              <w:rPr/>
            </w:pPr>
            <w:r>
              <w:rPr/>
            </w:r>
          </w:p>
        </w:tc>
        <w:tc>
          <w:tcPr>
            <w:tcW w:w="120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Fixed</w:t>
            </w:r>
          </w:p>
        </w:tc>
        <w:tc>
          <w:tcPr>
            <w:tcW w:w="201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Performance-Based</w:t>
            </w:r>
          </w:p>
        </w:tc>
        <w:tc>
          <w:tcPr>
            <w:tcW w:w="174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Performance-Based</w:t>
            </w:r>
          </w:p>
        </w:tc>
        <w:tc>
          <w:tcPr>
            <w:tcW w:w="141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Time-Based</w:t>
            </w:r>
          </w:p>
        </w:tc>
      </w:tr>
      <w:tr>
        <w:trPr/>
        <w:tc>
          <w:tcPr>
            <w:tcW w:w="2521" w:type="dxa"/>
            <w:tcBorders/>
            <w:tcMar>
              <w:top w:w="0" w:type="dxa"/>
              <w:left w:w="0" w:type="dxa"/>
              <w:bottom w:w="0" w:type="dxa"/>
              <w:right w:w="0" w:type="dxa"/>
            </w:tcMar>
            <w:vAlign w:val="center"/>
          </w:tcPr>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t>   </w:t>
            </w:r>
            <w:r>
              <w:rPr>
                <w:rFonts w:ascii="Arial;sans-serif" w:hAnsi="Arial;sans-serif"/>
                <w:b w:val="false"/>
                <w:sz w:val="20"/>
              </w:rPr>
              <w:t>Performance Timing</w:t>
            </w:r>
          </w:p>
        </w:tc>
        <w:tc>
          <w:tcPr>
            <w:tcW w:w="3212" w:type="dxa"/>
            <w:gridSpan w:val="2"/>
            <w:tcBorders/>
            <w:tcMar>
              <w:top w:w="0" w:type="dxa"/>
              <w:left w:w="0" w:type="dxa"/>
              <w:bottom w:w="0" w:type="dxa"/>
              <w:right w:w="0" w:type="dxa"/>
            </w:tcMar>
            <w:vAlign w:val="center"/>
          </w:tcPr>
          <w:p>
            <w:pPr>
              <w:pStyle w:val="TableContents"/>
              <w:bidi w:val="0"/>
              <w:spacing w:before="0" w:after="0"/>
              <w:ind w:left="0" w:right="1152" w:hanging="0"/>
              <w:jc w:val="center"/>
              <w:rPr>
                <w:rFonts w:ascii="Times New Roman" w:hAnsi="Times New Roman"/>
                <w:sz w:val="18"/>
              </w:rPr>
            </w:pPr>
            <w:r>
              <w:rPr>
                <w:rFonts w:ascii="Arial;sans-serif" w:hAnsi="Arial;sans-serif"/>
                <w:b w:val="false"/>
                <w:sz w:val="18"/>
              </w:rPr>
              <w:t>Short-Term</w:t>
            </w:r>
            <w:r>
              <w:rPr>
                <w:rFonts w:ascii="Times New Roman" w:hAnsi="Times New Roman"/>
                <w:sz w:val="18"/>
              </w:rPr>
              <w:t xml:space="preserve"> </w:t>
            </w:r>
          </w:p>
          <w:p>
            <w:pPr>
              <w:pStyle w:val="TableContents"/>
              <w:bidi w:val="0"/>
              <w:spacing w:before="0" w:after="0"/>
              <w:ind w:left="0" w:right="1152" w:hanging="0"/>
              <w:jc w:val="center"/>
              <w:rPr>
                <w:rFonts w:ascii="Arial;sans-serif" w:hAnsi="Arial;sans-serif"/>
                <w:b w:val="false"/>
                <w:sz w:val="18"/>
              </w:rPr>
            </w:pPr>
            <w:r>
              <w:rPr>
                <w:rFonts w:ascii="Arial;sans-serif" w:hAnsi="Arial;sans-serif"/>
                <w:b w:val="false"/>
                <w:sz w:val="18"/>
              </w:rPr>
              <w:t>Emphasis</w:t>
            </w:r>
          </w:p>
        </w:tc>
        <w:tc>
          <w:tcPr>
            <w:tcW w:w="3152" w:type="dxa"/>
            <w:gridSpan w:val="2"/>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18"/>
              </w:rPr>
            </w:pPr>
            <w:r>
              <w:rPr>
                <w:rFonts w:ascii="Arial;sans-serif" w:hAnsi="Arial;sans-serif"/>
                <w:b w:val="false"/>
                <w:sz w:val="18"/>
              </w:rPr>
              <w:t>Long-Term</w:t>
            </w:r>
            <w:r>
              <w:rPr>
                <w:rFonts w:ascii="Times New Roman" w:hAnsi="Times New Roman"/>
                <w:sz w:val="18"/>
              </w:rPr>
              <w:t xml:space="preserve"> </w:t>
            </w:r>
          </w:p>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Emphasis</w:t>
            </w:r>
          </w:p>
        </w:tc>
      </w:tr>
      <w:tr>
        <w:trPr/>
        <w:tc>
          <w:tcPr>
            <w:tcW w:w="2521" w:type="dxa"/>
            <w:tcBorders/>
            <w:tcMar>
              <w:top w:w="0" w:type="dxa"/>
              <w:left w:w="0" w:type="dxa"/>
              <w:bottom w:w="0" w:type="dxa"/>
              <w:right w:w="0" w:type="dxa"/>
            </w:tcMar>
            <w:vAlign w:val="center"/>
          </w:tcPr>
          <w:p>
            <w:pPr>
              <w:pStyle w:val="TableContents"/>
              <w:bidi w:val="0"/>
              <w:spacing w:before="0" w:after="0"/>
              <w:ind w:left="0" w:right="0" w:hanging="0"/>
              <w:jc w:val="both"/>
              <w:rPr/>
            </w:pPr>
            <w:r>
              <w:rPr/>
              <w:t>   </w:t>
            </w:r>
            <w:r>
              <w:rPr>
                <w:rFonts w:ascii="Arial;sans-serif" w:hAnsi="Arial;sans-serif"/>
                <w:b w:val="false"/>
                <w:sz w:val="20"/>
              </w:rPr>
              <w:t>Measurement Period</w:t>
            </w:r>
          </w:p>
        </w:tc>
        <w:tc>
          <w:tcPr>
            <w:tcW w:w="120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18"/>
              </w:rPr>
            </w:pPr>
            <w:r>
              <w:rPr>
                <w:rFonts w:ascii="Arial;sans-serif" w:hAnsi="Arial;sans-serif"/>
                <w:b w:val="false"/>
                <w:sz w:val="18"/>
              </w:rPr>
              <w:t>Annual and</w:t>
            </w:r>
            <w:r>
              <w:rPr>
                <w:rFonts w:ascii="Times New Roman" w:hAnsi="Times New Roman"/>
                <w:sz w:val="18"/>
              </w:rPr>
              <w:t xml:space="preserve"> </w:t>
            </w:r>
          </w:p>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Ongoing</w:t>
            </w:r>
          </w:p>
        </w:tc>
        <w:tc>
          <w:tcPr>
            <w:tcW w:w="201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 year</w:t>
            </w:r>
          </w:p>
        </w:tc>
        <w:tc>
          <w:tcPr>
            <w:tcW w:w="174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18"/>
              </w:rPr>
            </w:pPr>
            <w:r>
              <w:rPr>
                <w:rFonts w:ascii="Arial;sans-serif" w:hAnsi="Arial;sans-serif"/>
                <w:b w:val="false"/>
                <w:sz w:val="18"/>
              </w:rPr>
              <w:t>Vests at end</w:t>
            </w:r>
            <w:r>
              <w:rPr>
                <w:rFonts w:ascii="Times New Roman" w:hAnsi="Times New Roman"/>
                <w:sz w:val="18"/>
              </w:rPr>
              <w:t xml:space="preserve"> </w:t>
            </w:r>
          </w:p>
          <w:p>
            <w:pPr>
              <w:pStyle w:val="TableContents"/>
              <w:bidi w:val="0"/>
              <w:spacing w:before="0" w:after="0"/>
              <w:ind w:left="0" w:right="0" w:hanging="0"/>
              <w:jc w:val="center"/>
              <w:rPr>
                <w:rFonts w:ascii="Times New Roman" w:hAnsi="Times New Roman"/>
                <w:sz w:val="18"/>
              </w:rPr>
            </w:pPr>
            <w:r>
              <w:rPr>
                <w:rFonts w:ascii="Arial;sans-serif" w:hAnsi="Arial;sans-serif"/>
                <w:b w:val="false"/>
                <w:sz w:val="18"/>
              </w:rPr>
              <w:t>of 3-year</w:t>
            </w:r>
            <w:r>
              <w:rPr>
                <w:rFonts w:ascii="Times New Roman" w:hAnsi="Times New Roman"/>
                <w:sz w:val="18"/>
              </w:rPr>
              <w:t xml:space="preserve"> </w:t>
            </w:r>
          </w:p>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period</w:t>
            </w:r>
          </w:p>
        </w:tc>
        <w:tc>
          <w:tcPr>
            <w:tcW w:w="141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18"/>
              </w:rPr>
            </w:pPr>
            <w:r>
              <w:rPr>
                <w:rFonts w:ascii="Arial;sans-serif" w:hAnsi="Arial;sans-serif"/>
                <w:b w:val="false"/>
                <w:sz w:val="18"/>
              </w:rPr>
              <w:t>Vests 25%</w:t>
            </w:r>
            <w:r>
              <w:rPr>
                <w:rFonts w:ascii="Times New Roman" w:hAnsi="Times New Roman"/>
                <w:sz w:val="18"/>
              </w:rPr>
              <w:t xml:space="preserve"> </w:t>
            </w:r>
          </w:p>
          <w:p>
            <w:pPr>
              <w:pStyle w:val="TableContents"/>
              <w:bidi w:val="0"/>
              <w:spacing w:before="0" w:after="0"/>
              <w:ind w:left="0" w:right="0" w:hanging="0"/>
              <w:jc w:val="center"/>
              <w:rPr>
                <w:rFonts w:ascii="Times New Roman" w:hAnsi="Times New Roman"/>
                <w:sz w:val="18"/>
              </w:rPr>
            </w:pPr>
            <w:r>
              <w:rPr>
                <w:rFonts w:ascii="Arial;sans-serif" w:hAnsi="Arial;sans-serif"/>
                <w:b w:val="false"/>
                <w:sz w:val="18"/>
              </w:rPr>
              <w:t>each year over</w:t>
            </w:r>
            <w:r>
              <w:rPr>
                <w:rFonts w:ascii="Times New Roman" w:hAnsi="Times New Roman"/>
                <w:sz w:val="18"/>
              </w:rPr>
              <w:t xml:space="preserve"> </w:t>
            </w:r>
          </w:p>
          <w:p>
            <w:pPr>
              <w:pStyle w:val="TableContents"/>
              <w:bidi w:val="0"/>
              <w:spacing w:before="0" w:after="0"/>
              <w:ind w:left="0" w:right="0" w:hanging="0"/>
              <w:jc w:val="center"/>
              <w:rPr>
                <w:rFonts w:ascii="Times New Roman" w:hAnsi="Times New Roman"/>
                <w:sz w:val="18"/>
              </w:rPr>
            </w:pPr>
            <w:r>
              <w:rPr>
                <w:rFonts w:ascii="Arial;sans-serif" w:hAnsi="Arial;sans-serif"/>
                <w:b w:val="false"/>
                <w:sz w:val="18"/>
              </w:rPr>
              <w:t>4-year</w:t>
            </w:r>
            <w:r>
              <w:rPr>
                <w:rFonts w:ascii="Times New Roman" w:hAnsi="Times New Roman"/>
                <w:sz w:val="18"/>
              </w:rPr>
              <w:t xml:space="preserve"> </w:t>
            </w:r>
          </w:p>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period</w:t>
            </w:r>
          </w:p>
        </w:tc>
      </w:tr>
      <w:tr>
        <w:trPr/>
        <w:tc>
          <w:tcPr>
            <w:tcW w:w="2521" w:type="dxa"/>
            <w:tcBorders/>
            <w:tcMar>
              <w:top w:w="0" w:type="dxa"/>
              <w:left w:w="0" w:type="dxa"/>
              <w:bottom w:w="0" w:type="dxa"/>
              <w:right w:w="0" w:type="dxa"/>
            </w:tcMar>
            <w:vAlign w:val="center"/>
          </w:tcPr>
          <w:p>
            <w:pPr>
              <w:pStyle w:val="TableContents"/>
              <w:bidi w:val="0"/>
              <w:spacing w:before="0" w:after="0"/>
              <w:ind w:left="0" w:right="0" w:hanging="0"/>
              <w:jc w:val="both"/>
              <w:rPr/>
            </w:pPr>
            <w:r>
              <w:rPr/>
              <w:t>   </w:t>
            </w:r>
            <w:r>
              <w:rPr>
                <w:rFonts w:ascii="Arial;sans-serif" w:hAnsi="Arial;sans-serif"/>
                <w:b w:val="false"/>
                <w:sz w:val="20"/>
              </w:rPr>
              <w:t>Key Performance Metrics</w:t>
            </w:r>
          </w:p>
          <w:p>
            <w:pPr>
              <w:pStyle w:val="TableContents"/>
              <w:bidi w:val="0"/>
              <w:spacing w:before="0" w:after="0"/>
              <w:ind w:left="0" w:right="0" w:hanging="0"/>
              <w:jc w:val="both"/>
              <w:rPr/>
            </w:pPr>
            <w:r>
              <w:rPr/>
              <w:t>   </w:t>
            </w:r>
            <w:r>
              <w:rPr>
                <w:rFonts w:ascii="Arial;sans-serif" w:hAnsi="Arial;sans-serif"/>
                <w:b w:val="false"/>
                <w:sz w:val="20"/>
              </w:rPr>
              <w:t>Applicable</w:t>
            </w:r>
          </w:p>
        </w:tc>
        <w:tc>
          <w:tcPr>
            <w:tcW w:w="1201" w:type="dxa"/>
            <w:tcBorders/>
            <w:tcMar>
              <w:top w:w="0" w:type="dxa"/>
              <w:left w:w="0" w:type="dxa"/>
              <w:bottom w:w="0" w:type="dxa"/>
              <w:right w:w="0" w:type="dxa"/>
            </w:tcMar>
            <w:vAlign w:val="center"/>
          </w:tcPr>
          <w:p>
            <w:pPr>
              <w:pStyle w:val="TableContents"/>
              <w:bidi w:val="0"/>
              <w:spacing w:before="0" w:after="0"/>
              <w:ind w:left="0" w:right="0" w:hanging="0"/>
              <w:jc w:val="center"/>
              <w:rPr/>
            </w:pPr>
            <w:r>
              <w:rPr/>
              <w:t>—</w:t>
            </w:r>
          </w:p>
        </w:tc>
        <w:tc>
          <w:tcPr>
            <w:tcW w:w="201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Net Sales;</w:t>
            </w:r>
          </w:p>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Adjusted EBITDAS</w:t>
            </w:r>
          </w:p>
        </w:tc>
        <w:tc>
          <w:tcPr>
            <w:tcW w:w="174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Relative TSR</w:t>
            </w:r>
          </w:p>
        </w:tc>
        <w:tc>
          <w:tcPr>
            <w:tcW w:w="141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Stock Price</w:t>
            </w:r>
          </w:p>
        </w:tc>
      </w:tr>
      <w:tr>
        <w:trPr/>
        <w:tc>
          <w:tcPr>
            <w:tcW w:w="2521" w:type="dxa"/>
            <w:tcBorders/>
            <w:tcMar>
              <w:top w:w="0" w:type="dxa"/>
              <w:left w:w="0" w:type="dxa"/>
              <w:bottom w:w="0" w:type="dxa"/>
              <w:right w:w="0" w:type="dxa"/>
            </w:tcMar>
            <w:vAlign w:val="center"/>
          </w:tcPr>
          <w:p>
            <w:pPr>
              <w:pStyle w:val="TableContents"/>
              <w:bidi w:val="0"/>
              <w:spacing w:before="60" w:after="0"/>
              <w:ind w:left="0" w:right="0" w:hanging="0"/>
              <w:jc w:val="both"/>
              <w:rPr/>
            </w:pPr>
            <w:r>
              <w:rPr/>
              <w:t>   </w:t>
            </w:r>
            <w:r>
              <w:rPr>
                <w:rFonts w:ascii="Arial;sans-serif" w:hAnsi="Arial;sans-serif"/>
                <w:b w:val="false"/>
                <w:sz w:val="20"/>
              </w:rPr>
              <w:t>Determination of</w:t>
            </w:r>
          </w:p>
          <w:p>
            <w:pPr>
              <w:pStyle w:val="TableContents"/>
              <w:bidi w:val="0"/>
              <w:spacing w:before="0" w:after="0"/>
              <w:ind w:left="0" w:right="0" w:hanging="0"/>
              <w:jc w:val="both"/>
              <w:rPr/>
            </w:pPr>
            <w:r>
              <w:rPr/>
              <w:t>   </w:t>
            </w:r>
            <w:r>
              <w:rPr>
                <w:rFonts w:ascii="Arial;sans-serif" w:hAnsi="Arial;sans-serif"/>
                <w:b w:val="false"/>
                <w:sz w:val="20"/>
              </w:rPr>
              <w:t>Performance-Based</w:t>
            </w:r>
          </w:p>
          <w:p>
            <w:pPr>
              <w:pStyle w:val="TableContents"/>
              <w:bidi w:val="0"/>
              <w:spacing w:before="0" w:after="60"/>
              <w:ind w:left="0" w:right="0" w:hanging="0"/>
              <w:jc w:val="both"/>
              <w:rPr/>
            </w:pPr>
            <w:r>
              <w:rPr/>
              <w:t>   </w:t>
            </w:r>
            <w:r>
              <w:rPr>
                <w:rFonts w:ascii="Arial;sans-serif" w:hAnsi="Arial;sans-serif"/>
                <w:b w:val="false"/>
                <w:sz w:val="20"/>
              </w:rPr>
              <w:t>Payouts</w:t>
            </w:r>
          </w:p>
        </w:tc>
        <w:tc>
          <w:tcPr>
            <w:tcW w:w="1201" w:type="dxa"/>
            <w:tcBorders/>
            <w:tcMar>
              <w:top w:w="0" w:type="dxa"/>
              <w:left w:w="0" w:type="dxa"/>
              <w:bottom w:w="0" w:type="dxa"/>
              <w:right w:w="0" w:type="dxa"/>
            </w:tcMar>
            <w:vAlign w:val="center"/>
          </w:tcPr>
          <w:p>
            <w:pPr>
              <w:pStyle w:val="TableContents"/>
              <w:bidi w:val="0"/>
              <w:spacing w:before="0" w:after="0"/>
              <w:ind w:left="0" w:right="0" w:hanging="0"/>
              <w:jc w:val="center"/>
              <w:rPr/>
            </w:pPr>
            <w:r>
              <w:rPr/>
              <w:t>—</w:t>
            </w:r>
          </w:p>
        </w:tc>
        <w:tc>
          <w:tcPr>
            <w:tcW w:w="201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Formulaic</w:t>
            </w:r>
          </w:p>
        </w:tc>
        <w:tc>
          <w:tcPr>
            <w:tcW w:w="174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Formulaic</w:t>
            </w:r>
          </w:p>
        </w:tc>
        <w:tc>
          <w:tcPr>
            <w:tcW w:w="1411" w:type="dxa"/>
            <w:tcBorders/>
            <w:tcMar>
              <w:top w:w="0" w:type="dxa"/>
              <w:left w:w="0" w:type="dxa"/>
              <w:bottom w:w="0" w:type="dxa"/>
              <w:right w:w="0" w:type="dxa"/>
            </w:tcMar>
            <w:vAlign w:val="center"/>
          </w:tcPr>
          <w:p>
            <w:pPr>
              <w:pStyle w:val="TableContents"/>
              <w:bidi w:val="0"/>
              <w:spacing w:before="0" w:after="0"/>
              <w:ind w:left="0" w:right="0" w:hanging="0"/>
              <w:jc w:val="center"/>
              <w:rPr/>
            </w:pPr>
            <w:r>
              <w:rPr/>
              <w:t>—</w:t>
            </w:r>
          </w:p>
        </w:tc>
      </w:tr>
    </w:tbl>
    <w:p>
      <w:pPr>
        <w:pStyle w:val="TextBody"/>
        <w:bidi w:val="0"/>
        <w:spacing w:before="0" w:after="0"/>
        <w:jc w:val="both"/>
        <w:rPr/>
      </w:pPr>
      <w:r>
        <w:rPr/>
        <w:t> </w:t>
      </w:r>
    </w:p>
    <w:p>
      <w:pPr>
        <w:pStyle w:val="TextBody"/>
        <w:bidi w:val="0"/>
        <w:spacing w:before="40" w:after="0"/>
        <w:jc w:val="both"/>
        <w:rPr>
          <w:rFonts w:ascii="Arial;sans-serif" w:hAnsi="Arial;sans-serif"/>
          <w:b w:val="false"/>
          <w:sz w:val="24"/>
          <w:u w:val="single"/>
        </w:rPr>
      </w:pPr>
      <w:r>
        <w:rPr>
          <w:rFonts w:ascii="Arial;sans-serif" w:hAnsi="Arial;sans-serif"/>
          <w:b w:val="false"/>
          <w:sz w:val="24"/>
          <w:u w:val="single"/>
        </w:rPr>
        <w:t>Base Salaries</w:t>
      </w:r>
    </w:p>
    <w:p>
      <w:pPr>
        <w:pStyle w:val="TextBody"/>
        <w:bidi w:val="0"/>
        <w:spacing w:before="0" w:after="0"/>
        <w:jc w:val="both"/>
        <w:rPr>
          <w:rFonts w:ascii="Arial;sans-serif" w:hAnsi="Arial;sans-serif"/>
          <w:b w:val="false"/>
          <w:sz w:val="20"/>
        </w:rPr>
      </w:pPr>
      <w:r>
        <w:rPr>
          <w:rFonts w:ascii="Arial;sans-serif" w:hAnsi="Arial;sans-serif"/>
          <w:b w:val="false"/>
          <w:sz w:val="20"/>
        </w:rPr>
        <w:t>Base salaries are designed to provide competitive levels of compensation to our executives based on their position, responsibilities, skills, experience, performance, and contributions. The Compensation Committee also considers individual performance and contributions, future potential, competitive salary levels for comparable positions at other companies, salary levels relative to other internal positions, corporate needs, and the advice of its independent compensation consultant. The Compensation Committee’s evaluation of these factors is subjective, and it does not assign a particular weight to any one factor.</w:t>
      </w:r>
    </w:p>
    <w:p>
      <w:pPr>
        <w:pStyle w:val="TextBody"/>
        <w:bidi w:val="0"/>
        <w:spacing w:before="240" w:after="0"/>
        <w:jc w:val="both"/>
        <w:rPr>
          <w:rFonts w:ascii="Times New Roman" w:hAnsi="Times New Roman"/>
          <w:sz w:val="20"/>
        </w:rPr>
      </w:pPr>
      <w:r>
        <w:rPr>
          <w:rFonts w:ascii="Arial;sans-serif" w:hAnsi="Arial;sans-serif"/>
          <w:b w:val="false"/>
          <w:sz w:val="20"/>
        </w:rPr>
        <w:t>Given the high-profile nature of our industry, it has become increasingly difficult to attract, motivate, and retain highly qualified individuals willing to be associated with us and our industry. The Compensation Committee has become increasingly aware of the impact this factor has had not only on existing and potential future employees, but also the pressures this factor places on the families of these individuals.</w:t>
      </w:r>
      <w:r>
        <w:rPr>
          <w:rFonts w:ascii="Times New Roman" w:hAnsi="Times New Roman"/>
          <w:sz w:val="20"/>
        </w:rPr>
        <w:t xml:space="preserve"> </w:t>
      </w:r>
    </w:p>
    <w:p>
      <w:pPr>
        <w:pStyle w:val="TextBody"/>
        <w:bidi w:val="0"/>
        <w:spacing w:before="0" w:after="0"/>
        <w:jc w:val="left"/>
        <w:rPr/>
      </w:pPr>
      <w:r>
        <w:rPr/>
        <w:t> </w:t>
      </w:r>
    </w:p>
    <w:tbl>
      <w:tblPr>
        <w:tblW w:w="3762" w:type="dxa"/>
        <w:jc w:val="left"/>
        <w:tblInd w:w="0" w:type="dxa"/>
        <w:tblLayout w:type="fixed"/>
        <w:tblCellMar>
          <w:top w:w="28" w:type="dxa"/>
          <w:left w:w="28" w:type="dxa"/>
          <w:bottom w:w="28" w:type="dxa"/>
          <w:right w:w="28" w:type="dxa"/>
        </w:tblCellMar>
      </w:tblPr>
      <w:tblGrid>
        <w:gridCol w:w="2266"/>
        <w:gridCol w:w="1496"/>
      </w:tblGrid>
      <w:tr>
        <w:trPr/>
        <w:tc>
          <w:tcPr>
            <w:tcW w:w="226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22</w:t>
            </w:r>
            <w:r>
              <w:rPr>
                <w:rFonts w:ascii="Times New Roman" w:hAnsi="Times New Roman"/>
                <w:sz w:val="18"/>
              </w:rPr>
              <w:t> </w:t>
            </w:r>
            <w:r>
              <w:rPr>
                <w:rFonts w:ascii="Arial;sans-serif" w:hAnsi="Arial;sans-serif"/>
                <w:b w:val="false"/>
                <w:sz w:val="18"/>
              </w:rPr>
              <w:t>I 2023 Proxy Statement</w:t>
            </w:r>
          </w:p>
        </w:tc>
        <w:tc>
          <w:tcPr>
            <w:tcW w:w="1496" w:type="dxa"/>
            <w:tcBorders/>
            <w:vAlign w:val="center"/>
          </w:tcPr>
          <w:p>
            <w:pPr>
              <w:pStyle w:val="TableContents"/>
              <w:bidi w:val="0"/>
              <w:spacing w:before="0" w:after="0"/>
              <w:ind w:left="0" w:right="0" w:hanging="0"/>
              <w:jc w:val="right"/>
              <w:rPr/>
            </w:pPr>
            <w:r>
              <w:rPr/>
              <w:drawing>
                <wp:inline distT="0" distB="0" distL="0" distR="0">
                  <wp:extent cx="828675" cy="1905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828675" cy="190500"/>
                          </a:xfrm>
                          <a:prstGeom prst="rect">
                            <a:avLst/>
                          </a:prstGeom>
                        </pic:spPr>
                      </pic:pic>
                    </a:graphicData>
                  </a:graphic>
                </wp:inline>
              </w:drawing>
            </w: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2277" w:type="dxa"/>
        <w:jc w:val="left"/>
        <w:tblInd w:w="0" w:type="dxa"/>
        <w:tblLayout w:type="fixed"/>
        <w:tblCellMar>
          <w:top w:w="28" w:type="dxa"/>
          <w:left w:w="28" w:type="dxa"/>
          <w:bottom w:w="28" w:type="dxa"/>
          <w:right w:w="28" w:type="dxa"/>
        </w:tblCellMar>
      </w:tblPr>
      <w:tblGrid>
        <w:gridCol w:w="2086"/>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Compensation Matters</w:t>
            </w:r>
          </w:p>
        </w:tc>
        <w:tc>
          <w:tcPr>
            <w:tcW w:w="191" w:type="dxa"/>
            <w:tcBorders/>
            <w:vAlign w:val="center"/>
          </w:tcPr>
          <w:p>
            <w:pPr>
              <w:pStyle w:val="TableContents"/>
              <w:bidi w:val="0"/>
              <w:spacing w:before="0" w:after="0"/>
              <w:ind w:left="0" w:right="0" w:hanging="0"/>
              <w:jc w:val="left"/>
              <w:rPr/>
            </w:pPr>
            <w:r>
              <w:rPr/>
              <w:t> </w:t>
            </w:r>
          </w:p>
        </w:tc>
      </w:tr>
      <w:tr>
        <w:trPr/>
        <w:tc>
          <w:tcPr>
            <w:tcW w:w="208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i/>
          <w:sz w:val="20"/>
        </w:rPr>
        <w:t>Fiscal 2023 Base Salaries</w:t>
      </w:r>
      <w:r>
        <w:rPr>
          <w:rFonts w:ascii="Arial;sans-serif" w:hAnsi="Arial;sans-serif"/>
          <w:b w:val="false"/>
          <w:sz w:val="20"/>
        </w:rPr>
        <w:t>. The Compensation Committee generally sets base salaries for our executive officers at the beginning of the fiscal year. Based on an evaluation of the factors listed above, the Compensation Committee’s desire to reward and retain our executive officers, the general industry range for base salary increases, and the competitiveness of our base salaries as measured against the peer and market data, the Compensation Committee set our NEOs’ annual base salaries for fiscal 2023 as follows:</w:t>
      </w:r>
    </w:p>
    <w:p>
      <w:pPr>
        <w:pStyle w:val="TextBody"/>
        <w:bidi w:val="0"/>
        <w:spacing w:before="0" w:after="0"/>
        <w:jc w:val="both"/>
        <w:rPr/>
      </w:pPr>
      <w:r>
        <w:rPr/>
        <w:t> </w:t>
      </w:r>
    </w:p>
    <w:tbl>
      <w:tblPr>
        <w:tblW w:w="6243" w:type="dxa"/>
        <w:jc w:val="left"/>
        <w:tblInd w:w="0" w:type="dxa"/>
        <w:tblLayout w:type="fixed"/>
        <w:tblCellMar>
          <w:top w:w="28" w:type="dxa"/>
          <w:left w:w="28" w:type="dxa"/>
          <w:bottom w:w="28" w:type="dxa"/>
          <w:right w:w="28" w:type="dxa"/>
        </w:tblCellMar>
      </w:tblPr>
      <w:tblGrid>
        <w:gridCol w:w="1666"/>
        <w:gridCol w:w="146"/>
        <w:gridCol w:w="196"/>
        <w:gridCol w:w="146"/>
        <w:gridCol w:w="691"/>
        <w:gridCol w:w="146"/>
        <w:gridCol w:w="146"/>
        <w:gridCol w:w="146"/>
        <w:gridCol w:w="196"/>
        <w:gridCol w:w="177"/>
        <w:gridCol w:w="843"/>
        <w:gridCol w:w="146"/>
        <w:gridCol w:w="316"/>
        <w:gridCol w:w="146"/>
        <w:gridCol w:w="1136"/>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666" w:type="dxa"/>
            <w:tcBorders>
              <w:bottom w:val="single" w:sz="18" w:space="0" w:color="000000"/>
            </w:tcBorders>
            <w:tcMar>
              <w:top w:w="0" w:type="dxa"/>
              <w:left w:w="0" w:type="dxa"/>
              <w:right w:w="0" w:type="dxa"/>
            </w:tcMar>
            <w:vAlign w:val="center"/>
          </w:tcPr>
          <w:p>
            <w:pPr>
              <w:pStyle w:val="TableContents"/>
              <w:bidi w:val="0"/>
              <w:spacing w:before="0" w:after="0"/>
              <w:ind w:left="100" w:right="0" w:hanging="0"/>
              <w:jc w:val="left"/>
              <w:rPr>
                <w:rFonts w:ascii="Arial;sans-serif" w:hAnsi="Arial;sans-serif"/>
                <w:b/>
                <w:sz w:val="16"/>
              </w:rPr>
            </w:pPr>
            <w:r>
              <w:rPr>
                <w:rFonts w:ascii="Arial;sans-serif" w:hAnsi="Arial;sans-serif"/>
                <w:b/>
                <w:sz w:val="16"/>
              </w:rPr>
              <w:t>Name and Position</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33" w:type="dxa"/>
            <w:gridSpan w:val="3"/>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Annualized</w:t>
              <w:br/>
              <w:t>Fiscal 2022</w:t>
              <w:br/>
              <w:t>Base Salary</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20"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Annualized</w:t>
              <w:br/>
              <w:t>Fiscal 2023</w:t>
              <w:br/>
              <w:t>Base Salary</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36" w:type="dxa"/>
            <w:tcBorders>
              <w:bottom w:val="single" w:sz="18" w:space="0" w:color="000000"/>
            </w:tcBorders>
            <w:tcMar>
              <w:top w:w="0" w:type="dxa"/>
              <w:left w:w="0" w:type="dxa"/>
              <w:right w:w="0" w:type="dxa"/>
            </w:tcMar>
            <w:vAlign w:val="center"/>
          </w:tcPr>
          <w:p>
            <w:pPr>
              <w:pStyle w:val="TableContents"/>
              <w:bidi w:val="0"/>
              <w:spacing w:before="0" w:after="0"/>
              <w:ind w:left="0" w:right="0" w:firstLine="100"/>
              <w:jc w:val="center"/>
              <w:rPr>
                <w:rFonts w:ascii="Arial;sans-serif" w:hAnsi="Arial;sans-serif"/>
                <w:b/>
                <w:sz w:val="16"/>
              </w:rPr>
            </w:pPr>
            <w:r>
              <w:rPr>
                <w:rFonts w:ascii="Arial;sans-serif" w:hAnsi="Arial;sans-serif"/>
                <w:b/>
                <w:sz w:val="16"/>
              </w:rPr>
              <w:t>Percentage</w:t>
              <w:br/>
              <w:t>Change</w:t>
            </w:r>
          </w:p>
        </w:tc>
      </w:tr>
      <w:tr>
        <w:trPr/>
        <w:tc>
          <w:tcPr>
            <w:tcW w:w="1666" w:type="dxa"/>
            <w:tcBorders/>
            <w:vAlign w:val="center"/>
          </w:tcPr>
          <w:p>
            <w:pPr>
              <w:pStyle w:val="TableContents"/>
              <w:bidi w:val="0"/>
              <w:spacing w:before="0" w:after="0"/>
              <w:ind w:left="100" w:right="0" w:hanging="0"/>
              <w:jc w:val="left"/>
              <w:rPr>
                <w:rFonts w:ascii="Arial;sans-serif" w:hAnsi="Arial;sans-serif"/>
                <w:b w:val="false"/>
                <w:sz w:val="16"/>
              </w:rPr>
            </w:pPr>
            <w:r>
              <w:rPr>
                <w:rFonts w:ascii="Arial;sans-serif" w:hAnsi="Arial;sans-serif"/>
                <w:b w:val="false"/>
                <w:sz w:val="16"/>
              </w:rPr>
              <w:t>Mark P. Smith</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700,000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77"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721,000</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(1)</w:t>
            </w:r>
          </w:p>
        </w:tc>
        <w:tc>
          <w:tcPr>
            <w:tcW w:w="146" w:type="dxa"/>
            <w:tcBorders/>
            <w:vAlign w:val="center"/>
          </w:tcPr>
          <w:p>
            <w:pPr>
              <w:pStyle w:val="TableContents"/>
              <w:bidi w:val="0"/>
              <w:spacing w:before="0" w:after="0"/>
              <w:ind w:left="0" w:right="0" w:hanging="0"/>
              <w:jc w:val="left"/>
              <w:rPr/>
            </w:pPr>
            <w:r>
              <w:rPr/>
              <w:t> </w:t>
            </w:r>
          </w:p>
        </w:tc>
        <w:tc>
          <w:tcPr>
            <w:tcW w:w="1136" w:type="dxa"/>
            <w:tcBorders/>
            <w:vAlign w:val="center"/>
          </w:tcPr>
          <w:p>
            <w:pPr>
              <w:pStyle w:val="TableContents"/>
              <w:bidi w:val="0"/>
              <w:spacing w:before="0" w:after="0"/>
              <w:ind w:left="0" w:right="0" w:firstLine="100"/>
              <w:jc w:val="center"/>
              <w:rPr>
                <w:rFonts w:ascii="Arial;sans-serif" w:hAnsi="Arial;sans-serif"/>
                <w:b w:val="false"/>
                <w:sz w:val="16"/>
              </w:rPr>
            </w:pPr>
            <w:r>
              <w:rPr>
                <w:rFonts w:ascii="Arial;sans-serif" w:hAnsi="Arial;sans-serif"/>
                <w:b w:val="false"/>
                <w:sz w:val="16"/>
              </w:rPr>
              <w:t>3.0%</w:t>
            </w:r>
          </w:p>
        </w:tc>
      </w:tr>
      <w:tr>
        <w:trPr/>
        <w:tc>
          <w:tcPr>
            <w:tcW w:w="1666" w:type="dxa"/>
            <w:tcBorders/>
            <w:vAlign w:val="center"/>
          </w:tcPr>
          <w:p>
            <w:pPr>
              <w:pStyle w:val="TableContents"/>
              <w:bidi w:val="0"/>
              <w:spacing w:before="0" w:after="0"/>
              <w:ind w:left="100" w:right="0" w:hanging="0"/>
              <w:jc w:val="left"/>
              <w:rPr>
                <w:rFonts w:ascii="Arial;sans-serif" w:hAnsi="Arial;sans-serif"/>
                <w:b w:val="false"/>
                <w:sz w:val="16"/>
              </w:rPr>
            </w:pPr>
            <w:r>
              <w:rPr>
                <w:rFonts w:ascii="Arial;sans-serif" w:hAnsi="Arial;sans-serif"/>
                <w:b w:val="false"/>
                <w:sz w:val="16"/>
              </w:rPr>
              <w:t>Deana L. McPherson</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400,000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77"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412,000</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(1)</w:t>
            </w:r>
          </w:p>
        </w:tc>
        <w:tc>
          <w:tcPr>
            <w:tcW w:w="146" w:type="dxa"/>
            <w:tcBorders/>
            <w:vAlign w:val="center"/>
          </w:tcPr>
          <w:p>
            <w:pPr>
              <w:pStyle w:val="TableContents"/>
              <w:bidi w:val="0"/>
              <w:spacing w:before="0" w:after="0"/>
              <w:ind w:left="0" w:right="0" w:hanging="0"/>
              <w:jc w:val="left"/>
              <w:rPr/>
            </w:pPr>
            <w:r>
              <w:rPr/>
              <w:t> </w:t>
            </w:r>
          </w:p>
        </w:tc>
        <w:tc>
          <w:tcPr>
            <w:tcW w:w="1136" w:type="dxa"/>
            <w:tcBorders/>
            <w:vAlign w:val="center"/>
          </w:tcPr>
          <w:p>
            <w:pPr>
              <w:pStyle w:val="TableContents"/>
              <w:bidi w:val="0"/>
              <w:spacing w:before="0" w:after="0"/>
              <w:ind w:left="0" w:right="0" w:firstLine="100"/>
              <w:jc w:val="center"/>
              <w:rPr>
                <w:rFonts w:ascii="Arial;sans-serif" w:hAnsi="Arial;sans-serif"/>
                <w:b w:val="false"/>
                <w:sz w:val="16"/>
              </w:rPr>
            </w:pPr>
            <w:r>
              <w:rPr>
                <w:rFonts w:ascii="Arial;sans-serif" w:hAnsi="Arial;sans-serif"/>
                <w:b w:val="false"/>
                <w:sz w:val="16"/>
              </w:rPr>
              <w:t>3.0%</w:t>
            </w:r>
          </w:p>
        </w:tc>
      </w:tr>
      <w:tr>
        <w:trPr/>
        <w:tc>
          <w:tcPr>
            <w:tcW w:w="1666" w:type="dxa"/>
            <w:tcBorders/>
            <w:vAlign w:val="center"/>
          </w:tcPr>
          <w:p>
            <w:pPr>
              <w:pStyle w:val="TableContents"/>
              <w:bidi w:val="0"/>
              <w:spacing w:before="0" w:after="0"/>
              <w:ind w:left="100" w:right="0" w:hanging="0"/>
              <w:jc w:val="left"/>
              <w:rPr>
                <w:rFonts w:ascii="Arial;sans-serif" w:hAnsi="Arial;sans-serif"/>
                <w:b w:val="false"/>
                <w:sz w:val="16"/>
              </w:rPr>
            </w:pPr>
            <w:r>
              <w:rPr>
                <w:rFonts w:ascii="Arial;sans-serif" w:hAnsi="Arial;sans-serif"/>
                <w:b w:val="false"/>
                <w:sz w:val="16"/>
              </w:rPr>
              <w:t>Kevin A. Maxwell</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340,000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77"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350,000</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(1)</w:t>
            </w:r>
          </w:p>
        </w:tc>
        <w:tc>
          <w:tcPr>
            <w:tcW w:w="146" w:type="dxa"/>
            <w:tcBorders/>
            <w:vAlign w:val="center"/>
          </w:tcPr>
          <w:p>
            <w:pPr>
              <w:pStyle w:val="TableContents"/>
              <w:bidi w:val="0"/>
              <w:spacing w:before="0" w:after="0"/>
              <w:ind w:left="0" w:right="0" w:hanging="0"/>
              <w:jc w:val="left"/>
              <w:rPr/>
            </w:pPr>
            <w:r>
              <w:rPr/>
              <w:t> </w:t>
            </w:r>
          </w:p>
        </w:tc>
        <w:tc>
          <w:tcPr>
            <w:tcW w:w="1136" w:type="dxa"/>
            <w:tcBorders/>
            <w:vAlign w:val="center"/>
          </w:tcPr>
          <w:p>
            <w:pPr>
              <w:pStyle w:val="TableContents"/>
              <w:bidi w:val="0"/>
              <w:spacing w:before="0" w:after="0"/>
              <w:ind w:left="0" w:right="0" w:firstLine="100"/>
              <w:jc w:val="center"/>
              <w:rPr>
                <w:rFonts w:ascii="Arial;sans-serif" w:hAnsi="Arial;sans-serif"/>
                <w:b w:val="false"/>
                <w:sz w:val="16"/>
              </w:rPr>
            </w:pPr>
            <w:r>
              <w:rPr>
                <w:rFonts w:ascii="Arial;sans-serif" w:hAnsi="Arial;sans-serif"/>
                <w:b w:val="false"/>
                <w:sz w:val="16"/>
              </w:rPr>
              <w:t>2.9%</w:t>
            </w:r>
          </w:p>
        </w:tc>
      </w:tr>
      <w:tr>
        <w:trPr/>
        <w:tc>
          <w:tcPr>
            <w:tcW w:w="1666" w:type="dxa"/>
            <w:tcBorders/>
            <w:vAlign w:val="center"/>
          </w:tcPr>
          <w:p>
            <w:pPr>
              <w:pStyle w:val="TableContents"/>
              <w:bidi w:val="0"/>
              <w:spacing w:before="0" w:after="0"/>
              <w:ind w:left="100" w:right="0" w:hanging="0"/>
              <w:jc w:val="left"/>
              <w:rPr>
                <w:rFonts w:ascii="Arial;sans-serif" w:hAnsi="Arial;sans-serif"/>
                <w:b w:val="false"/>
                <w:sz w:val="16"/>
              </w:rPr>
            </w:pPr>
            <w:r>
              <w:rPr>
                <w:rFonts w:ascii="Arial;sans-serif" w:hAnsi="Arial;sans-serif"/>
                <w:b w:val="false"/>
                <w:sz w:val="16"/>
              </w:rPr>
              <w:t>Susan J. Cupero</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300,000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77"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309,000</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(1)</w:t>
            </w:r>
          </w:p>
        </w:tc>
        <w:tc>
          <w:tcPr>
            <w:tcW w:w="146" w:type="dxa"/>
            <w:tcBorders/>
            <w:vAlign w:val="center"/>
          </w:tcPr>
          <w:p>
            <w:pPr>
              <w:pStyle w:val="TableContents"/>
              <w:bidi w:val="0"/>
              <w:spacing w:before="0" w:after="0"/>
              <w:ind w:left="0" w:right="0" w:hanging="0"/>
              <w:jc w:val="left"/>
              <w:rPr/>
            </w:pPr>
            <w:r>
              <w:rPr/>
              <w:t> </w:t>
            </w:r>
          </w:p>
        </w:tc>
        <w:tc>
          <w:tcPr>
            <w:tcW w:w="1136" w:type="dxa"/>
            <w:tcBorders/>
            <w:vAlign w:val="center"/>
          </w:tcPr>
          <w:p>
            <w:pPr>
              <w:pStyle w:val="TableContents"/>
              <w:bidi w:val="0"/>
              <w:spacing w:before="0" w:after="0"/>
              <w:ind w:left="0" w:right="0" w:hanging="0"/>
              <w:jc w:val="center"/>
              <w:rPr>
                <w:rFonts w:ascii="Arial;sans-serif" w:hAnsi="Arial;sans-serif"/>
                <w:b w:val="false"/>
                <w:sz w:val="16"/>
              </w:rPr>
            </w:pPr>
            <w:r>
              <w:rPr>
                <w:rFonts w:ascii="Arial;sans-serif" w:hAnsi="Arial;sans-serif"/>
                <w:b w:val="false"/>
                <w:sz w:val="16"/>
              </w:rPr>
              <w:t>3.0%</w:t>
            </w:r>
          </w:p>
        </w:tc>
      </w:tr>
      <w:tr>
        <w:trPr/>
        <w:tc>
          <w:tcPr>
            <w:tcW w:w="16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7"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0"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3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Arial;sans-serif" w:hAnsi="Arial;sans-serif"/>
          <w:b w:val="false"/>
          <w:sz w:val="16"/>
        </w:rPr>
      </w:pPr>
      <w:r>
        <w:rPr>
          <w:rFonts w:ascii="Arial;sans-serif" w:hAnsi="Arial;sans-serif"/>
          <w:b w:val="false"/>
          <w:sz w:val="16"/>
        </w:rPr>
        <w:t>(1) The increase took into account peer company comparisons and additional experience in the position.</w:t>
      </w:r>
    </w:p>
    <w:p>
      <w:pPr>
        <w:pStyle w:val="TextBody"/>
        <w:bidi w:val="0"/>
        <w:spacing w:before="0" w:after="0"/>
        <w:jc w:val="both"/>
        <w:rPr/>
      </w:pPr>
      <w:r>
        <w:rPr/>
        <w:t> </w:t>
      </w:r>
    </w:p>
    <w:p>
      <w:pPr>
        <w:pStyle w:val="TextBody"/>
        <w:bidi w:val="0"/>
        <w:spacing w:before="0" w:after="0"/>
        <w:jc w:val="both"/>
        <w:rPr>
          <w:rFonts w:ascii="Arial;sans-serif" w:hAnsi="Arial;sans-serif"/>
          <w:b w:val="false"/>
          <w:sz w:val="24"/>
          <w:u w:val="single"/>
        </w:rPr>
      </w:pPr>
      <w:r>
        <w:rPr>
          <w:rFonts w:ascii="Arial;sans-serif" w:hAnsi="Arial;sans-serif"/>
          <w:b w:val="false"/>
          <w:sz w:val="24"/>
          <w:u w:val="single"/>
        </w:rPr>
        <w:t>Annual Performance-Based Cash Incentive Compensation</w:t>
      </w:r>
    </w:p>
    <w:p>
      <w:pPr>
        <w:pStyle w:val="TextBody"/>
        <w:bidi w:val="0"/>
        <w:spacing w:before="0" w:after="0"/>
        <w:jc w:val="both"/>
        <w:rPr>
          <w:rFonts w:ascii="Times New Roman" w:hAnsi="Times New Roman"/>
          <w:sz w:val="20"/>
        </w:rPr>
      </w:pPr>
      <w:r>
        <w:rPr>
          <w:rFonts w:ascii="Arial;sans-serif" w:hAnsi="Arial;sans-serif"/>
          <w:b w:val="false"/>
          <w:sz w:val="20"/>
        </w:rPr>
        <w:t>Annual performance-based cash incentive compensation is designed to motivate our executives and reward the achievement of specific performance goals that support our business strategy. In designing the cash incentive compensation plan for any particular year or period, the Compensation Committee establishes performance objectives, based primarily on our financial results and the achievement of other corporate goals. In limited cases, the Compensation Committee may consider individual objectives, responsibilities, and performance in determining the amounts payable, but it did not do so in fiscal 2023.</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The Compensation Committee determines the target annual compensation opportunities for our executive officers, with these opportunities being subject to change from year to year based on its periodic review of economic, industry, and competitive data; changes in individual responsibilities; and our overall compensation philosophy. The Compensation Committee confirms, with its independent compensation consultant and our independent audit firm, the achievement of the objectives and approves the payment, if any, of annual cash incentive compensation in the first quarter of the following fiscal year.</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Fiscal 2023 Executive Annual Cash Incentive Program</w:t>
      </w:r>
      <w:r>
        <w:rPr>
          <w:rFonts w:ascii="Arial;sans-serif" w:hAnsi="Arial;sans-serif"/>
          <w:b w:val="false"/>
          <w:sz w:val="20"/>
        </w:rPr>
        <w:t>. In April 2022, the Compensation Committee established the 2023 Executive Annual Bonus Plan, a performance-based cash incentive compensation plan for our executives, including our NEOs (the “2023 Bonus Plan”). The 2023 Bonus Plan provided each participant an opportunity to earn cash incentive compensation based on attaining pre-established objective financial performance metrics and, from time to time, individual performance goals. Each participant was assigned an incentive bonus opportunity expressed as a percentage of base pay and objective financial performance metrics were established with varying weightings totaling 100%. For each metric, threshold, budget, target, and maximum performance levels were set. Final cash incentive compensation was calculated by multiplying each participant’s target percentage by the weighted average percentage calculated for each metric. Cash incentive compensation could not exceed 200% of a participant’s target bonus opportunity, and eligibility for payment of any award was subject to the participant continuing to be employed by us through the end of the fiscal year.</w:t>
      </w:r>
    </w:p>
    <w:p>
      <w:pPr>
        <w:pStyle w:val="TextBody"/>
        <w:bidi w:val="0"/>
        <w:spacing w:before="240" w:after="0"/>
        <w:jc w:val="both"/>
        <w:rPr>
          <w:rFonts w:ascii="Times New Roman" w:hAnsi="Times New Roman"/>
          <w:sz w:val="20"/>
        </w:rPr>
      </w:pPr>
      <w:r>
        <w:rPr>
          <w:rFonts w:ascii="Arial;sans-serif" w:hAnsi="Arial;sans-serif"/>
          <w:b/>
          <w:i/>
          <w:sz w:val="20"/>
        </w:rPr>
        <w:t>Fiscal 2023 Performance Metrics</w:t>
      </w:r>
      <w:r>
        <w:rPr>
          <w:rFonts w:ascii="Arial;sans-serif" w:hAnsi="Arial;sans-serif"/>
          <w:b w:val="false"/>
          <w:sz w:val="20"/>
        </w:rPr>
        <w:t>. For fiscal 2023, the Compensation Committee established Net Sales and Adjusted EBITDAS as the performance metrics for our executives, with a weighting of 40% for Net Sales and 60% for Adjusted EBITDAS. Adjusted EBITDAS also served as the threshold for which the failure to achieve this performance metric would result in no bonus payments regardless of the achievement of the other performance metric.</w:t>
      </w:r>
    </w:p>
    <w:p>
      <w:pPr>
        <w:pStyle w:val="TextBody"/>
        <w:bidi w:val="0"/>
        <w:spacing w:before="240" w:after="0"/>
        <w:jc w:val="both"/>
        <w:rPr>
          <w:rFonts w:ascii="Arial;sans-serif" w:hAnsi="Arial;sans-serif"/>
          <w:b w:val="false"/>
          <w:sz w:val="20"/>
        </w:rPr>
      </w:pPr>
      <w:r>
        <w:rPr>
          <w:rFonts w:ascii="Arial;sans-serif" w:hAnsi="Arial;sans-serif"/>
          <w:b w:val="false"/>
          <w:sz w:val="20"/>
        </w:rPr>
        <w:t>The target award percentages for fiscal 2023 as a percentage of base pay were 100% for Mr. Smith, 75% for Ms. McPherson, and 65% for Mr. Maxwell and Ms. Cupero. There were no individual performance goals for fiscal 2023.</w:t>
      </w:r>
    </w:p>
    <w:p>
      <w:pPr>
        <w:pStyle w:val="TextBody"/>
        <w:bidi w:val="0"/>
        <w:spacing w:before="0" w:after="0"/>
        <w:jc w:val="left"/>
        <w:rPr/>
      </w:pPr>
      <w:r>
        <w:rPr/>
        <w:t> </w:t>
      </w:r>
    </w:p>
    <w:tbl>
      <w:tblPr>
        <w:tblW w:w="3762" w:type="dxa"/>
        <w:jc w:val="left"/>
        <w:tblInd w:w="0" w:type="dxa"/>
        <w:tblLayout w:type="fixed"/>
        <w:tblCellMar>
          <w:top w:w="28" w:type="dxa"/>
          <w:left w:w="28" w:type="dxa"/>
          <w:bottom w:w="28" w:type="dxa"/>
          <w:right w:w="28" w:type="dxa"/>
        </w:tblCellMar>
      </w:tblPr>
      <w:tblGrid>
        <w:gridCol w:w="2266"/>
        <w:gridCol w:w="1496"/>
      </w:tblGrid>
      <w:tr>
        <w:trPr/>
        <w:tc>
          <w:tcPr>
            <w:tcW w:w="226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23</w:t>
            </w:r>
            <w:r>
              <w:rPr>
                <w:rFonts w:ascii="Times New Roman" w:hAnsi="Times New Roman"/>
                <w:sz w:val="18"/>
              </w:rPr>
              <w:t> </w:t>
            </w:r>
            <w:r>
              <w:rPr>
                <w:rFonts w:ascii="Arial;sans-serif" w:hAnsi="Arial;sans-serif"/>
                <w:b w:val="false"/>
                <w:sz w:val="18"/>
              </w:rPr>
              <w:t>I 2023 Proxy Statement</w:t>
            </w:r>
          </w:p>
        </w:tc>
        <w:tc>
          <w:tcPr>
            <w:tcW w:w="1496" w:type="dxa"/>
            <w:tcBorders/>
            <w:vAlign w:val="center"/>
          </w:tcPr>
          <w:p>
            <w:pPr>
              <w:pStyle w:val="TableContents"/>
              <w:bidi w:val="0"/>
              <w:spacing w:before="0" w:after="0"/>
              <w:ind w:left="0" w:right="0" w:hanging="0"/>
              <w:jc w:val="right"/>
              <w:rPr/>
            </w:pPr>
            <w:r>
              <w:rPr/>
              <w:drawing>
                <wp:inline distT="0" distB="0" distL="0" distR="0">
                  <wp:extent cx="828675" cy="1905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828675" cy="190500"/>
                          </a:xfrm>
                          <a:prstGeom prst="rect">
                            <a:avLst/>
                          </a:prstGeom>
                        </pic:spPr>
                      </pic:pic>
                    </a:graphicData>
                  </a:graphic>
                </wp:inline>
              </w:drawing>
            </w: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2277" w:type="dxa"/>
        <w:jc w:val="left"/>
        <w:tblInd w:w="0" w:type="dxa"/>
        <w:tblLayout w:type="fixed"/>
        <w:tblCellMar>
          <w:top w:w="28" w:type="dxa"/>
          <w:left w:w="28" w:type="dxa"/>
          <w:bottom w:w="28" w:type="dxa"/>
          <w:right w:w="28" w:type="dxa"/>
        </w:tblCellMar>
      </w:tblPr>
      <w:tblGrid>
        <w:gridCol w:w="2086"/>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Compensation Matters</w:t>
            </w:r>
          </w:p>
        </w:tc>
        <w:tc>
          <w:tcPr>
            <w:tcW w:w="191" w:type="dxa"/>
            <w:tcBorders/>
            <w:vAlign w:val="center"/>
          </w:tcPr>
          <w:p>
            <w:pPr>
              <w:pStyle w:val="TableContents"/>
              <w:bidi w:val="0"/>
              <w:spacing w:before="0" w:after="0"/>
              <w:ind w:left="0" w:right="0" w:hanging="0"/>
              <w:jc w:val="left"/>
              <w:rPr/>
            </w:pPr>
            <w:r>
              <w:rPr/>
              <w:t> </w:t>
            </w:r>
          </w:p>
        </w:tc>
      </w:tr>
      <w:tr>
        <w:trPr/>
        <w:tc>
          <w:tcPr>
            <w:tcW w:w="208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val="false"/>
          <w:sz w:val="20"/>
        </w:rPr>
        <w:t>For these purposes, “Adjusted EBITDAS” means our net income as reported in the Form 10-K adding back interest, taxes, depreciation, amortization, non-cash stock compensation expense and any nonrecurring expenses as determined by the Compensation Committee as set forth in the 2023 Bonus Plan or at any time thereafter. For fiscal 2023, the Compensation Committee determined to include the following nonrecurring expenses: (i) accelerated expenses related to the refinance of our credit facility, if any; (ii) fair value inventory step-up and backlog expense; (iii) all acquisition or merger related expenses associated with negotiating, conducting diligence, and closing for any acquired company or merger; (iv) any costs associated with the Relocation, including severance, relocation, recruiting, construction and duplication of costs; (v) changes in contingent consideration; (vi) impairment charges for goodwill, tangible, or intangible assets; (vii) costs incurred relating to shareholder activism; (viii) any gain or loss incurred on a sale or disposal of a product line, which sale or disposal is approved by the Board; (ix) costs directly related to inventory that cannot be sold or otherwise used by us, which unsaleable or unusable inventory is the result of a change in federal firearms law; and (x) any costs/impact related to the implementation of any new accounting pronouncements that become effective during the fiscal year. To the extent practicable, each amount was calculated based upon the numbers used in the audited financial statements and, if possible, in the same amount as reported in the Form 10-K.</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The financial performance metrics established under the 2023 Bonus Plan were as follows:</w:t>
      </w:r>
    </w:p>
    <w:p>
      <w:pPr>
        <w:pStyle w:val="TextBody"/>
        <w:bidi w:val="0"/>
        <w:spacing w:before="0" w:after="0"/>
        <w:jc w:val="both"/>
        <w:rPr/>
      </w:pPr>
      <w:r>
        <w:rPr/>
        <w:t> </w:t>
      </w:r>
    </w:p>
    <w:tbl>
      <w:tblPr>
        <w:tblW w:w="6490" w:type="dxa"/>
        <w:jc w:val="left"/>
        <w:tblInd w:w="0" w:type="dxa"/>
        <w:tblLayout w:type="fixed"/>
        <w:tblCellMar>
          <w:top w:w="28" w:type="dxa"/>
          <w:left w:w="28" w:type="dxa"/>
          <w:bottom w:w="28" w:type="dxa"/>
          <w:right w:w="28" w:type="dxa"/>
        </w:tblCellMar>
      </w:tblPr>
      <w:tblGrid>
        <w:gridCol w:w="1741"/>
        <w:gridCol w:w="146"/>
        <w:gridCol w:w="256"/>
        <w:gridCol w:w="193"/>
        <w:gridCol w:w="918"/>
        <w:gridCol w:w="146"/>
        <w:gridCol w:w="146"/>
        <w:gridCol w:w="193"/>
        <w:gridCol w:w="678"/>
        <w:gridCol w:w="256"/>
        <w:gridCol w:w="146"/>
        <w:gridCol w:w="259"/>
        <w:gridCol w:w="911"/>
        <w:gridCol w:w="50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1741" w:type="dxa"/>
            <w:tcBorders>
              <w:bottom w:val="single" w:sz="18" w:space="0" w:color="000000"/>
            </w:tcBorders>
            <w:tcMar>
              <w:top w:w="0" w:type="dxa"/>
              <w:left w:w="0" w:type="dxa"/>
              <w:right w:w="0" w:type="dxa"/>
            </w:tcMar>
            <w:vAlign w:val="center"/>
          </w:tcPr>
          <w:p>
            <w:pPr>
              <w:pStyle w:val="TableContents"/>
              <w:bidi w:val="0"/>
              <w:spacing w:before="0" w:after="0"/>
              <w:ind w:left="200" w:right="0" w:hanging="0"/>
              <w:jc w:val="left"/>
              <w:rPr>
                <w:rFonts w:ascii="Arial;sans-serif" w:hAnsi="Arial;sans-serif"/>
                <w:b/>
                <w:sz w:val="16"/>
              </w:rPr>
            </w:pPr>
            <w:r>
              <w:rPr>
                <w:rFonts w:ascii="Arial;sans-serif" w:hAnsi="Arial;sans-serif"/>
                <w:b/>
                <w:sz w:val="16"/>
              </w:rPr>
              <w:t>Performance Metrics</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11"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Target</w:t>
              <w:br/>
              <w:t>Performance</w:t>
              <w:br/>
              <w:t>(in 000's)</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1"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Potential</w:t>
              <w:br/>
              <w:t>Maximum</w:t>
              <w:br/>
              <w:t>Payout of</w:t>
              <w:br/>
              <w:t>Target</w:t>
              <w:br/>
              <w:t>Bonus</w:t>
            </w:r>
          </w:p>
        </w:tc>
        <w:tc>
          <w:tcPr>
            <w:tcW w:w="25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70"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Performance</w:t>
              <w:br/>
              <w:t>Required</w:t>
              <w:br/>
              <w:t>to Earn</w:t>
              <w:br/>
              <w:t>Maximum</w:t>
              <w:br/>
              <w:t>Payout</w:t>
              <w:br/>
              <w:t>(as a % of</w:t>
              <w:br/>
              <w:t>Target</w:t>
              <w:br/>
              <w:t>Performance)</w:t>
            </w:r>
          </w:p>
        </w:tc>
        <w:tc>
          <w:tcPr>
            <w:tcW w:w="501" w:type="dxa"/>
            <w:tcBorders>
              <w:bottom w:val="single" w:sz="18" w:space="0" w:color="000000"/>
            </w:tcBorders>
            <w:tcMar>
              <w:top w:w="0" w:type="dxa"/>
              <w:left w:w="0" w:type="dxa"/>
              <w:right w:w="0" w:type="dxa"/>
            </w:tcMar>
            <w:vAlign w:val="center"/>
          </w:tcPr>
          <w:p>
            <w:pPr>
              <w:pStyle w:val="TableContents"/>
              <w:bidi w:val="0"/>
              <w:spacing w:before="0" w:after="0"/>
              <w:ind w:left="0" w:right="0" w:firstLine="200"/>
              <w:jc w:val="center"/>
              <w:rPr/>
            </w:pPr>
            <w:r>
              <w:rPr/>
              <w:t> </w:t>
            </w:r>
          </w:p>
        </w:tc>
      </w:tr>
      <w:tr>
        <w:trPr/>
        <w:tc>
          <w:tcPr>
            <w:tcW w:w="1741" w:type="dxa"/>
            <w:tcBorders/>
            <w:vAlign w:val="center"/>
          </w:tcPr>
          <w:p>
            <w:pPr>
              <w:pStyle w:val="TableContents"/>
              <w:bidi w:val="0"/>
              <w:spacing w:before="0" w:after="0"/>
              <w:ind w:left="200" w:right="0" w:hanging="0"/>
              <w:jc w:val="left"/>
              <w:rPr>
                <w:rFonts w:ascii="Arial;sans-serif" w:hAnsi="Arial;sans-serif"/>
                <w:b w:val="false"/>
                <w:sz w:val="16"/>
              </w:rPr>
            </w:pPr>
            <w:r>
              <w:rPr>
                <w:rFonts w:ascii="Arial;sans-serif" w:hAnsi="Arial;sans-serif"/>
                <w:b w:val="false"/>
                <w:sz w:val="16"/>
              </w:rPr>
              <w:t>Net Sales</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r>
              <w:rPr>
                <w:rFonts w:ascii="Arial;sans-serif" w:hAnsi="Arial;sans-serif"/>
                <w:b w:val="false"/>
                <w:sz w:val="16"/>
              </w:rPr>
              <w:t>$</w:t>
            </w:r>
          </w:p>
        </w:tc>
        <w:tc>
          <w:tcPr>
            <w:tcW w:w="193" w:type="dxa"/>
            <w:tcBorders/>
            <w:vAlign w:val="center"/>
          </w:tcPr>
          <w:p>
            <w:pPr>
              <w:pStyle w:val="TableContents"/>
              <w:bidi w:val="0"/>
              <w:spacing w:before="0" w:after="0"/>
              <w:ind w:left="0" w:right="0" w:hanging="0"/>
              <w:jc w:val="left"/>
              <w:rPr/>
            </w:pPr>
            <w:r>
              <w:rPr/>
              <w:t> </w:t>
            </w:r>
          </w:p>
        </w:tc>
        <w:tc>
          <w:tcPr>
            <w:tcW w:w="91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864,126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200.0</w:t>
            </w:r>
          </w:p>
        </w:tc>
        <w:tc>
          <w:tcPr>
            <w:tcW w:w="25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115.0</w:t>
            </w:r>
          </w:p>
        </w:tc>
        <w:tc>
          <w:tcPr>
            <w:tcW w:w="501" w:type="dxa"/>
            <w:tcBorders/>
            <w:vAlign w:val="center"/>
          </w:tcPr>
          <w:p>
            <w:pPr>
              <w:pStyle w:val="TableContents"/>
              <w:bidi w:val="0"/>
              <w:spacing w:before="0" w:after="0"/>
              <w:ind w:left="0" w:right="0" w:firstLine="200"/>
              <w:jc w:val="left"/>
              <w:rPr>
                <w:rFonts w:ascii="Arial;sans-serif" w:hAnsi="Arial;sans-serif"/>
                <w:b w:val="false"/>
                <w:sz w:val="16"/>
              </w:rPr>
            </w:pPr>
            <w:r>
              <w:rPr>
                <w:rFonts w:ascii="Arial;sans-serif" w:hAnsi="Arial;sans-serif"/>
                <w:b w:val="false"/>
                <w:sz w:val="16"/>
              </w:rPr>
              <w:t>%</w:t>
            </w:r>
          </w:p>
        </w:tc>
      </w:tr>
      <w:tr>
        <w:trPr/>
        <w:tc>
          <w:tcPr>
            <w:tcW w:w="1741" w:type="dxa"/>
            <w:tcBorders/>
            <w:vAlign w:val="center"/>
          </w:tcPr>
          <w:p>
            <w:pPr>
              <w:pStyle w:val="TableContents"/>
              <w:bidi w:val="0"/>
              <w:spacing w:before="0" w:after="0"/>
              <w:ind w:left="200" w:right="0" w:hanging="0"/>
              <w:jc w:val="left"/>
              <w:rPr>
                <w:rFonts w:ascii="Arial;sans-serif" w:hAnsi="Arial;sans-serif"/>
                <w:b w:val="false"/>
                <w:sz w:val="16"/>
              </w:rPr>
            </w:pPr>
            <w:r>
              <w:rPr>
                <w:rFonts w:ascii="Arial;sans-serif" w:hAnsi="Arial;sans-serif"/>
                <w:b w:val="false"/>
                <w:sz w:val="16"/>
              </w:rPr>
              <w:t>Adjusted EBITDAS</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r>
              <w:rPr>
                <w:rFonts w:ascii="Arial;sans-serif" w:hAnsi="Arial;sans-serif"/>
                <w:b w:val="false"/>
                <w:sz w:val="16"/>
              </w:rPr>
              <w:t>$</w:t>
            </w:r>
          </w:p>
        </w:tc>
        <w:tc>
          <w:tcPr>
            <w:tcW w:w="193" w:type="dxa"/>
            <w:tcBorders/>
            <w:vAlign w:val="center"/>
          </w:tcPr>
          <w:p>
            <w:pPr>
              <w:pStyle w:val="TableContents"/>
              <w:bidi w:val="0"/>
              <w:spacing w:before="0" w:after="0"/>
              <w:ind w:left="0" w:right="0" w:hanging="0"/>
              <w:jc w:val="left"/>
              <w:rPr/>
            </w:pPr>
            <w:r>
              <w:rPr/>
              <w:t> </w:t>
            </w:r>
          </w:p>
        </w:tc>
        <w:tc>
          <w:tcPr>
            <w:tcW w:w="91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300,864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200.0</w:t>
            </w:r>
          </w:p>
        </w:tc>
        <w:tc>
          <w:tcPr>
            <w:tcW w:w="25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115.0</w:t>
            </w:r>
          </w:p>
        </w:tc>
        <w:tc>
          <w:tcPr>
            <w:tcW w:w="50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r>
      <w:tr>
        <w:trPr/>
        <w:tc>
          <w:tcPr>
            <w:tcW w:w="174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11"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1"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70"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40" w:after="0"/>
        <w:jc w:val="both"/>
        <w:rPr>
          <w:rFonts w:ascii="Times New Roman" w:hAnsi="Times New Roman"/>
          <w:sz w:val="20"/>
        </w:rPr>
      </w:pPr>
      <w:r>
        <w:rPr>
          <w:rFonts w:ascii="Arial;sans-serif" w:hAnsi="Arial;sans-serif"/>
          <w:b w:val="false"/>
          <w:sz w:val="20"/>
        </w:rPr>
        <w:t>The failure to reach the threshold metric of at least $141,277, or 47.0% of target, for the Adjusted EBITDAS metric would result in no bonus payments regardless of the achievement of the Net Sales metric.</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In fiscal 2023, Net Sales and Adjusted EBITDAS, for purposes of compensation, were $479.2 million and $95.2 million, respectively, compared with $864.0 million and $299.6 million, respectively, in fiscal 2022. We experienced historic levels of demand for our products in parts of fiscal 2021 and fiscal 2022, in part because of the impact of COVID-19 and the social unrest experienced in the U.S. during the summer of 2020. Since then, demand for our products has returned to more normalized levels, which adversely impacted our year-over-year financial and operating results in fiscal 2023.</w:t>
      </w:r>
    </w:p>
    <w:p>
      <w:pPr>
        <w:pStyle w:val="TextBody"/>
        <w:bidi w:val="0"/>
        <w:spacing w:before="240" w:after="0"/>
        <w:jc w:val="both"/>
        <w:rPr>
          <w:rFonts w:ascii="Arial;sans-serif" w:hAnsi="Arial;sans-serif"/>
          <w:b w:val="false"/>
          <w:sz w:val="20"/>
        </w:rPr>
      </w:pPr>
      <w:r>
        <w:rPr>
          <w:rFonts w:ascii="Arial;sans-serif" w:hAnsi="Arial;sans-serif"/>
          <w:b w:val="false"/>
          <w:sz w:val="20"/>
        </w:rPr>
        <w:t>The table below sets forth for each NEO the annual fiscal 2023 base salary, the target bonus percentage, the annualized target cash bonus opportunity, and the actual bonus paid for fiscal 2023 reflected as a percentage of target bonus opportunity and in cash:</w:t>
      </w:r>
    </w:p>
    <w:p>
      <w:pPr>
        <w:pStyle w:val="TextBody"/>
        <w:bidi w:val="0"/>
        <w:spacing w:before="0" w:after="0"/>
        <w:jc w:val="both"/>
        <w:rPr/>
      </w:pPr>
      <w:r>
        <w:rPr/>
        <w:t> </w:t>
      </w:r>
    </w:p>
    <w:tbl>
      <w:tblPr>
        <w:tblW w:w="8441" w:type="dxa"/>
        <w:jc w:val="left"/>
        <w:tblInd w:w="0" w:type="dxa"/>
        <w:tblLayout w:type="fixed"/>
        <w:tblCellMar>
          <w:top w:w="28" w:type="dxa"/>
          <w:left w:w="28" w:type="dxa"/>
          <w:bottom w:w="28" w:type="dxa"/>
          <w:right w:w="28" w:type="dxa"/>
        </w:tblCellMar>
      </w:tblPr>
      <w:tblGrid>
        <w:gridCol w:w="1666"/>
        <w:gridCol w:w="146"/>
        <w:gridCol w:w="196"/>
        <w:gridCol w:w="146"/>
        <w:gridCol w:w="691"/>
        <w:gridCol w:w="146"/>
        <w:gridCol w:w="146"/>
        <w:gridCol w:w="991"/>
        <w:gridCol w:w="146"/>
        <w:gridCol w:w="196"/>
        <w:gridCol w:w="188"/>
        <w:gridCol w:w="893"/>
        <w:gridCol w:w="146"/>
        <w:gridCol w:w="146"/>
        <w:gridCol w:w="1186"/>
        <w:gridCol w:w="146"/>
        <w:gridCol w:w="334"/>
        <w:gridCol w:w="641"/>
        <w:gridCol w:w="29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666" w:type="dxa"/>
            <w:tcBorders>
              <w:bottom w:val="single" w:sz="18" w:space="0" w:color="000000"/>
            </w:tcBorders>
            <w:tcMar>
              <w:top w:w="0" w:type="dxa"/>
              <w:left w:w="0" w:type="dxa"/>
              <w:right w:w="0" w:type="dxa"/>
            </w:tcMar>
            <w:vAlign w:val="center"/>
          </w:tcPr>
          <w:p>
            <w:pPr>
              <w:pStyle w:val="TableContents"/>
              <w:bidi w:val="0"/>
              <w:spacing w:before="0" w:after="0"/>
              <w:ind w:left="100" w:right="0" w:hanging="0"/>
              <w:jc w:val="left"/>
              <w:rPr>
                <w:rFonts w:ascii="Arial;sans-serif" w:hAnsi="Arial;sans-serif"/>
                <w:b/>
                <w:sz w:val="16"/>
              </w:rPr>
            </w:pPr>
            <w:r>
              <w:rPr>
                <w:rFonts w:ascii="Arial;sans-serif" w:hAnsi="Arial;sans-serif"/>
                <w:b/>
                <w:sz w:val="16"/>
              </w:rPr>
              <w:t>Name</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33" w:type="dxa"/>
            <w:gridSpan w:val="3"/>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Annual</w:t>
              <w:br/>
              <w:t>Fiscal 2023</w:t>
              <w:br/>
              <w:t>Base Salary</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9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Target</w:t>
              <w:br/>
              <w:t>Bonus</w:t>
              <w:br/>
              <w:t>Percentage</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81"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Annualized</w:t>
              <w:br/>
              <w:t>Target Cash</w:t>
              <w:br/>
              <w:t>Bonus</w:t>
              <w:br/>
              <w:t>Opportunity</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8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Actual Bonus</w:t>
              <w:br/>
              <w:t>paid for</w:t>
              <w:br/>
              <w:t>Fiscal 2023</w:t>
              <w:br/>
              <w:t>(as a % of</w:t>
              <w:br/>
              <w:t>Target</w:t>
              <w:br/>
              <w:t>Bonus</w:t>
              <w:br/>
              <w:t>Opportunity</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5"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Actual</w:t>
              <w:br/>
              <w:t>Bonus</w:t>
              <w:br/>
              <w:t>Paid for</w:t>
              <w:br/>
              <w:t>Fiscal 2023</w:t>
            </w:r>
          </w:p>
        </w:tc>
        <w:tc>
          <w:tcPr>
            <w:tcW w:w="291" w:type="dxa"/>
            <w:tcBorders>
              <w:bottom w:val="single" w:sz="18" w:space="0" w:color="000000"/>
            </w:tcBorders>
            <w:tcMar>
              <w:top w:w="0" w:type="dxa"/>
              <w:left w:w="0" w:type="dxa"/>
              <w:right w:w="0" w:type="dxa"/>
            </w:tcMar>
            <w:vAlign w:val="center"/>
          </w:tcPr>
          <w:p>
            <w:pPr>
              <w:pStyle w:val="TableContents"/>
              <w:bidi w:val="0"/>
              <w:spacing w:before="0" w:after="0"/>
              <w:ind w:left="0" w:right="0" w:firstLine="100"/>
              <w:jc w:val="center"/>
              <w:rPr/>
            </w:pPr>
            <w:r>
              <w:rPr/>
              <w:t> </w:t>
            </w:r>
          </w:p>
        </w:tc>
      </w:tr>
      <w:tr>
        <w:trPr/>
        <w:tc>
          <w:tcPr>
            <w:tcW w:w="1666" w:type="dxa"/>
            <w:tcBorders/>
            <w:vAlign w:val="center"/>
          </w:tcPr>
          <w:p>
            <w:pPr>
              <w:pStyle w:val="TableContents"/>
              <w:bidi w:val="0"/>
              <w:spacing w:before="0" w:after="0"/>
              <w:ind w:left="100" w:right="0" w:hanging="0"/>
              <w:jc w:val="left"/>
              <w:rPr>
                <w:rFonts w:ascii="Arial;sans-serif" w:hAnsi="Arial;sans-serif"/>
                <w:b w:val="false"/>
                <w:sz w:val="16"/>
              </w:rPr>
            </w:pPr>
            <w:r>
              <w:rPr>
                <w:rFonts w:ascii="Arial;sans-serif" w:hAnsi="Arial;sans-serif"/>
                <w:b w:val="false"/>
                <w:sz w:val="16"/>
              </w:rPr>
              <w:t>Mark P. Smith</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721,000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center"/>
              <w:rPr>
                <w:rFonts w:ascii="Arial;sans-serif" w:hAnsi="Arial;sans-serif"/>
                <w:b w:val="false"/>
                <w:sz w:val="16"/>
              </w:rPr>
            </w:pPr>
            <w:r>
              <w:rPr>
                <w:rFonts w:ascii="Arial;sans-serif" w:hAnsi="Arial;sans-serif"/>
                <w:b w:val="false"/>
                <w:sz w:val="16"/>
              </w:rPr>
              <w:t>100%</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center"/>
              <w:rPr>
                <w:rFonts w:ascii="Arial;sans-serif" w:hAnsi="Arial;sans-serif"/>
                <w:b w:val="false"/>
                <w:sz w:val="16"/>
              </w:rPr>
            </w:pPr>
            <w:r>
              <w:rPr>
                <w:rFonts w:ascii="Arial;sans-serif" w:hAnsi="Arial;sans-serif"/>
                <w:b w:val="false"/>
                <w:sz w:val="16"/>
              </w:rPr>
              <w:t>$</w:t>
            </w:r>
          </w:p>
        </w:tc>
        <w:tc>
          <w:tcPr>
            <w:tcW w:w="18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721,000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186" w:type="dxa"/>
            <w:tcBorders/>
            <w:vAlign w:val="center"/>
          </w:tcPr>
          <w:p>
            <w:pPr>
              <w:pStyle w:val="TableContents"/>
              <w:bidi w:val="0"/>
              <w:spacing w:before="0" w:after="0"/>
              <w:ind w:left="0" w:right="0" w:hanging="0"/>
              <w:jc w:val="center"/>
              <w:rPr>
                <w:rFonts w:ascii="Arial;sans-serif" w:hAnsi="Arial;sans-serif"/>
                <w:b w:val="false"/>
                <w:sz w:val="16"/>
              </w:rPr>
            </w:pPr>
            <w:r>
              <w:rPr>
                <w:rFonts w:ascii="Arial;sans-serif" w:hAnsi="Arial;sans-serif"/>
                <w:b w:val="false"/>
                <w:sz w:val="16"/>
              </w:rPr>
              <w:t>0.0%</w:t>
            </w:r>
          </w:p>
        </w:tc>
        <w:tc>
          <w:tcPr>
            <w:tcW w:w="146" w:type="dxa"/>
            <w:tcBorders/>
            <w:vAlign w:val="center"/>
          </w:tcPr>
          <w:p>
            <w:pPr>
              <w:pStyle w:val="TableContents"/>
              <w:bidi w:val="0"/>
              <w:spacing w:before="0" w:after="0"/>
              <w:ind w:left="0" w:right="0" w:hanging="0"/>
              <w:jc w:val="center"/>
              <w:rPr/>
            </w:pPr>
            <w:r>
              <w:rPr/>
              <w:t> </w:t>
            </w:r>
          </w:p>
        </w:tc>
        <w:tc>
          <w:tcPr>
            <w:tcW w:w="334"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641"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firstLine="100"/>
              <w:jc w:val="left"/>
              <w:rPr/>
            </w:pPr>
            <w:r>
              <w:rPr/>
              <w:t> </w:t>
            </w:r>
          </w:p>
        </w:tc>
      </w:tr>
      <w:tr>
        <w:trPr/>
        <w:tc>
          <w:tcPr>
            <w:tcW w:w="1666" w:type="dxa"/>
            <w:tcBorders/>
            <w:vAlign w:val="center"/>
          </w:tcPr>
          <w:p>
            <w:pPr>
              <w:pStyle w:val="TableContents"/>
              <w:bidi w:val="0"/>
              <w:spacing w:before="0" w:after="0"/>
              <w:ind w:left="100" w:right="0" w:hanging="0"/>
              <w:jc w:val="left"/>
              <w:rPr>
                <w:rFonts w:ascii="Arial;sans-serif" w:hAnsi="Arial;sans-serif"/>
                <w:b w:val="false"/>
                <w:sz w:val="16"/>
              </w:rPr>
            </w:pPr>
            <w:r>
              <w:rPr>
                <w:rFonts w:ascii="Arial;sans-serif" w:hAnsi="Arial;sans-serif"/>
                <w:b w:val="false"/>
                <w:sz w:val="16"/>
              </w:rPr>
              <w:t>Deana L. McPherson</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412,000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center"/>
              <w:rPr>
                <w:rFonts w:ascii="Arial;sans-serif" w:hAnsi="Arial;sans-serif"/>
                <w:b w:val="false"/>
                <w:sz w:val="16"/>
              </w:rPr>
            </w:pPr>
            <w:r>
              <w:rPr>
                <w:rFonts w:ascii="Arial;sans-serif" w:hAnsi="Arial;sans-serif"/>
                <w:b w:val="false"/>
                <w:sz w:val="16"/>
              </w:rPr>
              <w:t>75%</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center"/>
              <w:rPr>
                <w:rFonts w:ascii="Arial;sans-serif" w:hAnsi="Arial;sans-serif"/>
                <w:b w:val="false"/>
                <w:sz w:val="16"/>
              </w:rPr>
            </w:pPr>
            <w:r>
              <w:rPr>
                <w:rFonts w:ascii="Arial;sans-serif" w:hAnsi="Arial;sans-serif"/>
                <w:b w:val="false"/>
                <w:sz w:val="16"/>
              </w:rPr>
              <w:t>$</w:t>
            </w:r>
          </w:p>
        </w:tc>
        <w:tc>
          <w:tcPr>
            <w:tcW w:w="18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309,000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186" w:type="dxa"/>
            <w:tcBorders/>
            <w:vAlign w:val="center"/>
          </w:tcPr>
          <w:p>
            <w:pPr>
              <w:pStyle w:val="TableContents"/>
              <w:bidi w:val="0"/>
              <w:spacing w:before="0" w:after="0"/>
              <w:ind w:left="0" w:right="0" w:hanging="0"/>
              <w:jc w:val="center"/>
              <w:rPr>
                <w:rFonts w:ascii="Arial;sans-serif" w:hAnsi="Arial;sans-serif"/>
                <w:b w:val="false"/>
                <w:sz w:val="16"/>
              </w:rPr>
            </w:pPr>
            <w:r>
              <w:rPr>
                <w:rFonts w:ascii="Arial;sans-serif" w:hAnsi="Arial;sans-serif"/>
                <w:b w:val="false"/>
                <w:sz w:val="16"/>
              </w:rPr>
              <w:t>0.0%</w:t>
            </w:r>
          </w:p>
        </w:tc>
        <w:tc>
          <w:tcPr>
            <w:tcW w:w="146" w:type="dxa"/>
            <w:tcBorders/>
            <w:vAlign w:val="center"/>
          </w:tcPr>
          <w:p>
            <w:pPr>
              <w:pStyle w:val="TableContents"/>
              <w:bidi w:val="0"/>
              <w:spacing w:before="0" w:after="0"/>
              <w:ind w:left="0" w:right="0" w:hanging="0"/>
              <w:jc w:val="center"/>
              <w:rPr/>
            </w:pPr>
            <w:r>
              <w:rPr/>
              <w:t> </w:t>
            </w:r>
          </w:p>
        </w:tc>
        <w:tc>
          <w:tcPr>
            <w:tcW w:w="334"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641"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firstLine="100"/>
              <w:jc w:val="left"/>
              <w:rPr/>
            </w:pPr>
            <w:r>
              <w:rPr/>
              <w:t> </w:t>
            </w:r>
          </w:p>
        </w:tc>
      </w:tr>
      <w:tr>
        <w:trPr/>
        <w:tc>
          <w:tcPr>
            <w:tcW w:w="1666" w:type="dxa"/>
            <w:tcBorders/>
            <w:vAlign w:val="center"/>
          </w:tcPr>
          <w:p>
            <w:pPr>
              <w:pStyle w:val="TableContents"/>
              <w:bidi w:val="0"/>
              <w:spacing w:before="0" w:after="0"/>
              <w:ind w:left="100" w:right="0" w:hanging="0"/>
              <w:jc w:val="left"/>
              <w:rPr>
                <w:rFonts w:ascii="Arial;sans-serif" w:hAnsi="Arial;sans-serif"/>
                <w:b w:val="false"/>
                <w:sz w:val="16"/>
              </w:rPr>
            </w:pPr>
            <w:r>
              <w:rPr>
                <w:rFonts w:ascii="Arial;sans-serif" w:hAnsi="Arial;sans-serif"/>
                <w:b w:val="false"/>
                <w:sz w:val="16"/>
              </w:rPr>
              <w:t>Kevin A. Maxwell</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350,000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center"/>
              <w:rPr>
                <w:rFonts w:ascii="Arial;sans-serif" w:hAnsi="Arial;sans-serif"/>
                <w:b w:val="false"/>
                <w:sz w:val="16"/>
              </w:rPr>
            </w:pPr>
            <w:r>
              <w:rPr>
                <w:rFonts w:ascii="Arial;sans-serif" w:hAnsi="Arial;sans-serif"/>
                <w:b w:val="false"/>
                <w:sz w:val="16"/>
              </w:rPr>
              <w:t>65%</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center"/>
              <w:rPr>
                <w:rFonts w:ascii="Arial;sans-serif" w:hAnsi="Arial;sans-serif"/>
                <w:b w:val="false"/>
                <w:sz w:val="16"/>
              </w:rPr>
            </w:pPr>
            <w:r>
              <w:rPr>
                <w:rFonts w:ascii="Arial;sans-serif" w:hAnsi="Arial;sans-serif"/>
                <w:b w:val="false"/>
                <w:sz w:val="16"/>
              </w:rPr>
              <w:t>$</w:t>
            </w:r>
          </w:p>
        </w:tc>
        <w:tc>
          <w:tcPr>
            <w:tcW w:w="18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227,500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186" w:type="dxa"/>
            <w:tcBorders/>
            <w:vAlign w:val="center"/>
          </w:tcPr>
          <w:p>
            <w:pPr>
              <w:pStyle w:val="TableContents"/>
              <w:bidi w:val="0"/>
              <w:spacing w:before="0" w:after="0"/>
              <w:ind w:left="0" w:right="0" w:hanging="0"/>
              <w:jc w:val="center"/>
              <w:rPr>
                <w:rFonts w:ascii="Arial;sans-serif" w:hAnsi="Arial;sans-serif"/>
                <w:b w:val="false"/>
                <w:sz w:val="16"/>
              </w:rPr>
            </w:pPr>
            <w:r>
              <w:rPr>
                <w:rFonts w:ascii="Arial;sans-serif" w:hAnsi="Arial;sans-serif"/>
                <w:b w:val="false"/>
                <w:sz w:val="16"/>
              </w:rPr>
              <w:t>0.0%</w:t>
            </w:r>
          </w:p>
        </w:tc>
        <w:tc>
          <w:tcPr>
            <w:tcW w:w="146" w:type="dxa"/>
            <w:tcBorders/>
            <w:vAlign w:val="center"/>
          </w:tcPr>
          <w:p>
            <w:pPr>
              <w:pStyle w:val="TableContents"/>
              <w:bidi w:val="0"/>
              <w:spacing w:before="0" w:after="0"/>
              <w:ind w:left="0" w:right="0" w:hanging="0"/>
              <w:jc w:val="center"/>
              <w:rPr/>
            </w:pPr>
            <w:r>
              <w:rPr/>
              <w:t> </w:t>
            </w:r>
          </w:p>
        </w:tc>
        <w:tc>
          <w:tcPr>
            <w:tcW w:w="334"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641"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firstLine="100"/>
              <w:jc w:val="left"/>
              <w:rPr/>
            </w:pPr>
            <w:r>
              <w:rPr/>
              <w:t> </w:t>
            </w:r>
          </w:p>
        </w:tc>
      </w:tr>
      <w:tr>
        <w:trPr/>
        <w:tc>
          <w:tcPr>
            <w:tcW w:w="1666" w:type="dxa"/>
            <w:tcBorders/>
            <w:vAlign w:val="center"/>
          </w:tcPr>
          <w:p>
            <w:pPr>
              <w:pStyle w:val="TableContents"/>
              <w:bidi w:val="0"/>
              <w:spacing w:before="0" w:after="0"/>
              <w:ind w:left="100" w:right="0" w:hanging="0"/>
              <w:jc w:val="left"/>
              <w:rPr>
                <w:rFonts w:ascii="Arial;sans-serif" w:hAnsi="Arial;sans-serif"/>
                <w:b w:val="false"/>
                <w:sz w:val="16"/>
              </w:rPr>
            </w:pPr>
            <w:r>
              <w:rPr>
                <w:rFonts w:ascii="Arial;sans-serif" w:hAnsi="Arial;sans-serif"/>
                <w:b w:val="false"/>
                <w:sz w:val="16"/>
              </w:rPr>
              <w:t>Susan J. Cupero</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309,000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center"/>
              <w:rPr>
                <w:rFonts w:ascii="Arial;sans-serif" w:hAnsi="Arial;sans-serif"/>
                <w:b w:val="false"/>
                <w:sz w:val="16"/>
              </w:rPr>
            </w:pPr>
            <w:r>
              <w:rPr>
                <w:rFonts w:ascii="Arial;sans-serif" w:hAnsi="Arial;sans-serif"/>
                <w:b w:val="false"/>
                <w:sz w:val="16"/>
              </w:rPr>
              <w:t>65%</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center"/>
              <w:rPr>
                <w:rFonts w:ascii="Arial;sans-serif" w:hAnsi="Arial;sans-serif"/>
                <w:b w:val="false"/>
                <w:sz w:val="16"/>
              </w:rPr>
            </w:pPr>
            <w:r>
              <w:rPr>
                <w:rFonts w:ascii="Arial;sans-serif" w:hAnsi="Arial;sans-serif"/>
                <w:b w:val="false"/>
                <w:sz w:val="16"/>
              </w:rPr>
              <w:t>$</w:t>
            </w:r>
          </w:p>
        </w:tc>
        <w:tc>
          <w:tcPr>
            <w:tcW w:w="18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200,850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186" w:type="dxa"/>
            <w:tcBorders/>
            <w:vAlign w:val="center"/>
          </w:tcPr>
          <w:p>
            <w:pPr>
              <w:pStyle w:val="TableContents"/>
              <w:bidi w:val="0"/>
              <w:spacing w:before="0" w:after="0"/>
              <w:ind w:left="0" w:right="0" w:hanging="0"/>
              <w:jc w:val="center"/>
              <w:rPr>
                <w:rFonts w:ascii="Arial;sans-serif" w:hAnsi="Arial;sans-serif"/>
                <w:b w:val="false"/>
                <w:sz w:val="16"/>
              </w:rPr>
            </w:pPr>
            <w:r>
              <w:rPr>
                <w:rFonts w:ascii="Arial;sans-serif" w:hAnsi="Arial;sans-serif"/>
                <w:b w:val="false"/>
                <w:sz w:val="16"/>
              </w:rPr>
              <w:t>0.0%</w:t>
            </w:r>
          </w:p>
        </w:tc>
        <w:tc>
          <w:tcPr>
            <w:tcW w:w="146" w:type="dxa"/>
            <w:tcBorders/>
            <w:vAlign w:val="center"/>
          </w:tcPr>
          <w:p>
            <w:pPr>
              <w:pStyle w:val="TableContents"/>
              <w:bidi w:val="0"/>
              <w:spacing w:before="0" w:after="0"/>
              <w:ind w:left="0" w:right="0" w:hanging="0"/>
              <w:jc w:val="center"/>
              <w:rPr/>
            </w:pPr>
            <w:r>
              <w:rPr/>
              <w:t> </w:t>
            </w:r>
          </w:p>
        </w:tc>
        <w:tc>
          <w:tcPr>
            <w:tcW w:w="334"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641"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left"/>
              <w:rPr/>
            </w:pPr>
            <w:r>
              <w:rPr/>
              <w:t> </w:t>
            </w:r>
          </w:p>
        </w:tc>
      </w:tr>
      <w:tr>
        <w:trPr/>
        <w:tc>
          <w:tcPr>
            <w:tcW w:w="16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7"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81"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8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5"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9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left"/>
        <w:rPr/>
      </w:pPr>
      <w:r>
        <w:rPr/>
        <w:t> </w:t>
      </w:r>
    </w:p>
    <w:tbl>
      <w:tblPr>
        <w:tblW w:w="3762" w:type="dxa"/>
        <w:jc w:val="left"/>
        <w:tblInd w:w="0" w:type="dxa"/>
        <w:tblLayout w:type="fixed"/>
        <w:tblCellMar>
          <w:top w:w="28" w:type="dxa"/>
          <w:left w:w="28" w:type="dxa"/>
          <w:bottom w:w="28" w:type="dxa"/>
          <w:right w:w="28" w:type="dxa"/>
        </w:tblCellMar>
      </w:tblPr>
      <w:tblGrid>
        <w:gridCol w:w="2266"/>
        <w:gridCol w:w="1496"/>
      </w:tblGrid>
      <w:tr>
        <w:trPr/>
        <w:tc>
          <w:tcPr>
            <w:tcW w:w="226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24</w:t>
            </w:r>
            <w:r>
              <w:rPr>
                <w:rFonts w:ascii="Times New Roman" w:hAnsi="Times New Roman"/>
                <w:sz w:val="18"/>
              </w:rPr>
              <w:t> </w:t>
            </w:r>
            <w:r>
              <w:rPr>
                <w:rFonts w:ascii="Arial;sans-serif" w:hAnsi="Arial;sans-serif"/>
                <w:b w:val="false"/>
                <w:sz w:val="18"/>
              </w:rPr>
              <w:t>I 2023 Proxy Statement</w:t>
            </w:r>
          </w:p>
        </w:tc>
        <w:tc>
          <w:tcPr>
            <w:tcW w:w="1496" w:type="dxa"/>
            <w:tcBorders/>
            <w:vAlign w:val="center"/>
          </w:tcPr>
          <w:p>
            <w:pPr>
              <w:pStyle w:val="TableContents"/>
              <w:bidi w:val="0"/>
              <w:spacing w:before="0" w:after="0"/>
              <w:ind w:left="0" w:right="0" w:hanging="0"/>
              <w:jc w:val="right"/>
              <w:rPr/>
            </w:pPr>
            <w:r>
              <w:rPr/>
              <w:drawing>
                <wp:inline distT="0" distB="0" distL="0" distR="0">
                  <wp:extent cx="828675" cy="1905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828675" cy="190500"/>
                          </a:xfrm>
                          <a:prstGeom prst="rect">
                            <a:avLst/>
                          </a:prstGeom>
                        </pic:spPr>
                      </pic:pic>
                    </a:graphicData>
                  </a:graphic>
                </wp:inline>
              </w:drawing>
            </w: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2277" w:type="dxa"/>
        <w:jc w:val="left"/>
        <w:tblInd w:w="0" w:type="dxa"/>
        <w:tblLayout w:type="fixed"/>
        <w:tblCellMar>
          <w:top w:w="28" w:type="dxa"/>
          <w:left w:w="28" w:type="dxa"/>
          <w:bottom w:w="28" w:type="dxa"/>
          <w:right w:w="28" w:type="dxa"/>
        </w:tblCellMar>
      </w:tblPr>
      <w:tblGrid>
        <w:gridCol w:w="2086"/>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Compensation Matters</w:t>
            </w:r>
          </w:p>
        </w:tc>
        <w:tc>
          <w:tcPr>
            <w:tcW w:w="191" w:type="dxa"/>
            <w:tcBorders/>
            <w:vAlign w:val="center"/>
          </w:tcPr>
          <w:p>
            <w:pPr>
              <w:pStyle w:val="TableContents"/>
              <w:bidi w:val="0"/>
              <w:spacing w:before="0" w:after="0"/>
              <w:ind w:left="0" w:right="0" w:hanging="0"/>
              <w:jc w:val="left"/>
              <w:rPr/>
            </w:pPr>
            <w:r>
              <w:rPr/>
              <w:t> </w:t>
            </w:r>
          </w:p>
        </w:tc>
      </w:tr>
      <w:tr>
        <w:trPr/>
        <w:tc>
          <w:tcPr>
            <w:tcW w:w="208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both"/>
        <w:rPr>
          <w:rFonts w:ascii="Arial;sans-serif" w:hAnsi="Arial;sans-serif"/>
          <w:b w:val="false"/>
          <w:sz w:val="24"/>
          <w:u w:val="single"/>
        </w:rPr>
      </w:pPr>
      <w:r>
        <w:rPr>
          <w:rFonts w:ascii="Arial;sans-serif" w:hAnsi="Arial;sans-serif"/>
          <w:b w:val="false"/>
          <w:sz w:val="24"/>
          <w:u w:val="single"/>
        </w:rPr>
        <w:t>Stock-Based Compensation</w:t>
      </w:r>
    </w:p>
    <w:p>
      <w:pPr>
        <w:pStyle w:val="TextBody"/>
        <w:bidi w:val="0"/>
        <w:spacing w:before="0" w:after="0"/>
        <w:jc w:val="both"/>
        <w:rPr>
          <w:rFonts w:ascii="Arial;sans-serif" w:hAnsi="Arial;sans-serif"/>
          <w:b w:val="false"/>
          <w:sz w:val="20"/>
        </w:rPr>
      </w:pPr>
      <w:r>
        <w:rPr>
          <w:rFonts w:ascii="Arial;sans-serif" w:hAnsi="Arial;sans-serif"/>
          <w:b w:val="false"/>
          <w:sz w:val="20"/>
        </w:rPr>
        <w:t>Our stock-based compensation is composed of both RSUs and PSUs. We believe stock-based compensation is critical in aligning our executives’ and stockholders’ interests. Together, we believe that these incentives focus our executives on making decisions that will benefit our stockholders.</w:t>
      </w:r>
    </w:p>
    <w:p>
      <w:pPr>
        <w:pStyle w:val="TextBody"/>
        <w:bidi w:val="0"/>
        <w:spacing w:before="240" w:after="0"/>
        <w:jc w:val="both"/>
        <w:rPr>
          <w:rFonts w:ascii="Times New Roman" w:hAnsi="Times New Roman"/>
          <w:sz w:val="20"/>
        </w:rPr>
      </w:pPr>
      <w:r>
        <w:rPr>
          <w:rFonts w:ascii="Arial;sans-serif" w:hAnsi="Arial;sans-serif"/>
          <w:b w:val="false"/>
          <w:sz w:val="20"/>
        </w:rPr>
        <w:t>The Compensation Committee believes in tying executive rewards directly to our long-term success and focusing our executives’ efforts on increasing stockholder value by aligning their interests with those of our stockholders. Our stock-based compensation enables our executives to earn and maintain a significant stock ownership position in us. The amount of stock-based compensation granted takes into account our performance; the grant date value of awards; previous grants to an executive officer; an executive officer’s position; the performance, contributions, skills, experience, and responsibilities of the executive officer; the cost to us; the executive officer’s total compensation in relation to peers at our peer companies; and other factors that the Compensation Committee deems necessary or appropriate from time to time, including retention, overhang, and burn rate.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The Compensation Committee generally sets the vesting schedule for RSUs over multiple year periods to encourage executive retention. The Compensation Committee generally establishes multi-year performance requirements for the earning of PSUs to reward long-term Company performance. PSUs are earned only if the relative performance of our common stock achieves the then-applicable pre-established metric compared with the RUT’s performance. In addition, we generally maintain a value cap on PSUs.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Given the high-profile nature of our industry, it has become increasingly difficult to attract, motivate, and retain highly qualified individuals willing to be associated with us and our industry. The Compensation Committee continues to recognize the importance of long-term incentive stock-based compensation as a factor in executive compensation.</w:t>
      </w:r>
    </w:p>
    <w:p>
      <w:pPr>
        <w:pStyle w:val="TextBody"/>
        <w:bidi w:val="0"/>
        <w:spacing w:before="240" w:after="0"/>
        <w:jc w:val="both"/>
        <w:rPr>
          <w:rFonts w:ascii="Times New Roman" w:hAnsi="Times New Roman"/>
          <w:sz w:val="20"/>
        </w:rPr>
      </w:pPr>
      <w:r>
        <w:rPr>
          <w:rFonts w:ascii="Arial;sans-serif" w:hAnsi="Arial;sans-serif"/>
          <w:b/>
          <w:i/>
          <w:sz w:val="20"/>
        </w:rPr>
        <w:t>Timing of Stock-Based Awards</w:t>
      </w:r>
      <w:r>
        <w:rPr>
          <w:rFonts w:ascii="Arial;sans-serif" w:hAnsi="Arial;sans-serif"/>
          <w:b w:val="false"/>
          <w:sz w:val="20"/>
        </w:rPr>
        <w:t>. The Compensation Committee sets the value of RSUs and PSUs at the fair market value of our common stock, which, for annual awards, is the average closing price of our common stock on Nasdaq for the five-day period ending on the effective date of grant and, for new hires or special awards, is the closing price of our common stock on Nasdaq on the effective date of grant. The Compensation Committee generally grants stock-based compensation to our executive officers annually within the same time frame each year. In the case of new hires, grant prices generally are determined by the closing price of our common stock on the 15th day of the month following the date on which the employee reports for service.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Fiscal 2023 Stock-Based Compensation</w:t>
      </w:r>
      <w:r>
        <w:rPr>
          <w:rFonts w:ascii="Arial;sans-serif" w:hAnsi="Arial;sans-serif"/>
          <w:b w:val="false"/>
          <w:sz w:val="20"/>
        </w:rPr>
        <w:t>. During fiscal 2023, grants of annual stock-based compensation to our NEOs consisted of RSUs and PSUs, with a weighting of 40% for RSUs and 60% for PSUs. In determining the equity awards granted to each executive officer, the Compensation Committee considered the factors discussed above.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During fiscal 2023, we granted the following RSUs and PSUs to our NEOs:</w:t>
      </w:r>
      <w:r>
        <w:rPr>
          <w:rFonts w:ascii="Times New Roman" w:hAnsi="Times New Roman"/>
          <w:sz w:val="20"/>
        </w:rPr>
        <w:t xml:space="preserve"> </w:t>
      </w:r>
    </w:p>
    <w:p>
      <w:pPr>
        <w:pStyle w:val="TextBody"/>
        <w:bidi w:val="0"/>
        <w:spacing w:before="0" w:after="0"/>
        <w:jc w:val="both"/>
        <w:rPr/>
      </w:pPr>
      <w:r>
        <w:rPr/>
        <w:t> </w:t>
      </w:r>
    </w:p>
    <w:tbl>
      <w:tblPr>
        <w:tblW w:w="6360" w:type="dxa"/>
        <w:jc w:val="left"/>
        <w:tblInd w:w="0" w:type="dxa"/>
        <w:tblLayout w:type="fixed"/>
        <w:tblCellMar>
          <w:top w:w="28" w:type="dxa"/>
          <w:left w:w="28" w:type="dxa"/>
          <w:bottom w:w="28" w:type="dxa"/>
          <w:right w:w="28" w:type="dxa"/>
        </w:tblCellMar>
      </w:tblPr>
      <w:tblGrid>
        <w:gridCol w:w="1666"/>
        <w:gridCol w:w="146"/>
        <w:gridCol w:w="146"/>
        <w:gridCol w:w="601"/>
        <w:gridCol w:w="146"/>
        <w:gridCol w:w="146"/>
        <w:gridCol w:w="179"/>
        <w:gridCol w:w="737"/>
        <w:gridCol w:w="146"/>
        <w:gridCol w:w="146"/>
        <w:gridCol w:w="146"/>
        <w:gridCol w:w="601"/>
        <w:gridCol w:w="146"/>
        <w:gridCol w:w="146"/>
        <w:gridCol w:w="151"/>
        <w:gridCol w:w="720"/>
        <w:gridCol w:w="39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1666" w:type="dxa"/>
            <w:tcBorders>
              <w:bottom w:val="single" w:sz="18" w:space="0" w:color="000000"/>
            </w:tcBorders>
            <w:tcMar>
              <w:top w:w="0" w:type="dxa"/>
              <w:left w:w="0" w:type="dxa"/>
              <w:right w:w="0" w:type="dxa"/>
            </w:tcMar>
            <w:vAlign w:val="center"/>
          </w:tcPr>
          <w:p>
            <w:pPr>
              <w:pStyle w:val="TableContents"/>
              <w:bidi w:val="0"/>
              <w:spacing w:before="0" w:after="0"/>
              <w:ind w:left="200" w:right="0" w:hanging="0"/>
              <w:jc w:val="left"/>
              <w:rPr>
                <w:rFonts w:ascii="Arial;sans-serif" w:hAnsi="Arial;sans-serif"/>
                <w:b/>
                <w:sz w:val="16"/>
              </w:rPr>
            </w:pPr>
            <w:r>
              <w:rPr>
                <w:rFonts w:ascii="Arial;sans-serif" w:hAnsi="Arial;sans-serif"/>
                <w:b/>
                <w:sz w:val="16"/>
              </w:rPr>
              <w:t>Name</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7"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RSUs</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PSUs at</w:t>
              <w:br/>
              <w:t>Threshold</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7"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PSUs at</w:t>
              <w:br/>
              <w:t>Target</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1"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PSUs at</w:t>
              <w:br/>
              <w:t>Maximum</w:t>
            </w:r>
          </w:p>
        </w:tc>
        <w:tc>
          <w:tcPr>
            <w:tcW w:w="391" w:type="dxa"/>
            <w:tcBorders>
              <w:bottom w:val="single" w:sz="18" w:space="0" w:color="000000"/>
            </w:tcBorders>
            <w:tcMar>
              <w:top w:w="0" w:type="dxa"/>
              <w:left w:w="0" w:type="dxa"/>
              <w:right w:w="0" w:type="dxa"/>
            </w:tcMar>
            <w:vAlign w:val="center"/>
          </w:tcPr>
          <w:p>
            <w:pPr>
              <w:pStyle w:val="TableContents"/>
              <w:bidi w:val="0"/>
              <w:spacing w:before="0" w:after="0"/>
              <w:ind w:left="0" w:right="0" w:firstLine="200"/>
              <w:jc w:val="center"/>
              <w:rPr/>
            </w:pPr>
            <w:r>
              <w:rPr/>
              <w:t> </w:t>
            </w:r>
          </w:p>
        </w:tc>
      </w:tr>
      <w:tr>
        <w:trPr/>
        <w:tc>
          <w:tcPr>
            <w:tcW w:w="1666" w:type="dxa"/>
            <w:tcBorders/>
            <w:vAlign w:val="center"/>
          </w:tcPr>
          <w:p>
            <w:pPr>
              <w:pStyle w:val="TableContents"/>
              <w:bidi w:val="0"/>
              <w:spacing w:before="0" w:after="0"/>
              <w:ind w:left="200" w:right="0" w:hanging="0"/>
              <w:jc w:val="left"/>
              <w:rPr>
                <w:rFonts w:ascii="Arial;sans-serif" w:hAnsi="Arial;sans-serif"/>
                <w:b w:val="false"/>
                <w:sz w:val="16"/>
              </w:rPr>
            </w:pPr>
            <w:r>
              <w:rPr>
                <w:rFonts w:ascii="Arial;sans-serif" w:hAnsi="Arial;sans-serif"/>
                <w:b w:val="false"/>
                <w:sz w:val="16"/>
              </w:rPr>
              <w:t>Mark P. Smith</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41,834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23,845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62,750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720"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125,500</w:t>
            </w:r>
          </w:p>
        </w:tc>
        <w:tc>
          <w:tcPr>
            <w:tcW w:w="391" w:type="dxa"/>
            <w:tcBorders/>
            <w:vAlign w:val="center"/>
          </w:tcPr>
          <w:p>
            <w:pPr>
              <w:pStyle w:val="TableContents"/>
              <w:bidi w:val="0"/>
              <w:spacing w:before="0" w:after="0"/>
              <w:ind w:left="0" w:right="0" w:firstLine="200"/>
              <w:jc w:val="left"/>
              <w:rPr/>
            </w:pPr>
            <w:r>
              <w:rPr/>
              <w:t> </w:t>
            </w:r>
          </w:p>
        </w:tc>
      </w:tr>
      <w:tr>
        <w:trPr/>
        <w:tc>
          <w:tcPr>
            <w:tcW w:w="1666" w:type="dxa"/>
            <w:tcBorders/>
            <w:vAlign w:val="center"/>
          </w:tcPr>
          <w:p>
            <w:pPr>
              <w:pStyle w:val="TableContents"/>
              <w:bidi w:val="0"/>
              <w:spacing w:before="0" w:after="0"/>
              <w:ind w:left="200" w:right="0" w:hanging="0"/>
              <w:jc w:val="left"/>
              <w:rPr>
                <w:rFonts w:ascii="Arial;sans-serif" w:hAnsi="Arial;sans-serif"/>
                <w:b w:val="false"/>
                <w:sz w:val="16"/>
              </w:rPr>
            </w:pPr>
            <w:r>
              <w:rPr>
                <w:rFonts w:ascii="Arial;sans-serif" w:hAnsi="Arial;sans-serif"/>
                <w:b w:val="false"/>
                <w:sz w:val="16"/>
              </w:rPr>
              <w:t>Deana L. McPherson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12,894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7,349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19,340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720"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38,680</w:t>
            </w:r>
          </w:p>
        </w:tc>
        <w:tc>
          <w:tcPr>
            <w:tcW w:w="391" w:type="dxa"/>
            <w:tcBorders/>
            <w:vAlign w:val="center"/>
          </w:tcPr>
          <w:p>
            <w:pPr>
              <w:pStyle w:val="TableContents"/>
              <w:bidi w:val="0"/>
              <w:spacing w:before="0" w:after="0"/>
              <w:ind w:left="0" w:right="0" w:firstLine="200"/>
              <w:jc w:val="left"/>
              <w:rPr/>
            </w:pPr>
            <w:r>
              <w:rPr/>
              <w:t> </w:t>
            </w:r>
          </w:p>
        </w:tc>
      </w:tr>
      <w:tr>
        <w:trPr/>
        <w:tc>
          <w:tcPr>
            <w:tcW w:w="1666" w:type="dxa"/>
            <w:tcBorders/>
            <w:vAlign w:val="center"/>
          </w:tcPr>
          <w:p>
            <w:pPr>
              <w:pStyle w:val="TableContents"/>
              <w:bidi w:val="0"/>
              <w:spacing w:before="0" w:after="0"/>
              <w:ind w:left="200" w:right="0" w:hanging="0"/>
              <w:jc w:val="left"/>
              <w:rPr>
                <w:rFonts w:ascii="Arial;sans-serif" w:hAnsi="Arial;sans-serif"/>
                <w:b w:val="false"/>
                <w:sz w:val="16"/>
              </w:rPr>
            </w:pPr>
            <w:r>
              <w:rPr>
                <w:rFonts w:ascii="Arial;sans-serif" w:hAnsi="Arial;sans-serif"/>
                <w:b w:val="false"/>
                <w:sz w:val="16"/>
              </w:rPr>
              <w:t>Kevin A. Maxwell</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8,883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5,062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13,323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720"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26,646</w:t>
            </w:r>
          </w:p>
        </w:tc>
        <w:tc>
          <w:tcPr>
            <w:tcW w:w="391" w:type="dxa"/>
            <w:tcBorders/>
            <w:vAlign w:val="center"/>
          </w:tcPr>
          <w:p>
            <w:pPr>
              <w:pStyle w:val="TableContents"/>
              <w:bidi w:val="0"/>
              <w:spacing w:before="0" w:after="0"/>
              <w:ind w:left="0" w:right="0" w:firstLine="200"/>
              <w:jc w:val="left"/>
              <w:rPr/>
            </w:pPr>
            <w:r>
              <w:rPr/>
              <w:t> </w:t>
            </w:r>
          </w:p>
        </w:tc>
      </w:tr>
      <w:tr>
        <w:trPr/>
        <w:tc>
          <w:tcPr>
            <w:tcW w:w="1666" w:type="dxa"/>
            <w:tcBorders/>
            <w:vAlign w:val="center"/>
          </w:tcPr>
          <w:p>
            <w:pPr>
              <w:pStyle w:val="TableContents"/>
              <w:bidi w:val="0"/>
              <w:spacing w:before="0" w:after="0"/>
              <w:ind w:left="200" w:right="0" w:hanging="0"/>
              <w:jc w:val="left"/>
              <w:rPr>
                <w:rFonts w:ascii="Arial;sans-serif" w:hAnsi="Arial;sans-serif"/>
                <w:b w:val="false"/>
                <w:sz w:val="16"/>
              </w:rPr>
            </w:pPr>
            <w:r>
              <w:rPr>
                <w:rFonts w:ascii="Arial;sans-serif" w:hAnsi="Arial;sans-serif"/>
                <w:b w:val="false"/>
                <w:sz w:val="16"/>
              </w:rPr>
              <w:t>Susan J. Cupero</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8,883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5,062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13,323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720"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26,646</w:t>
            </w:r>
          </w:p>
        </w:tc>
        <w:tc>
          <w:tcPr>
            <w:tcW w:w="391" w:type="dxa"/>
            <w:tcBorders/>
            <w:vAlign w:val="center"/>
          </w:tcPr>
          <w:p>
            <w:pPr>
              <w:pStyle w:val="TableContents"/>
              <w:bidi w:val="0"/>
              <w:spacing w:before="0" w:after="0"/>
              <w:ind w:left="0" w:right="0" w:hanging="0"/>
              <w:jc w:val="left"/>
              <w:rPr/>
            </w:pPr>
            <w:r>
              <w:rPr/>
              <w:t> </w:t>
            </w:r>
          </w:p>
        </w:tc>
      </w:tr>
      <w:tr>
        <w:trPr/>
        <w:tc>
          <w:tcPr>
            <w:tcW w:w="16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7"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7"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1"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240" w:after="0"/>
        <w:jc w:val="both"/>
        <w:rPr>
          <w:rFonts w:ascii="Times New Roman" w:hAnsi="Times New Roman"/>
          <w:sz w:val="20"/>
        </w:rPr>
      </w:pPr>
      <w:r>
        <w:rPr>
          <w:rFonts w:ascii="Arial;sans-serif" w:hAnsi="Arial;sans-serif"/>
          <w:b w:val="false"/>
          <w:sz w:val="20"/>
        </w:rPr>
        <w:t>RSUs vest one-fourth following each of the first, second, third, and fourth anniversaries of the grant date.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PSUs are earned and vest based on the relative performance of our common stock against the RUT over the approximately three-year performance period following the date of grant. If the relative performance of our common stock (measured based on the average closing price of our common stock during the 90-calendar-day-period preceding approximately the third anniversary of the date of grant against the average</w:t>
      </w:r>
      <w:r>
        <w:rPr>
          <w:rFonts w:ascii="Times New Roman" w:hAnsi="Times New Roman"/>
          <w:sz w:val="20"/>
        </w:rPr>
        <w:t xml:space="preserve"> </w:t>
      </w:r>
    </w:p>
    <w:p>
      <w:pPr>
        <w:pStyle w:val="TextBody"/>
        <w:bidi w:val="0"/>
        <w:spacing w:before="0" w:after="0"/>
        <w:jc w:val="left"/>
        <w:rPr/>
      </w:pPr>
      <w:r>
        <w:rPr/>
        <w:t> </w:t>
      </w:r>
    </w:p>
    <w:tbl>
      <w:tblPr>
        <w:tblW w:w="3762" w:type="dxa"/>
        <w:jc w:val="left"/>
        <w:tblInd w:w="0" w:type="dxa"/>
        <w:tblLayout w:type="fixed"/>
        <w:tblCellMar>
          <w:top w:w="28" w:type="dxa"/>
          <w:left w:w="28" w:type="dxa"/>
          <w:bottom w:w="28" w:type="dxa"/>
          <w:right w:w="28" w:type="dxa"/>
        </w:tblCellMar>
      </w:tblPr>
      <w:tblGrid>
        <w:gridCol w:w="2266"/>
        <w:gridCol w:w="1496"/>
      </w:tblGrid>
      <w:tr>
        <w:trPr/>
        <w:tc>
          <w:tcPr>
            <w:tcW w:w="226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25</w:t>
            </w:r>
            <w:r>
              <w:rPr>
                <w:rFonts w:ascii="Times New Roman" w:hAnsi="Times New Roman"/>
                <w:sz w:val="18"/>
              </w:rPr>
              <w:t> </w:t>
            </w:r>
            <w:r>
              <w:rPr>
                <w:rFonts w:ascii="Arial;sans-serif" w:hAnsi="Arial;sans-serif"/>
                <w:b w:val="false"/>
                <w:sz w:val="18"/>
              </w:rPr>
              <w:t>I 2023 Proxy Statement</w:t>
            </w:r>
          </w:p>
        </w:tc>
        <w:tc>
          <w:tcPr>
            <w:tcW w:w="1496" w:type="dxa"/>
            <w:tcBorders/>
            <w:vAlign w:val="center"/>
          </w:tcPr>
          <w:p>
            <w:pPr>
              <w:pStyle w:val="TableContents"/>
              <w:bidi w:val="0"/>
              <w:spacing w:before="0" w:after="0"/>
              <w:ind w:left="0" w:right="0" w:hanging="0"/>
              <w:jc w:val="right"/>
              <w:rPr/>
            </w:pPr>
            <w:r>
              <w:rPr/>
              <w:drawing>
                <wp:inline distT="0" distB="0" distL="0" distR="0">
                  <wp:extent cx="828675" cy="1905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828675" cy="190500"/>
                          </a:xfrm>
                          <a:prstGeom prst="rect">
                            <a:avLst/>
                          </a:prstGeom>
                        </pic:spPr>
                      </pic:pic>
                    </a:graphicData>
                  </a:graphic>
                </wp:inline>
              </w:drawing>
            </w: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2277" w:type="dxa"/>
        <w:jc w:val="left"/>
        <w:tblInd w:w="0" w:type="dxa"/>
        <w:tblLayout w:type="fixed"/>
        <w:tblCellMar>
          <w:top w:w="28" w:type="dxa"/>
          <w:left w:w="28" w:type="dxa"/>
          <w:bottom w:w="28" w:type="dxa"/>
          <w:right w:w="28" w:type="dxa"/>
        </w:tblCellMar>
      </w:tblPr>
      <w:tblGrid>
        <w:gridCol w:w="2086"/>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Compensation Matters</w:t>
            </w:r>
          </w:p>
        </w:tc>
        <w:tc>
          <w:tcPr>
            <w:tcW w:w="191" w:type="dxa"/>
            <w:tcBorders/>
            <w:vAlign w:val="center"/>
          </w:tcPr>
          <w:p>
            <w:pPr>
              <w:pStyle w:val="TableContents"/>
              <w:bidi w:val="0"/>
              <w:spacing w:before="0" w:after="0"/>
              <w:ind w:left="0" w:right="0" w:hanging="0"/>
              <w:jc w:val="left"/>
              <w:rPr/>
            </w:pPr>
            <w:r>
              <w:rPr/>
              <w:t> </w:t>
            </w:r>
          </w:p>
        </w:tc>
      </w:tr>
      <w:tr>
        <w:trPr/>
        <w:tc>
          <w:tcPr>
            <w:tcW w:w="208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closing price of our common stock during the 90-calendar-day-period immediately following the date of grant) does not equal or exceed the relative performance of the RUT (measured based on the average closing price of the RUT during the 90-calendar-day-period preceding approximately the third anniversary of the date of grant against the average closing price of the RUT during the 90-calendar-day-period immediately following the date of grant), then no PSUs subject to the awards will be earned and vest. If the relative performance of our common stock equals the relative performance of the RUT, then 38% of the PSUs subject to the awards (at target) will be earned and vest, or the threshold award. If the relative performance of our common stock exceeds the relative performance of the RUT by up to five points, then the PSUs subject to the awards will be earned and vest on a straight-line basis from the threshold award level up to the target award level, with 100% of the PSUs subject to the awards (the target number of PSUs) being earned and vesting if the relative performance of our common stock exceeds the relative performance of the RUT by five points. If the relative performance of our common stock exceeds the relative performance of the RUT by over five points up to a level of 10 points, then the PSUs subject to the awards will be earned and vest on a straight-line basis up to the maximum award, with 200% of the PSUs subject to the awards (the maximum number of PSUs) being earned and vesting if the relative performance of our common stock exceeds the relative performance of the RUT by 10 points or more.</w:t>
      </w:r>
    </w:p>
    <w:p>
      <w:pPr>
        <w:pStyle w:val="TextBody"/>
        <w:bidi w:val="0"/>
        <w:spacing w:before="240" w:after="0"/>
        <w:jc w:val="both"/>
        <w:rPr>
          <w:rFonts w:ascii="Arial;sans-serif" w:hAnsi="Arial;sans-serif"/>
          <w:b w:val="false"/>
          <w:sz w:val="20"/>
        </w:rPr>
      </w:pPr>
      <w:r>
        <w:rPr>
          <w:rFonts w:ascii="Arial;sans-serif" w:hAnsi="Arial;sans-serif"/>
          <w:b w:val="false"/>
          <w:sz w:val="20"/>
        </w:rPr>
        <w:t>The underlying shares of our common stock earned, if any, relating to PSUs will be delivered as soon as practical after the ending date of the performance period and confirmation by the Compensation Committee of the performance achievement. The maximum number of shares that can be delivered with respect to the fiscal 2023 PSU awards is limited to a dollar value, determined as of the vesting date, of 600% of the grant date value.</w:t>
      </w:r>
    </w:p>
    <w:p>
      <w:pPr>
        <w:pStyle w:val="TextBody"/>
        <w:bidi w:val="0"/>
        <w:spacing w:before="240" w:after="0"/>
        <w:jc w:val="both"/>
        <w:rPr>
          <w:rFonts w:ascii="Times New Roman" w:hAnsi="Times New Roman"/>
          <w:sz w:val="20"/>
        </w:rPr>
      </w:pPr>
      <w:r>
        <w:rPr>
          <w:rFonts w:ascii="Arial;sans-serif" w:hAnsi="Arial;sans-serif"/>
          <w:b w:val="false"/>
          <w:sz w:val="20"/>
        </w:rPr>
        <w:t>Upon a change in control of the Company prior to the three year anniversary of the date of any PSU grant, each PSU award recipient will earn a number of PSUs subject to the award in accordance with the formula described above, provided that (i) the relative performance of our common stock will be measured based on the consideration offered for one share of our common stock in the change in control to calculate our market capitalization (or in the event of a change in control that does not involve an acquisition of our stock, based on the trading price of our common stock on the date of the change in control to calculate our market capitalization) against the average closing price of our common stock during the 90-calendar-day period immediately following the date of grant; and (ii) the relative performance of the RUT will be measured based on the average closing price of the RUT during the 90-calendar-day-period immediately prior to the change in control against the average closing price of the RUT during the 90-calendar-day-period immediately following the date of grant. The PSUs earned pursuant to the formula described above will then be converted into RSUs that will vest upon the earlier of (i) a qualifying termination of employment or (ii) the original vesting date.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2020 PSU Payout</w:t>
      </w:r>
      <w:r>
        <w:rPr>
          <w:rFonts w:ascii="Arial;sans-serif" w:hAnsi="Arial;sans-serif"/>
          <w:b w:val="false"/>
          <w:sz w:val="20"/>
        </w:rPr>
        <w:t>. The PSUs granted in fiscal 2020 to our executive officers, which had a three-year performance period ending May 1, 2023, were not earned because our market capitalization combined with the market capitalization of AOUT did not meet the minimum performance requirements compared with the RUT. Over the three-year performance period, our market capitalization combined with the market capitalization of AOUT depreciated 29.0% while the RUT appreciated 31.0%. As a result, the Compensation Committee confirmed that this underperformance resulted in the PSUs granted in fiscal 2020 not being earned, and therefore, our NEOs who received the 2020 award received none of the target shares of common stock underlying the PSUs granted in fiscal 2020.</w:t>
      </w:r>
    </w:p>
    <w:p>
      <w:pPr>
        <w:pStyle w:val="TextBody"/>
        <w:bidi w:val="0"/>
        <w:spacing w:before="240" w:after="0"/>
        <w:jc w:val="both"/>
        <w:rPr>
          <w:rFonts w:ascii="Times New Roman" w:hAnsi="Times New Roman"/>
          <w:sz w:val="20"/>
        </w:rPr>
      </w:pPr>
      <w:r>
        <w:rPr>
          <w:rFonts w:ascii="Arial;sans-serif" w:hAnsi="Arial;sans-serif"/>
          <w:b/>
          <w:i/>
          <w:sz w:val="20"/>
        </w:rPr>
        <w:t>Adjustments for the Separation</w:t>
      </w:r>
      <w:r>
        <w:rPr>
          <w:rFonts w:ascii="Arial;sans-serif" w:hAnsi="Arial;sans-serif"/>
          <w:b w:val="false"/>
          <w:sz w:val="20"/>
        </w:rPr>
        <w:t>. In connection with the Separation, our outstanding stock-based awards were adjusted in a manner intended to maintain the intrinsic value of the RSUs and PSUs immediately prior to the Separation. The RSUs and PSUs held by our directors and executives generally were converted into RSUs or PSUs of us and AOUT, such that each such holder would (i) continue to hold the existing RSU or PSU in us covering the same number of shares of our common stock that were subject to the RSU or PSU prior to the Separation and (ii) receive an identical RSU or PSU covering one share of AOUT common stock for each four shares of our common stock covered by the RSU or PSU in us, resulting in the RSUs or PSUs for us, and AOUT, having a combined intrinsic value immediately after the Separation as before the Separation, taking into account any necessary adjustments to the exercise price to maintain</w:t>
      </w:r>
      <w:r>
        <w:rPr>
          <w:rFonts w:ascii="Times New Roman" w:hAnsi="Times New Roman"/>
          <w:sz w:val="20"/>
        </w:rPr>
        <w:t xml:space="preserve"> </w:t>
      </w:r>
    </w:p>
    <w:p>
      <w:pPr>
        <w:pStyle w:val="TextBody"/>
        <w:bidi w:val="0"/>
        <w:spacing w:before="0" w:after="0"/>
        <w:jc w:val="left"/>
        <w:rPr/>
      </w:pPr>
      <w:r>
        <w:rPr/>
        <w:t> </w:t>
      </w:r>
    </w:p>
    <w:tbl>
      <w:tblPr>
        <w:tblW w:w="3762" w:type="dxa"/>
        <w:jc w:val="left"/>
        <w:tblInd w:w="0" w:type="dxa"/>
        <w:tblLayout w:type="fixed"/>
        <w:tblCellMar>
          <w:top w:w="28" w:type="dxa"/>
          <w:left w:w="28" w:type="dxa"/>
          <w:bottom w:w="28" w:type="dxa"/>
          <w:right w:w="28" w:type="dxa"/>
        </w:tblCellMar>
      </w:tblPr>
      <w:tblGrid>
        <w:gridCol w:w="2266"/>
        <w:gridCol w:w="1496"/>
      </w:tblGrid>
      <w:tr>
        <w:trPr/>
        <w:tc>
          <w:tcPr>
            <w:tcW w:w="226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26</w:t>
            </w:r>
            <w:r>
              <w:rPr>
                <w:rFonts w:ascii="Times New Roman" w:hAnsi="Times New Roman"/>
                <w:sz w:val="18"/>
              </w:rPr>
              <w:t> </w:t>
            </w:r>
            <w:r>
              <w:rPr>
                <w:rFonts w:ascii="Arial;sans-serif" w:hAnsi="Arial;sans-serif"/>
                <w:b w:val="false"/>
                <w:sz w:val="18"/>
              </w:rPr>
              <w:t>I 2023 Proxy Statement</w:t>
            </w:r>
          </w:p>
        </w:tc>
        <w:tc>
          <w:tcPr>
            <w:tcW w:w="1496" w:type="dxa"/>
            <w:tcBorders/>
            <w:vAlign w:val="center"/>
          </w:tcPr>
          <w:p>
            <w:pPr>
              <w:pStyle w:val="TableContents"/>
              <w:bidi w:val="0"/>
              <w:spacing w:before="0" w:after="0"/>
              <w:ind w:left="0" w:right="0" w:hanging="0"/>
              <w:jc w:val="right"/>
              <w:rPr/>
            </w:pPr>
            <w:r>
              <w:rPr/>
              <w:drawing>
                <wp:inline distT="0" distB="0" distL="0" distR="0">
                  <wp:extent cx="828675" cy="1905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828675" cy="190500"/>
                          </a:xfrm>
                          <a:prstGeom prst="rect">
                            <a:avLst/>
                          </a:prstGeom>
                        </pic:spPr>
                      </pic:pic>
                    </a:graphicData>
                  </a:graphic>
                </wp:inline>
              </w:drawing>
            </w: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2277" w:type="dxa"/>
        <w:jc w:val="left"/>
        <w:tblInd w:w="0" w:type="dxa"/>
        <w:tblLayout w:type="fixed"/>
        <w:tblCellMar>
          <w:top w:w="28" w:type="dxa"/>
          <w:left w:w="28" w:type="dxa"/>
          <w:bottom w:w="28" w:type="dxa"/>
          <w:right w:w="28" w:type="dxa"/>
        </w:tblCellMar>
      </w:tblPr>
      <w:tblGrid>
        <w:gridCol w:w="2086"/>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Compensation Matters</w:t>
            </w:r>
          </w:p>
        </w:tc>
        <w:tc>
          <w:tcPr>
            <w:tcW w:w="191" w:type="dxa"/>
            <w:tcBorders/>
            <w:vAlign w:val="center"/>
          </w:tcPr>
          <w:p>
            <w:pPr>
              <w:pStyle w:val="TableContents"/>
              <w:bidi w:val="0"/>
              <w:spacing w:before="0" w:after="0"/>
              <w:ind w:left="0" w:right="0" w:hanging="0"/>
              <w:jc w:val="left"/>
              <w:rPr/>
            </w:pPr>
            <w:r>
              <w:rPr/>
              <w:t> </w:t>
            </w:r>
          </w:p>
        </w:tc>
      </w:tr>
      <w:tr>
        <w:trPr/>
        <w:tc>
          <w:tcPr>
            <w:tcW w:w="208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such intrinsic value. In addition, to the extent the existing award of us is subject to the achievement of certain company performance-based target goals, appropriate adjustments were made to such target goals and incorporated into the new awards to reflect the changes to the businesses as a result of the Separation. The number of shares covered by RSUs in us held by other employees were adjusted so that the RSUs had the same intrinsic value immediately following the Separation as before the Separation. To the extent the existing award is subject to vesting based upon continued service, the new awards also remained subject to the same vesting conditions based upon continued employment with the holder’s post-Separation employer.</w:t>
      </w:r>
    </w:p>
    <w:p>
      <w:pPr>
        <w:pStyle w:val="TextBody"/>
        <w:bidi w:val="0"/>
        <w:spacing w:before="240" w:after="0"/>
        <w:jc w:val="both"/>
        <w:rPr>
          <w:rFonts w:ascii="Arial;sans-serif" w:hAnsi="Arial;sans-serif"/>
          <w:b w:val="false"/>
          <w:sz w:val="24"/>
          <w:u w:val="single"/>
        </w:rPr>
      </w:pPr>
      <w:r>
        <w:rPr>
          <w:rFonts w:ascii="Arial;sans-serif" w:hAnsi="Arial;sans-serif"/>
          <w:b w:val="false"/>
          <w:sz w:val="24"/>
          <w:u w:val="single"/>
        </w:rPr>
        <w:t>Benefits and Perquisites</w:t>
      </w:r>
    </w:p>
    <w:p>
      <w:pPr>
        <w:pStyle w:val="TextBody"/>
        <w:bidi w:val="0"/>
        <w:spacing w:before="0" w:after="0"/>
        <w:jc w:val="both"/>
        <w:rPr>
          <w:rFonts w:ascii="Times New Roman" w:hAnsi="Times New Roman"/>
          <w:sz w:val="20"/>
        </w:rPr>
      </w:pPr>
      <w:r>
        <w:rPr>
          <w:rFonts w:ascii="Arial;sans-serif" w:hAnsi="Arial;sans-serif"/>
          <w:b w:val="false"/>
          <w:sz w:val="20"/>
        </w:rPr>
        <w:t>Our executives are eligible to participate in those health, welfare, and retirement plans generally available to employees who meet applicable eligibility requirements – including our profit sharing, 401(k), employee stock purchase, and medical and disability plans. In addition, from time to time, we may provide our executive officers with other benefits and perquisites that we believe are reasonable – including severance and change-in-control benefits, car allowances, housing allowances, relocation assistance, a nonqualified supplemental deferred compensation plan, and insurance premium reimbursement.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We do not view perquisites and other personal benefits as a significant element of our executive compensation program, but believe they can be useful in attracting, motivating, and retaining executive talent. We believe these additional benefits may assist our executives in performing their duties and provide time efficiencies in appropriate circumstances. We may provide additional benefits and perquisites to our executives in the future as an element of their overall compensation. All future practices will be approved and subject to periodic review by the Compensation Committee.</w:t>
      </w:r>
      <w:r>
        <w:rPr>
          <w:rFonts w:ascii="Times New Roman" w:hAnsi="Times New Roman"/>
          <w:sz w:val="20"/>
        </w:rPr>
        <w:t xml:space="preserve"> </w:t>
      </w:r>
    </w:p>
    <w:p>
      <w:pPr>
        <w:pStyle w:val="TextBody"/>
        <w:bidi w:val="0"/>
        <w:spacing w:before="360" w:after="0"/>
        <w:jc w:val="both"/>
        <w:rPr>
          <w:rFonts w:ascii="Arial;sans-serif" w:hAnsi="Arial;sans-serif"/>
          <w:b/>
          <w:sz w:val="28"/>
        </w:rPr>
      </w:pPr>
      <w:r>
        <w:rPr>
          <w:rFonts w:ascii="Arial;sans-serif" w:hAnsi="Arial;sans-serif"/>
          <w:b/>
          <w:sz w:val="28"/>
        </w:rPr>
        <w:t>ADDITIONAL COMPENSATION MATTERS</w:t>
      </w:r>
    </w:p>
    <w:p>
      <w:pPr>
        <w:pStyle w:val="TextBody"/>
        <w:bidi w:val="0"/>
        <w:spacing w:before="60" w:after="0"/>
        <w:jc w:val="both"/>
        <w:rPr>
          <w:rFonts w:ascii="Arial;sans-serif" w:hAnsi="Arial;sans-serif"/>
          <w:b w:val="false"/>
          <w:sz w:val="24"/>
          <w:u w:val="single"/>
        </w:rPr>
      </w:pPr>
      <w:r>
        <w:rPr>
          <w:rFonts w:ascii="Arial;sans-serif" w:hAnsi="Arial;sans-serif"/>
          <w:b w:val="false"/>
          <w:sz w:val="24"/>
          <w:u w:val="single"/>
        </w:rPr>
        <w:t>Consideration of Risk in Compensation Policies</w:t>
      </w:r>
    </w:p>
    <w:p>
      <w:pPr>
        <w:pStyle w:val="TextBody"/>
        <w:bidi w:val="0"/>
        <w:spacing w:before="0" w:after="0"/>
        <w:jc w:val="both"/>
        <w:rPr>
          <w:rFonts w:ascii="Arial;sans-serif" w:hAnsi="Arial;sans-serif"/>
          <w:b w:val="false"/>
          <w:sz w:val="20"/>
        </w:rPr>
      </w:pPr>
      <w:r>
        <w:rPr>
          <w:rFonts w:ascii="Arial;sans-serif" w:hAnsi="Arial;sans-serif"/>
          <w:b w:val="false"/>
          <w:sz w:val="20"/>
        </w:rPr>
        <w:t>We have assessed the compensation policies and practices with respect to our employees, including our executive officers, and concluded that they do not create risks that are reasonably likely to have a material adverse effect on us.</w:t>
      </w:r>
    </w:p>
    <w:p>
      <w:pPr>
        <w:pStyle w:val="TextBody"/>
        <w:bidi w:val="0"/>
        <w:spacing w:before="240" w:after="0"/>
        <w:jc w:val="both"/>
        <w:rPr>
          <w:rFonts w:ascii="Arial;sans-serif" w:hAnsi="Arial;sans-serif"/>
          <w:b w:val="false"/>
          <w:sz w:val="24"/>
          <w:u w:val="single"/>
        </w:rPr>
      </w:pPr>
      <w:r>
        <w:rPr>
          <w:rFonts w:ascii="Arial;sans-serif" w:hAnsi="Arial;sans-serif"/>
          <w:b w:val="false"/>
          <w:sz w:val="24"/>
          <w:u w:val="single"/>
        </w:rPr>
        <w:t>Deductibility of Executive Compensation</w:t>
      </w:r>
    </w:p>
    <w:p>
      <w:pPr>
        <w:pStyle w:val="TextBody"/>
        <w:bidi w:val="0"/>
        <w:spacing w:before="0" w:after="0"/>
        <w:jc w:val="both"/>
        <w:rPr>
          <w:rFonts w:ascii="Arial;sans-serif" w:hAnsi="Arial;sans-serif"/>
          <w:b w:val="false"/>
          <w:sz w:val="20"/>
        </w:rPr>
      </w:pPr>
      <w:r>
        <w:rPr>
          <w:rFonts w:ascii="Arial;sans-serif" w:hAnsi="Arial;sans-serif"/>
          <w:b w:val="false"/>
          <w:sz w:val="20"/>
        </w:rPr>
        <w:t>Section 162(m) of the Code generally limits our deductibility, for federal income tax purposes, of compensation paid to each of our NEOs in excess of $1 million per person per year.</w:t>
      </w:r>
    </w:p>
    <w:p>
      <w:pPr>
        <w:pStyle w:val="TextBody"/>
        <w:bidi w:val="0"/>
        <w:spacing w:before="240" w:after="0"/>
        <w:jc w:val="both"/>
        <w:rPr>
          <w:rFonts w:ascii="Arial;sans-serif" w:hAnsi="Arial;sans-serif"/>
          <w:b w:val="false"/>
          <w:sz w:val="24"/>
          <w:u w:val="single"/>
        </w:rPr>
      </w:pPr>
      <w:r>
        <w:rPr>
          <w:rFonts w:ascii="Arial;sans-serif" w:hAnsi="Arial;sans-serif"/>
          <w:b w:val="false"/>
          <w:sz w:val="24"/>
          <w:u w:val="single"/>
        </w:rPr>
        <w:t>Taxation of “Parachute” Payments</w:t>
      </w:r>
    </w:p>
    <w:p>
      <w:pPr>
        <w:pStyle w:val="TextBody"/>
        <w:bidi w:val="0"/>
        <w:spacing w:before="0" w:after="0"/>
        <w:jc w:val="both"/>
        <w:rPr>
          <w:rFonts w:ascii="Arial;sans-serif" w:hAnsi="Arial;sans-serif"/>
          <w:b w:val="false"/>
          <w:sz w:val="20"/>
        </w:rPr>
      </w:pPr>
      <w:r>
        <w:rPr>
          <w:rFonts w:ascii="Arial;sans-serif" w:hAnsi="Arial;sans-serif"/>
          <w:b w:val="false"/>
          <w:sz w:val="20"/>
        </w:rPr>
        <w:t>Sections 280G and 4999 of the Code provide that executive officers and directors and certain other service providers may be subject to significant additional taxes if they receive payments or benefits in connection with a change in control of a company that exceeds certain prescribed limits and that the company (or a successor) may forfeit a deduction on the amounts subject to this additional tax. We did not provide any executive officer, including any NEO, with a “gross-up” or other reimbursement payment for any tax liability that the executive officer might owe as a result of the application of Sections 280G and 4999 during fiscal 2023, and we have not agreed and are not otherwise obligated to provide any executive officer with such a “gross-up” or other reimbursement.</w:t>
      </w:r>
    </w:p>
    <w:p>
      <w:pPr>
        <w:pStyle w:val="TextBody"/>
        <w:bidi w:val="0"/>
        <w:spacing w:before="240" w:after="0"/>
        <w:jc w:val="both"/>
        <w:rPr>
          <w:rFonts w:ascii="Arial;sans-serif" w:hAnsi="Arial;sans-serif"/>
          <w:b w:val="false"/>
          <w:sz w:val="24"/>
          <w:u w:val="single"/>
        </w:rPr>
      </w:pPr>
      <w:r>
        <w:rPr>
          <w:rFonts w:ascii="Arial;sans-serif" w:hAnsi="Arial;sans-serif"/>
          <w:b w:val="false"/>
          <w:sz w:val="24"/>
          <w:u w:val="single"/>
        </w:rPr>
        <w:t>Derivative Trading and Hedging</w:t>
      </w:r>
    </w:p>
    <w:p>
      <w:pPr>
        <w:pStyle w:val="TextBody"/>
        <w:bidi w:val="0"/>
        <w:spacing w:before="0" w:after="0"/>
        <w:jc w:val="both"/>
        <w:rPr>
          <w:rFonts w:ascii="Arial;sans-serif" w:hAnsi="Arial;sans-serif"/>
          <w:b w:val="false"/>
          <w:sz w:val="20"/>
        </w:rPr>
      </w:pPr>
      <w:r>
        <w:rPr>
          <w:rFonts w:ascii="Arial;sans-serif" w:hAnsi="Arial;sans-serif"/>
          <w:b w:val="false"/>
          <w:sz w:val="20"/>
        </w:rPr>
        <w:t>See “Board and Governance Matters—Additional Governance Matters—Director and Officer Derivative Trading and Hedging.”</w:t>
      </w:r>
    </w:p>
    <w:p>
      <w:pPr>
        <w:pStyle w:val="TextBody"/>
        <w:bidi w:val="0"/>
        <w:spacing w:before="0" w:after="0"/>
        <w:jc w:val="left"/>
        <w:rPr/>
      </w:pPr>
      <w:r>
        <w:rPr/>
        <w:t> </w:t>
      </w:r>
    </w:p>
    <w:tbl>
      <w:tblPr>
        <w:tblW w:w="3762" w:type="dxa"/>
        <w:jc w:val="left"/>
        <w:tblInd w:w="0" w:type="dxa"/>
        <w:tblLayout w:type="fixed"/>
        <w:tblCellMar>
          <w:top w:w="28" w:type="dxa"/>
          <w:left w:w="28" w:type="dxa"/>
          <w:bottom w:w="28" w:type="dxa"/>
          <w:right w:w="28" w:type="dxa"/>
        </w:tblCellMar>
      </w:tblPr>
      <w:tblGrid>
        <w:gridCol w:w="2266"/>
        <w:gridCol w:w="1496"/>
      </w:tblGrid>
      <w:tr>
        <w:trPr/>
        <w:tc>
          <w:tcPr>
            <w:tcW w:w="226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27</w:t>
            </w:r>
            <w:r>
              <w:rPr>
                <w:rFonts w:ascii="Times New Roman" w:hAnsi="Times New Roman"/>
                <w:sz w:val="18"/>
              </w:rPr>
              <w:t> </w:t>
            </w:r>
            <w:r>
              <w:rPr>
                <w:rFonts w:ascii="Arial;sans-serif" w:hAnsi="Arial;sans-serif"/>
                <w:b w:val="false"/>
                <w:sz w:val="18"/>
              </w:rPr>
              <w:t>I 2023 Proxy Statement</w:t>
            </w:r>
          </w:p>
        </w:tc>
        <w:tc>
          <w:tcPr>
            <w:tcW w:w="1496" w:type="dxa"/>
            <w:tcBorders/>
            <w:vAlign w:val="center"/>
          </w:tcPr>
          <w:p>
            <w:pPr>
              <w:pStyle w:val="TableContents"/>
              <w:bidi w:val="0"/>
              <w:spacing w:before="0" w:after="0"/>
              <w:ind w:left="0" w:right="0" w:hanging="0"/>
              <w:jc w:val="right"/>
              <w:rPr/>
            </w:pPr>
            <w:r>
              <w:rPr/>
              <w:drawing>
                <wp:inline distT="0" distB="0" distL="0" distR="0">
                  <wp:extent cx="828675" cy="1905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828675" cy="190500"/>
                          </a:xfrm>
                          <a:prstGeom prst="rect">
                            <a:avLst/>
                          </a:prstGeom>
                        </pic:spPr>
                      </pic:pic>
                    </a:graphicData>
                  </a:graphic>
                </wp:inline>
              </w:drawing>
            </w: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2277" w:type="dxa"/>
        <w:jc w:val="left"/>
        <w:tblInd w:w="0" w:type="dxa"/>
        <w:tblLayout w:type="fixed"/>
        <w:tblCellMar>
          <w:top w:w="28" w:type="dxa"/>
          <w:left w:w="28" w:type="dxa"/>
          <w:bottom w:w="28" w:type="dxa"/>
          <w:right w:w="28" w:type="dxa"/>
        </w:tblCellMar>
      </w:tblPr>
      <w:tblGrid>
        <w:gridCol w:w="2086"/>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Compensation Matters</w:t>
            </w:r>
          </w:p>
        </w:tc>
        <w:tc>
          <w:tcPr>
            <w:tcW w:w="191" w:type="dxa"/>
            <w:tcBorders/>
            <w:vAlign w:val="center"/>
          </w:tcPr>
          <w:p>
            <w:pPr>
              <w:pStyle w:val="TableContents"/>
              <w:bidi w:val="0"/>
              <w:spacing w:before="0" w:after="0"/>
              <w:ind w:left="0" w:right="0" w:hanging="0"/>
              <w:jc w:val="left"/>
              <w:rPr/>
            </w:pPr>
            <w:r>
              <w:rPr/>
              <w:t> </w:t>
            </w:r>
          </w:p>
        </w:tc>
      </w:tr>
      <w:tr>
        <w:trPr/>
        <w:tc>
          <w:tcPr>
            <w:tcW w:w="208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both"/>
        <w:rPr>
          <w:rFonts w:ascii="Arial;sans-serif" w:hAnsi="Arial;sans-serif"/>
          <w:b w:val="false"/>
          <w:sz w:val="24"/>
          <w:u w:val="single"/>
        </w:rPr>
      </w:pPr>
      <w:r>
        <w:rPr>
          <w:rFonts w:ascii="Arial;sans-serif" w:hAnsi="Arial;sans-serif"/>
          <w:b w:val="false"/>
          <w:sz w:val="24"/>
          <w:u w:val="single"/>
        </w:rPr>
        <w:t>Clawback Policy</w:t>
      </w:r>
    </w:p>
    <w:p>
      <w:pPr>
        <w:pStyle w:val="TextBody"/>
        <w:bidi w:val="0"/>
        <w:spacing w:before="0" w:after="0"/>
        <w:jc w:val="both"/>
        <w:rPr>
          <w:rFonts w:ascii="Times New Roman" w:hAnsi="Times New Roman"/>
          <w:sz w:val="20"/>
        </w:rPr>
      </w:pPr>
      <w:r>
        <w:rPr>
          <w:rFonts w:ascii="Arial;sans-serif" w:hAnsi="Arial;sans-serif"/>
          <w:b w:val="false"/>
          <w:sz w:val="20"/>
        </w:rPr>
        <w:t>We maintain a compensation recovery, or clawback, policy. In the event we are required to restate our financial results as a result of a material noncompliance by us with any financial reporting requirement under the federal securities laws, we will have the right to use reasonable efforts to recover from any current or former executive officer who received incentive compensation (whether cash or equity) from us during the three-year period preceding the date on which we were required to prepare the accounting restatement, any excess incentive compensation awarded as a result of the misstatement. This policy is administered by the Compensation Committee. We have adopted a new clawback policy that will take effect within 60 days of the effective date of certain amendments to the applicable Nasdaq listing rules.</w:t>
      </w:r>
      <w:r>
        <w:rPr>
          <w:rFonts w:ascii="Times New Roman" w:hAnsi="Times New Roman"/>
          <w:sz w:val="20"/>
        </w:rPr>
        <w:t xml:space="preserve"> </w:t>
      </w:r>
    </w:p>
    <w:p>
      <w:pPr>
        <w:pStyle w:val="TextBody"/>
        <w:bidi w:val="0"/>
        <w:spacing w:before="240" w:after="0"/>
        <w:jc w:val="both"/>
        <w:rPr>
          <w:rFonts w:ascii="Arial;sans-serif" w:hAnsi="Arial;sans-serif"/>
          <w:b w:val="false"/>
          <w:sz w:val="24"/>
          <w:u w:val="single"/>
        </w:rPr>
      </w:pPr>
      <w:r>
        <w:rPr>
          <w:rFonts w:ascii="Arial;sans-serif" w:hAnsi="Arial;sans-serif"/>
          <w:b w:val="false"/>
          <w:sz w:val="24"/>
          <w:u w:val="single"/>
        </w:rPr>
        <w:t>Stock Ownership and Retention Requirements</w:t>
      </w:r>
    </w:p>
    <w:p>
      <w:pPr>
        <w:pStyle w:val="TextBody"/>
        <w:bidi w:val="0"/>
        <w:spacing w:before="0" w:after="0"/>
        <w:jc w:val="both"/>
        <w:rPr>
          <w:rFonts w:ascii="Times New Roman" w:hAnsi="Times New Roman"/>
          <w:sz w:val="20"/>
        </w:rPr>
      </w:pPr>
      <w:r>
        <w:rPr>
          <w:rFonts w:ascii="Arial;sans-serif" w:hAnsi="Arial;sans-serif"/>
          <w:b w:val="false"/>
          <w:sz w:val="20"/>
        </w:rPr>
        <w:t>We maintain stock ownership guidelines for our non-employee directors and executive officers. Our non-employee directors and executive officers are required to own shares of our common stock or share equivalents with a value equal to at least the lesser of the following:</w:t>
      </w:r>
      <w:r>
        <w:rPr>
          <w:rFonts w:ascii="Times New Roman" w:hAnsi="Times New Roman"/>
          <w:sz w:val="20"/>
        </w:rPr>
        <w:t xml:space="preserve"> </w:t>
      </w:r>
    </w:p>
    <w:tbl>
      <w:tblPr>
        <w:tblW w:w="7322" w:type="dxa"/>
        <w:jc w:val="left"/>
        <w:tblInd w:w="0" w:type="dxa"/>
        <w:tblLayout w:type="fixed"/>
        <w:tblCellMar>
          <w:top w:w="28" w:type="dxa"/>
          <w:left w:w="28" w:type="dxa"/>
          <w:bottom w:w="28" w:type="dxa"/>
          <w:right w:w="28" w:type="dxa"/>
        </w:tblCellMar>
      </w:tblPr>
      <w:tblGrid>
        <w:gridCol w:w="2176"/>
        <w:gridCol w:w="5146"/>
      </w:tblGrid>
      <w:tr>
        <w:trPr/>
        <w:tc>
          <w:tcPr>
            <w:tcW w:w="217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before="0" w:after="0"/>
              <w:ind w:left="0" w:right="0" w:hanging="0"/>
              <w:jc w:val="both"/>
              <w:rPr/>
            </w:pPr>
            <w:r>
              <w:rPr/>
              <w:t>  </w:t>
            </w:r>
            <w:r>
              <w:rPr>
                <w:rFonts w:ascii="Arial;sans-serif" w:hAnsi="Arial;sans-serif"/>
                <w:b/>
                <w:sz w:val="18"/>
              </w:rPr>
              <w:t>Position</w:t>
            </w:r>
          </w:p>
        </w:tc>
        <w:tc>
          <w:tcPr>
            <w:tcW w:w="5146" w:type="dxa"/>
            <w:tcBorders/>
            <w:vAlign w:val="center"/>
          </w:tcPr>
          <w:p>
            <w:pPr>
              <w:pStyle w:val="TableContents"/>
              <w:bidi w:val="0"/>
              <w:spacing w:before="0" w:after="0"/>
              <w:ind w:left="0" w:right="0" w:firstLine="90"/>
              <w:jc w:val="both"/>
              <w:rPr>
                <w:rFonts w:ascii="Arial;sans-serif" w:hAnsi="Arial;sans-serif"/>
                <w:b/>
                <w:sz w:val="18"/>
              </w:rPr>
            </w:pPr>
            <w:r>
              <w:rPr>
                <w:rFonts w:ascii="Arial;sans-serif" w:hAnsi="Arial;sans-serif"/>
                <w:b/>
                <w:sz w:val="18"/>
              </w:rPr>
              <w:t>Target Ownership</w:t>
            </w:r>
          </w:p>
        </w:tc>
      </w:tr>
      <w:tr>
        <w:trPr/>
        <w:tc>
          <w:tcPr>
            <w:tcW w:w="2176" w:type="dxa"/>
            <w:tcBorders/>
            <w:vAlign w:val="center"/>
          </w:tcPr>
          <w:p>
            <w:pPr>
              <w:pStyle w:val="TableContents"/>
              <w:bidi w:val="0"/>
              <w:spacing w:before="60" w:after="60"/>
              <w:ind w:left="90" w:right="0" w:hanging="0"/>
              <w:jc w:val="both"/>
              <w:rPr>
                <w:rFonts w:ascii="Times New Roman" w:hAnsi="Times New Roman"/>
                <w:sz w:val="18"/>
              </w:rPr>
            </w:pPr>
            <w:r>
              <w:rPr>
                <w:rFonts w:ascii="Arial;sans-serif" w:hAnsi="Arial;sans-serif"/>
                <w:b w:val="false"/>
                <w:sz w:val="18"/>
              </w:rPr>
              <w:t>Non-Employee Directors</w:t>
            </w:r>
            <w:r>
              <w:rPr>
                <w:rFonts w:ascii="Times New Roman" w:hAnsi="Times New Roman"/>
                <w:sz w:val="18"/>
              </w:rPr>
              <w:t xml:space="preserve"> </w:t>
            </w:r>
          </w:p>
        </w:tc>
        <w:tc>
          <w:tcPr>
            <w:tcW w:w="5146" w:type="dxa"/>
            <w:tcBorders/>
            <w:vAlign w:val="center"/>
          </w:tcPr>
          <w:p>
            <w:pPr>
              <w:pStyle w:val="TableContents"/>
              <w:bidi w:val="0"/>
              <w:spacing w:before="40" w:after="40"/>
              <w:ind w:left="0" w:right="0" w:firstLine="270"/>
              <w:jc w:val="both"/>
              <w:rPr>
                <w:rFonts w:ascii="Arial;sans-serif" w:hAnsi="Arial;sans-serif"/>
                <w:b w:val="false"/>
                <w:sz w:val="20"/>
              </w:rPr>
            </w:pPr>
            <w:r>
              <w:rPr>
                <w:rFonts w:ascii="Arial;sans-serif" w:hAnsi="Arial;sans-serif"/>
                <w:b w:val="false"/>
                <w:sz w:val="20"/>
              </w:rPr>
              <w:t>3x cash retainer or 21,000 shares or share equivalents</w:t>
            </w:r>
          </w:p>
        </w:tc>
      </w:tr>
      <w:tr>
        <w:trPr/>
        <w:tc>
          <w:tcPr>
            <w:tcW w:w="2176" w:type="dxa"/>
            <w:tcBorders/>
            <w:vAlign w:val="center"/>
          </w:tcPr>
          <w:p>
            <w:pPr>
              <w:pStyle w:val="TableContents"/>
              <w:pBdr/>
              <w:bidi w:val="0"/>
              <w:spacing w:before="60" w:after="60"/>
              <w:ind w:left="90" w:right="0" w:hanging="180"/>
              <w:jc w:val="both"/>
              <w:rPr>
                <w:rFonts w:ascii="Times New Roman" w:hAnsi="Times New Roman"/>
                <w:sz w:val="18"/>
              </w:rPr>
            </w:pPr>
            <w:r>
              <w:rPr>
                <w:rFonts w:ascii="Arial;sans-serif" w:hAnsi="Arial;sans-serif"/>
                <w:b w:val="false"/>
                <w:sz w:val="18"/>
              </w:rPr>
              <w:t>CEO</w:t>
            </w:r>
            <w:r>
              <w:rPr>
                <w:rFonts w:ascii="Times New Roman" w:hAnsi="Times New Roman"/>
                <w:sz w:val="18"/>
              </w:rPr>
              <w:t xml:space="preserve"> </w:t>
            </w:r>
          </w:p>
        </w:tc>
        <w:tc>
          <w:tcPr>
            <w:tcW w:w="5146" w:type="dxa"/>
            <w:tcBorders/>
            <w:vAlign w:val="center"/>
          </w:tcPr>
          <w:p>
            <w:pPr>
              <w:pStyle w:val="TableContents"/>
              <w:bidi w:val="0"/>
              <w:spacing w:before="40" w:after="40"/>
              <w:ind w:left="0" w:right="0" w:firstLine="270"/>
              <w:jc w:val="both"/>
              <w:rPr>
                <w:rFonts w:ascii="Arial;sans-serif" w:hAnsi="Arial;sans-serif"/>
                <w:b w:val="false"/>
                <w:sz w:val="20"/>
              </w:rPr>
            </w:pPr>
            <w:r>
              <w:rPr>
                <w:rFonts w:ascii="Arial;sans-serif" w:hAnsi="Arial;sans-serif"/>
                <w:b w:val="false"/>
                <w:sz w:val="20"/>
              </w:rPr>
              <w:t>3x base salary or 161,000 shares or share equivalents</w:t>
            </w:r>
          </w:p>
        </w:tc>
      </w:tr>
      <w:tr>
        <w:trPr/>
        <w:tc>
          <w:tcPr>
            <w:tcW w:w="2176" w:type="dxa"/>
            <w:tcBorders/>
            <w:vAlign w:val="center"/>
          </w:tcPr>
          <w:p>
            <w:pPr>
              <w:pStyle w:val="TableContents"/>
              <w:pBdr/>
              <w:bidi w:val="0"/>
              <w:spacing w:before="60" w:after="60"/>
              <w:ind w:left="90" w:right="0" w:hanging="180"/>
              <w:jc w:val="both"/>
              <w:rPr>
                <w:rFonts w:ascii="Times New Roman" w:hAnsi="Times New Roman"/>
                <w:sz w:val="18"/>
              </w:rPr>
            </w:pPr>
            <w:r>
              <w:rPr>
                <w:rFonts w:ascii="Arial;sans-serif" w:hAnsi="Arial;sans-serif"/>
                <w:b w:val="false"/>
                <w:sz w:val="18"/>
              </w:rPr>
              <w:t>CFO</w:t>
            </w:r>
            <w:r>
              <w:rPr>
                <w:rFonts w:ascii="Times New Roman" w:hAnsi="Times New Roman"/>
                <w:sz w:val="18"/>
              </w:rPr>
              <w:t xml:space="preserve"> </w:t>
            </w:r>
          </w:p>
        </w:tc>
        <w:tc>
          <w:tcPr>
            <w:tcW w:w="5146" w:type="dxa"/>
            <w:tcBorders/>
            <w:vAlign w:val="center"/>
          </w:tcPr>
          <w:p>
            <w:pPr>
              <w:pStyle w:val="TableContents"/>
              <w:bidi w:val="0"/>
              <w:spacing w:before="40" w:after="40"/>
              <w:ind w:left="0" w:right="0" w:firstLine="270"/>
              <w:jc w:val="both"/>
              <w:rPr>
                <w:rFonts w:ascii="Arial;sans-serif" w:hAnsi="Arial;sans-serif"/>
                <w:b w:val="false"/>
                <w:sz w:val="20"/>
              </w:rPr>
            </w:pPr>
            <w:r>
              <w:rPr>
                <w:rFonts w:ascii="Arial;sans-serif" w:hAnsi="Arial;sans-serif"/>
                <w:b w:val="false"/>
                <w:sz w:val="20"/>
              </w:rPr>
              <w:t>2x base salary or 34,000 shares or share equivalents</w:t>
            </w:r>
          </w:p>
        </w:tc>
      </w:tr>
      <w:tr>
        <w:trPr/>
        <w:tc>
          <w:tcPr>
            <w:tcW w:w="2176" w:type="dxa"/>
            <w:tcBorders>
              <w:bottom w:val="single" w:sz="4" w:space="0" w:color="000000"/>
            </w:tcBorders>
            <w:tcMar>
              <w:top w:w="0" w:type="dxa"/>
              <w:left w:w="0" w:type="dxa"/>
              <w:right w:w="0" w:type="dxa"/>
            </w:tcMar>
            <w:vAlign w:val="center"/>
          </w:tcPr>
          <w:p>
            <w:pPr>
              <w:pStyle w:val="TableContents"/>
              <w:pBdr/>
              <w:bidi w:val="0"/>
              <w:spacing w:before="60" w:after="60"/>
              <w:ind w:left="90" w:right="0" w:hanging="180"/>
              <w:jc w:val="both"/>
              <w:rPr>
                <w:rFonts w:ascii="Times New Roman" w:hAnsi="Times New Roman"/>
                <w:sz w:val="18"/>
              </w:rPr>
            </w:pPr>
            <w:r>
              <w:rPr>
                <w:rFonts w:ascii="Arial;sans-serif" w:hAnsi="Arial;sans-serif"/>
                <w:b w:val="false"/>
                <w:sz w:val="18"/>
              </w:rPr>
              <w:t>Other Executive Officers</w:t>
            </w:r>
            <w:r>
              <w:rPr>
                <w:rFonts w:ascii="Times New Roman" w:hAnsi="Times New Roman"/>
                <w:sz w:val="18"/>
              </w:rPr>
              <w:t xml:space="preserve"> </w:t>
            </w:r>
          </w:p>
        </w:tc>
        <w:tc>
          <w:tcPr>
            <w:tcW w:w="5146" w:type="dxa"/>
            <w:tcBorders>
              <w:bottom w:val="single" w:sz="4" w:space="0" w:color="000000"/>
            </w:tcBorders>
            <w:tcMar>
              <w:top w:w="0" w:type="dxa"/>
              <w:left w:w="0" w:type="dxa"/>
              <w:right w:w="0" w:type="dxa"/>
            </w:tcMar>
            <w:vAlign w:val="center"/>
          </w:tcPr>
          <w:p>
            <w:pPr>
              <w:pStyle w:val="TableContents"/>
              <w:bidi w:val="0"/>
              <w:spacing w:before="40" w:after="40"/>
              <w:ind w:left="0" w:right="0" w:hanging="0"/>
              <w:jc w:val="both"/>
              <w:rPr>
                <w:rFonts w:ascii="Arial;sans-serif" w:hAnsi="Arial;sans-serif"/>
                <w:b w:val="false"/>
                <w:sz w:val="20"/>
              </w:rPr>
            </w:pPr>
            <w:r>
              <w:rPr>
                <w:rFonts w:ascii="Arial;sans-serif" w:hAnsi="Arial;sans-serif"/>
                <w:b w:val="false"/>
                <w:sz w:val="20"/>
              </w:rPr>
              <w:t>2x base salary or 26,000 shares or share equivalents</w:t>
            </w:r>
          </w:p>
        </w:tc>
      </w:tr>
    </w:tbl>
    <w:p>
      <w:pPr>
        <w:pStyle w:val="TextBody"/>
        <w:bidi w:val="0"/>
        <w:spacing w:before="0" w:after="0"/>
        <w:jc w:val="both"/>
        <w:rPr/>
      </w:pPr>
      <w:r>
        <w:rPr/>
        <w:t> </w:t>
      </w:r>
    </w:p>
    <w:p>
      <w:pPr>
        <w:pStyle w:val="TextBody"/>
        <w:bidi w:val="0"/>
        <w:spacing w:before="0" w:after="0"/>
        <w:jc w:val="both"/>
        <w:rPr>
          <w:rFonts w:ascii="Arial;sans-serif" w:hAnsi="Arial;sans-serif"/>
          <w:b w:val="false"/>
          <w:sz w:val="20"/>
        </w:rPr>
      </w:pPr>
      <w:r>
        <w:rPr>
          <w:rFonts w:ascii="Arial;sans-serif" w:hAnsi="Arial;sans-serif"/>
          <w:b w:val="false"/>
          <w:sz w:val="20"/>
        </w:rPr>
        <w:t>Each individual has five years from the date of his or her appointment as a director or an executive officer to achieve the required ownership levels. For these purposes, stock ownership generally includes shares directly owned by the individual (including any shares over which the individual has sole ownership, voting, or investment power); shares owned by the individual’s minor children and spouse and by other related individuals and entities over whose shares the individual has custody, voting control, or power of disposition; shares underlying RSUs that have vested and are deliverable or will be vested and deliverable within 60 days; shares underlying PSUs that have vested, but are not deliverable within 60 days if the performance requirements have been satisfied; and shares held in trust for the benefit of the individual. Failure to satisfy the required ownership level may result in the ineligibility of the individual to receive stock-based compensation, in the case of an executive officer or director, or inability to be a nominee for election to the Board, in the case of a director.</w:t>
      </w:r>
    </w:p>
    <w:p>
      <w:pPr>
        <w:pStyle w:val="TextBody"/>
        <w:bidi w:val="0"/>
        <w:spacing w:before="240" w:after="0"/>
        <w:jc w:val="both"/>
        <w:rPr>
          <w:rFonts w:ascii="Arial;sans-serif" w:hAnsi="Arial;sans-serif"/>
          <w:b w:val="false"/>
          <w:sz w:val="24"/>
          <w:u w:val="single"/>
        </w:rPr>
      </w:pPr>
      <w:r>
        <w:rPr>
          <w:rFonts w:ascii="Arial;sans-serif" w:hAnsi="Arial;sans-serif"/>
          <w:b w:val="false"/>
          <w:sz w:val="24"/>
          <w:u w:val="single"/>
        </w:rPr>
        <w:t>Employment Agreements</w:t>
      </w:r>
    </w:p>
    <w:p>
      <w:pPr>
        <w:pStyle w:val="TextBody"/>
        <w:bidi w:val="0"/>
        <w:spacing w:before="0" w:after="0"/>
        <w:jc w:val="both"/>
        <w:rPr>
          <w:rFonts w:ascii="Times New Roman" w:hAnsi="Times New Roman"/>
          <w:sz w:val="20"/>
        </w:rPr>
      </w:pPr>
      <w:r>
        <w:rPr>
          <w:rFonts w:ascii="Arial;sans-serif" w:hAnsi="Arial;sans-serif"/>
          <w:b w:val="false"/>
          <w:sz w:val="20"/>
        </w:rPr>
        <w:t>We do not maintain employment agreements with any of our NEOs, except Mr. Smith.</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Mr. Smith</w:t>
      </w:r>
      <w:r>
        <w:rPr>
          <w:rFonts w:ascii="Arial;sans-serif" w:hAnsi="Arial;sans-serif"/>
          <w:b w:val="false"/>
          <w:sz w:val="20"/>
        </w:rPr>
        <w:t>. On April 4, 2020, we entered into an employment agreement with Mr. Smith, pursuant to which he is (a) entitled to an annual base salary that is subject to annual review by the Board and (b) eligible to participate in our executive compensation programs, to receive a discretionary annual cash bonus under our annual cash incentive program as determined by the Board, and to receive annual and periodic stock-based compensation awards as determined by the Board. Mr. Smith is entitled to receive other standard benefits, including a car allowance of $1,500 per month; participation in any group health insurance, pension, retirement, vacation, expense reimbursement, relocation program, and other plans, programs, and benefits approved by the Board and made available from time to time to our other executives; and certain insurance benefits.</w:t>
      </w:r>
    </w:p>
    <w:p>
      <w:pPr>
        <w:pStyle w:val="TextBody"/>
        <w:bidi w:val="0"/>
        <w:spacing w:before="240" w:after="0"/>
        <w:jc w:val="both"/>
        <w:rPr>
          <w:rFonts w:ascii="Times New Roman" w:hAnsi="Times New Roman"/>
          <w:sz w:val="20"/>
        </w:rPr>
      </w:pPr>
      <w:r>
        <w:rPr>
          <w:rFonts w:ascii="Arial;sans-serif" w:hAnsi="Arial;sans-serif"/>
          <w:b w:val="false"/>
          <w:sz w:val="20"/>
        </w:rPr>
        <w:t>If we unilaterally terminate Mr. Smith’s employment without cause, he will receive (i) his base salary for 18 months after the termination; (ii) a pro rata portion of his annual cash bonus for the fiscal year in which the termination occurs to the extent earned under the then applicable executive annual cash incentive program; (iii) a car allowance for 18 months after termination; (iv) at our option, either (x) coverage under our medical plan to the extent provided for him pursuant to his employment agreement at termination, such benefits to</w:t>
      </w:r>
      <w:r>
        <w:rPr>
          <w:rFonts w:ascii="Times New Roman" w:hAnsi="Times New Roman"/>
          <w:sz w:val="20"/>
        </w:rPr>
        <w:t xml:space="preserve"> </w:t>
      </w:r>
    </w:p>
    <w:p>
      <w:pPr>
        <w:pStyle w:val="TextBody"/>
        <w:bidi w:val="0"/>
        <w:spacing w:before="0" w:after="0"/>
        <w:jc w:val="left"/>
        <w:rPr/>
      </w:pPr>
      <w:r>
        <w:rPr/>
        <w:t> </w:t>
      </w:r>
    </w:p>
    <w:tbl>
      <w:tblPr>
        <w:tblW w:w="3762" w:type="dxa"/>
        <w:jc w:val="left"/>
        <w:tblInd w:w="0" w:type="dxa"/>
        <w:tblLayout w:type="fixed"/>
        <w:tblCellMar>
          <w:top w:w="28" w:type="dxa"/>
          <w:left w:w="28" w:type="dxa"/>
          <w:bottom w:w="28" w:type="dxa"/>
          <w:right w:w="28" w:type="dxa"/>
        </w:tblCellMar>
      </w:tblPr>
      <w:tblGrid>
        <w:gridCol w:w="2266"/>
        <w:gridCol w:w="1496"/>
      </w:tblGrid>
      <w:tr>
        <w:trPr/>
        <w:tc>
          <w:tcPr>
            <w:tcW w:w="226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28</w:t>
            </w:r>
            <w:r>
              <w:rPr>
                <w:rFonts w:ascii="Times New Roman" w:hAnsi="Times New Roman"/>
                <w:sz w:val="18"/>
              </w:rPr>
              <w:t> </w:t>
            </w:r>
            <w:r>
              <w:rPr>
                <w:rFonts w:ascii="Arial;sans-serif" w:hAnsi="Arial;sans-serif"/>
                <w:b w:val="false"/>
                <w:sz w:val="18"/>
              </w:rPr>
              <w:t>I 2023 Proxy Statement</w:t>
            </w:r>
          </w:p>
        </w:tc>
        <w:tc>
          <w:tcPr>
            <w:tcW w:w="1496" w:type="dxa"/>
            <w:tcBorders/>
            <w:vAlign w:val="center"/>
          </w:tcPr>
          <w:p>
            <w:pPr>
              <w:pStyle w:val="TableContents"/>
              <w:bidi w:val="0"/>
              <w:spacing w:before="0" w:after="0"/>
              <w:ind w:left="0" w:right="0" w:hanging="0"/>
              <w:jc w:val="right"/>
              <w:rPr/>
            </w:pPr>
            <w:r>
              <w:rPr/>
              <w:drawing>
                <wp:inline distT="0" distB="0" distL="0" distR="0">
                  <wp:extent cx="828675" cy="1905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828675" cy="190500"/>
                          </a:xfrm>
                          <a:prstGeom prst="rect">
                            <a:avLst/>
                          </a:prstGeom>
                        </pic:spPr>
                      </pic:pic>
                    </a:graphicData>
                  </a:graphic>
                </wp:inline>
              </w:drawing>
            </w: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2277" w:type="dxa"/>
        <w:jc w:val="left"/>
        <w:tblInd w:w="0" w:type="dxa"/>
        <w:tblLayout w:type="fixed"/>
        <w:tblCellMar>
          <w:top w:w="28" w:type="dxa"/>
          <w:left w:w="28" w:type="dxa"/>
          <w:bottom w:w="28" w:type="dxa"/>
          <w:right w:w="28" w:type="dxa"/>
        </w:tblCellMar>
      </w:tblPr>
      <w:tblGrid>
        <w:gridCol w:w="2086"/>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Compensation Matters</w:t>
            </w:r>
          </w:p>
        </w:tc>
        <w:tc>
          <w:tcPr>
            <w:tcW w:w="191" w:type="dxa"/>
            <w:tcBorders/>
            <w:vAlign w:val="center"/>
          </w:tcPr>
          <w:p>
            <w:pPr>
              <w:pStyle w:val="TableContents"/>
              <w:bidi w:val="0"/>
              <w:spacing w:before="0" w:after="0"/>
              <w:ind w:left="0" w:right="0" w:hanging="0"/>
              <w:jc w:val="left"/>
              <w:rPr/>
            </w:pPr>
            <w:r>
              <w:rPr/>
              <w:t> </w:t>
            </w:r>
          </w:p>
        </w:tc>
      </w:tr>
      <w:tr>
        <w:trPr/>
        <w:tc>
          <w:tcPr>
            <w:tcW w:w="208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val="false"/>
          <w:sz w:val="20"/>
        </w:rPr>
        <w:t>be received for 18 months thereafter or (y) reimbursement for the COBRA premium for such coverage through the earlier of the 18-month period or the COBRA eligibility period; and (v) a vested pro rata portion of stock-based awards scheduled to vest in the fiscal year of the termination.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If Mr. Smith’s employment is terminated by reason of his death or disability, if Mr. Smith unilaterally terminates his employment, or if Mr. Smith engages in an act or acts involving a crime, moral turpitude, fraud or dishonesty, or he willfully violates in a material respect our Corporate Governance Guidelines, Code of Conduct, or Code of Ethics for the Chief Executive Officer and Senior Financial Officers, he will receive no further base compensation under his employment agreement.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If Mr. Smith’s employment is terminated by reason of his death or disability, if we unilaterally terminate Mr. Smith’s employment without cause, or if Mr. Smith voluntarily terminates his employment, or is terminated by us, following a qualifying change in control event as described below, he will receive, for the fiscal year of the notice of termination, any earned bonus, on a pro-rated basis, based on the performance goals actually achieved for the fiscal year of the notice of termination, as determined in the sole discretion of the Board, at the time such bonuses are paid to our other employees.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The agreement provides that, in the event of a change in control (as defined therein), Mr. Smith may, at his option and upon written notice to us, terminate his employment, unless (i) the provisions of his employment agreement remain in full force and effect and (ii) he suffers no reduction in his status, duties, authority, or compensation following the change in control, provided that he will be considered to suffer a reduction in his status, duties, or authority if, after the change in control, (a) he is not the CEO of the company that succeeds to our business; (b) such company’s stock is not listed on a national stock exchange; or (c) such company terminates his employment or reduces his status, duties, authority, or compensation within one year of the change in control. If, within one year of a change of control, Mr. Smith terminates his employment because of the change in control following which the employment agreement does not remain in full force and effect or his status, duties, authority, or compensation have been reduced, or such company terminates Mr. Smith, he will receive (A) his base salary for 18 months; (B) an amount equal to 150% of the average of his cash bonus paid for each of the two fiscal years immediately preceding his termination, which will be paid over the 18-month period; (C) his car allowance for 18 months; and (D) at our option, either (x) coverage under our medical plan to the extent provided for him at the date of termination for 18 months or (y) reimbursement for the COBRA premium for such coverage through the earlier of such 18-month period or the COBRA eligibility period. In addition, all unvested stock-based compensation held by Mr. Smith in his capacity as an employee on the effective date of the termination will vest as of the effective date of such termination.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The employment agreement includes non-competition and non-solicitation provisions that apply for 18 months following termination.</w:t>
      </w:r>
      <w:r>
        <w:rPr>
          <w:rFonts w:ascii="Times New Roman" w:hAnsi="Times New Roman"/>
          <w:sz w:val="20"/>
        </w:rPr>
        <w:t xml:space="preserve"> </w:t>
      </w:r>
    </w:p>
    <w:p>
      <w:pPr>
        <w:pStyle w:val="TextBody"/>
        <w:bidi w:val="0"/>
        <w:spacing w:before="240" w:after="0"/>
        <w:jc w:val="both"/>
        <w:rPr>
          <w:rFonts w:ascii="Arial;sans-serif" w:hAnsi="Arial;sans-serif"/>
          <w:b w:val="false"/>
          <w:sz w:val="24"/>
          <w:u w:val="single"/>
        </w:rPr>
      </w:pPr>
      <w:r>
        <w:rPr>
          <w:rFonts w:ascii="Arial;sans-serif" w:hAnsi="Arial;sans-serif"/>
          <w:b w:val="false"/>
          <w:sz w:val="24"/>
          <w:u w:val="single"/>
        </w:rPr>
        <w:t>Severance Plan Benefits</w:t>
      </w:r>
    </w:p>
    <w:p>
      <w:pPr>
        <w:pStyle w:val="TextBody"/>
        <w:bidi w:val="0"/>
        <w:spacing w:before="0" w:after="0"/>
        <w:jc w:val="both"/>
        <w:rPr>
          <w:rFonts w:ascii="Times New Roman" w:hAnsi="Times New Roman"/>
          <w:sz w:val="20"/>
        </w:rPr>
      </w:pPr>
      <w:r>
        <w:rPr>
          <w:rFonts w:ascii="Arial;sans-serif" w:hAnsi="Arial;sans-serif"/>
          <w:b w:val="false"/>
          <w:sz w:val="20"/>
        </w:rPr>
        <w:t>The Smith &amp; Wesson Brands, Inc. Executive Severance Pay Plan (the “Executive Severance Plan”) is intended to provide severance pay to certain eligible executives whose employment is terminated under certain circumstances. All of our NEOs participated in the Executive Severance Plan during fiscal 2023, except Mr. Smith, whose severance eligibility is covered under other agreements.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Subject to certain conditions, if we terminate a participating executive without good cause (other than due to death or disability) or a participating executive resigns for good reason (each as defined therein), he or she will receive certain payments and benefits, subject to the terms and conditions set out in the Executive Severance Plan. These payments and benefits include continuation of base salary for six months, a lump sum cash payment equal to the average of the cash incentive bonuses paid to the executive for each of the preceding two fiscal years, vesting of all stock-based compensation granted to the executive in his or her capacity as an employee, and reimbursement for the cost of healthcare continuation coverage for the participating executive and his or her eligible dependents for six months. See “Potential Payments Upon Termination or Change in Control.”</w:t>
      </w:r>
    </w:p>
    <w:p>
      <w:pPr>
        <w:pStyle w:val="TextBody"/>
        <w:bidi w:val="0"/>
        <w:spacing w:before="0" w:after="0"/>
        <w:jc w:val="left"/>
        <w:rPr/>
      </w:pPr>
      <w:r>
        <w:rPr/>
        <w:t> </w:t>
      </w:r>
    </w:p>
    <w:tbl>
      <w:tblPr>
        <w:tblW w:w="3762" w:type="dxa"/>
        <w:jc w:val="left"/>
        <w:tblInd w:w="0" w:type="dxa"/>
        <w:tblLayout w:type="fixed"/>
        <w:tblCellMar>
          <w:top w:w="28" w:type="dxa"/>
          <w:left w:w="28" w:type="dxa"/>
          <w:bottom w:w="28" w:type="dxa"/>
          <w:right w:w="28" w:type="dxa"/>
        </w:tblCellMar>
      </w:tblPr>
      <w:tblGrid>
        <w:gridCol w:w="2266"/>
        <w:gridCol w:w="1496"/>
      </w:tblGrid>
      <w:tr>
        <w:trPr/>
        <w:tc>
          <w:tcPr>
            <w:tcW w:w="226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29</w:t>
            </w:r>
            <w:r>
              <w:rPr>
                <w:rFonts w:ascii="Times New Roman" w:hAnsi="Times New Roman"/>
                <w:sz w:val="18"/>
              </w:rPr>
              <w:t> </w:t>
            </w:r>
            <w:r>
              <w:rPr>
                <w:rFonts w:ascii="Arial;sans-serif" w:hAnsi="Arial;sans-serif"/>
                <w:b w:val="false"/>
                <w:sz w:val="18"/>
              </w:rPr>
              <w:t>I 2023 Proxy Statement</w:t>
            </w:r>
          </w:p>
        </w:tc>
        <w:tc>
          <w:tcPr>
            <w:tcW w:w="1496" w:type="dxa"/>
            <w:tcBorders/>
            <w:vAlign w:val="center"/>
          </w:tcPr>
          <w:p>
            <w:pPr>
              <w:pStyle w:val="TableContents"/>
              <w:bidi w:val="0"/>
              <w:spacing w:before="0" w:after="0"/>
              <w:ind w:left="0" w:right="0" w:hanging="0"/>
              <w:jc w:val="right"/>
              <w:rPr/>
            </w:pPr>
            <w:r>
              <w:rPr/>
              <w:drawing>
                <wp:inline distT="0" distB="0" distL="0" distR="0">
                  <wp:extent cx="828675" cy="1905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828675" cy="190500"/>
                          </a:xfrm>
                          <a:prstGeom prst="rect">
                            <a:avLst/>
                          </a:prstGeom>
                        </pic:spPr>
                      </pic:pic>
                    </a:graphicData>
                  </a:graphic>
                </wp:inline>
              </w:drawing>
            </w: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2277" w:type="dxa"/>
        <w:jc w:val="left"/>
        <w:tblInd w:w="0" w:type="dxa"/>
        <w:tblLayout w:type="fixed"/>
        <w:tblCellMar>
          <w:top w:w="28" w:type="dxa"/>
          <w:left w:w="28" w:type="dxa"/>
          <w:bottom w:w="28" w:type="dxa"/>
          <w:right w:w="28" w:type="dxa"/>
        </w:tblCellMar>
      </w:tblPr>
      <w:tblGrid>
        <w:gridCol w:w="2086"/>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Compensation Matters</w:t>
            </w:r>
          </w:p>
        </w:tc>
        <w:tc>
          <w:tcPr>
            <w:tcW w:w="191" w:type="dxa"/>
            <w:tcBorders/>
            <w:vAlign w:val="center"/>
          </w:tcPr>
          <w:p>
            <w:pPr>
              <w:pStyle w:val="TableContents"/>
              <w:bidi w:val="0"/>
              <w:spacing w:before="0" w:after="0"/>
              <w:ind w:left="0" w:right="0" w:hanging="0"/>
              <w:jc w:val="left"/>
              <w:rPr/>
            </w:pPr>
            <w:r>
              <w:rPr/>
              <w:t> </w:t>
            </w:r>
          </w:p>
        </w:tc>
      </w:tr>
      <w:tr>
        <w:trPr/>
        <w:tc>
          <w:tcPr>
            <w:tcW w:w="208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360" w:after="0"/>
        <w:jc w:val="both"/>
        <w:rPr>
          <w:rFonts w:ascii="Arial;sans-serif" w:hAnsi="Arial;sans-serif"/>
          <w:b/>
          <w:sz w:val="28"/>
        </w:rPr>
      </w:pPr>
      <w:r>
        <w:rPr>
          <w:rFonts w:ascii="Arial;sans-serif" w:hAnsi="Arial;sans-serif"/>
          <w:b/>
          <w:sz w:val="28"/>
        </w:rPr>
        <w:t>COMPENSATION COMMITTEE REPORT</w:t>
      </w:r>
    </w:p>
    <w:p>
      <w:pPr>
        <w:pStyle w:val="TextBody"/>
        <w:bidi w:val="0"/>
        <w:spacing w:before="240" w:after="0"/>
        <w:jc w:val="both"/>
        <w:rPr>
          <w:rFonts w:ascii="Times New Roman" w:hAnsi="Times New Roman"/>
          <w:sz w:val="20"/>
        </w:rPr>
      </w:pPr>
      <w:r>
        <w:rPr>
          <w:rFonts w:ascii="Arial;sans-serif" w:hAnsi="Arial;sans-serif"/>
          <w:b w:val="false"/>
          <w:sz w:val="20"/>
        </w:rPr>
        <w:t>The Compensation Committee has reviewed and discussed with management the Compensation Discussion and Analysis included in this Proxy Statement and, based on such review and discussions, the Compensation Committee recommended to the Board that the Compensation Discussion and Analysis be included in this Proxy Statement.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Compensation Committee:</w:t>
      </w:r>
      <w:r>
        <w:rPr>
          <w:rFonts w:ascii="Times New Roman" w:hAnsi="Times New Roman"/>
          <w:sz w:val="20"/>
        </w:rPr>
        <w:t xml:space="preserve"> </w:t>
      </w:r>
      <w:r>
        <w:rPr>
          <w:rFonts w:ascii="Arial;sans-serif" w:hAnsi="Arial;sans-serif"/>
          <w:b w:val="false"/>
          <w:sz w:val="20"/>
        </w:rPr>
        <w:t>Barry M. Monheit, Chairman; Anita D. Britt; Fred M. Diaz; John B. Furman; and Michelle J. Lohmeier</w:t>
      </w:r>
    </w:p>
    <w:p>
      <w:pPr>
        <w:pStyle w:val="TextBody"/>
        <w:bidi w:val="0"/>
        <w:spacing w:before="360" w:after="0"/>
        <w:jc w:val="both"/>
        <w:rPr>
          <w:rFonts w:ascii="Arial;sans-serif" w:hAnsi="Arial;sans-serif"/>
          <w:b/>
          <w:sz w:val="28"/>
        </w:rPr>
      </w:pPr>
      <w:r>
        <w:rPr>
          <w:rFonts w:ascii="Arial;sans-serif" w:hAnsi="Arial;sans-serif"/>
          <w:b/>
          <w:sz w:val="28"/>
        </w:rPr>
        <w:t>COMPENSATION COMMITTEE INTERLOCKS AND INSIDER PARTICIPATION</w:t>
      </w:r>
    </w:p>
    <w:p>
      <w:pPr>
        <w:pStyle w:val="TextBody"/>
        <w:bidi w:val="0"/>
        <w:spacing w:before="240" w:after="0"/>
        <w:jc w:val="both"/>
        <w:rPr>
          <w:rFonts w:ascii="Arial;sans-serif" w:hAnsi="Arial;sans-serif"/>
          <w:b w:val="false"/>
          <w:sz w:val="20"/>
        </w:rPr>
      </w:pPr>
      <w:r>
        <w:rPr>
          <w:rFonts w:ascii="Arial;sans-serif" w:hAnsi="Arial;sans-serif"/>
          <w:b w:val="false"/>
          <w:sz w:val="20"/>
        </w:rPr>
        <w:t>During fiscal 2023, Messrs. Diaz, Furman, and Monheit and Ms. Britt served on the Compensation Committee. None of these individuals had any material contractual or other relationships with us during the fiscal year, except as directors. During fiscal 2023, none of our executive officers served on the compensation committee or board of directors of any entity whose executive officers serve as a member of the Board or Compensation Committee.</w:t>
      </w:r>
    </w:p>
    <w:p>
      <w:pPr>
        <w:pStyle w:val="TextBody"/>
        <w:bidi w:val="0"/>
        <w:spacing w:before="0" w:after="0"/>
        <w:jc w:val="left"/>
        <w:rPr/>
      </w:pPr>
      <w:r>
        <w:rPr/>
        <w:t> </w:t>
      </w:r>
    </w:p>
    <w:tbl>
      <w:tblPr>
        <w:tblW w:w="3762" w:type="dxa"/>
        <w:jc w:val="left"/>
        <w:tblInd w:w="0" w:type="dxa"/>
        <w:tblLayout w:type="fixed"/>
        <w:tblCellMar>
          <w:top w:w="28" w:type="dxa"/>
          <w:left w:w="28" w:type="dxa"/>
          <w:bottom w:w="28" w:type="dxa"/>
          <w:right w:w="28" w:type="dxa"/>
        </w:tblCellMar>
      </w:tblPr>
      <w:tblGrid>
        <w:gridCol w:w="2266"/>
        <w:gridCol w:w="1496"/>
      </w:tblGrid>
      <w:tr>
        <w:trPr/>
        <w:tc>
          <w:tcPr>
            <w:tcW w:w="226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30</w:t>
            </w:r>
            <w:r>
              <w:rPr>
                <w:rFonts w:ascii="Times New Roman" w:hAnsi="Times New Roman"/>
                <w:sz w:val="18"/>
              </w:rPr>
              <w:t> </w:t>
            </w:r>
            <w:r>
              <w:rPr>
                <w:rFonts w:ascii="Arial;sans-serif" w:hAnsi="Arial;sans-serif"/>
                <w:b w:val="false"/>
                <w:sz w:val="18"/>
              </w:rPr>
              <w:t>I 2023 Proxy Statement</w:t>
            </w:r>
          </w:p>
        </w:tc>
        <w:tc>
          <w:tcPr>
            <w:tcW w:w="1496" w:type="dxa"/>
            <w:tcBorders/>
            <w:vAlign w:val="center"/>
          </w:tcPr>
          <w:p>
            <w:pPr>
              <w:pStyle w:val="TableContents"/>
              <w:bidi w:val="0"/>
              <w:spacing w:before="0" w:after="0"/>
              <w:ind w:left="0" w:right="0" w:hanging="0"/>
              <w:jc w:val="right"/>
              <w:rPr/>
            </w:pPr>
            <w:r>
              <w:rPr/>
              <w:drawing>
                <wp:inline distT="0" distB="0" distL="0" distR="0">
                  <wp:extent cx="828675" cy="1905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828675" cy="190500"/>
                          </a:xfrm>
                          <a:prstGeom prst="rect">
                            <a:avLst/>
                          </a:prstGeom>
                        </pic:spPr>
                      </pic:pic>
                    </a:graphicData>
                  </a:graphic>
                </wp:inline>
              </w:drawing>
            </w: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Arial;sans-serif" w:hAnsi="Arial;sans-serif"/>
          <w:b/>
          <w:caps/>
          <w:sz w:val="44"/>
        </w:rPr>
      </w:pPr>
      <w:bookmarkStart w:id="8" w:name="executive_compensation"/>
      <w:bookmarkEnd w:id="8"/>
      <w:r>
        <w:rPr>
          <w:rFonts w:ascii="Arial;sans-serif" w:hAnsi="Arial;sans-serif"/>
          <w:b/>
          <w:caps/>
          <w:sz w:val="44"/>
        </w:rPr>
        <w:t>EXECUTIVE COMPENSATION</w:t>
      </w:r>
    </w:p>
    <w:p>
      <w:pPr>
        <w:pStyle w:val="TextBody"/>
        <w:bidi w:val="0"/>
        <w:spacing w:before="120" w:after="0"/>
        <w:jc w:val="both"/>
        <w:rPr>
          <w:rFonts w:ascii="Times New Roman" w:hAnsi="Times New Roman"/>
          <w:sz w:val="20"/>
        </w:rPr>
      </w:pPr>
      <w:r>
        <w:rPr>
          <w:rFonts w:ascii="Arial;sans-serif" w:hAnsi="Arial;sans-serif"/>
          <w:b/>
          <w:sz w:val="28"/>
        </w:rPr>
        <w:t>FISCAL 2023 SUMMARY COMPENSATION TABLE</w:t>
      </w:r>
      <w:r>
        <w:rPr>
          <w:rFonts w:ascii="Times New Roman" w:hAnsi="Times New Roman"/>
          <w:sz w:val="20"/>
        </w:rPr>
        <w:t xml:space="preserve"> </w:t>
      </w:r>
    </w:p>
    <w:p>
      <w:pPr>
        <w:pStyle w:val="TextBody"/>
        <w:bidi w:val="0"/>
        <w:spacing w:before="0" w:after="0"/>
        <w:jc w:val="both"/>
        <w:rPr>
          <w:rFonts w:ascii="Arial;sans-serif" w:hAnsi="Arial;sans-serif"/>
          <w:b w:val="false"/>
          <w:sz w:val="20"/>
        </w:rPr>
      </w:pPr>
      <w:r>
        <w:rPr>
          <w:rFonts w:ascii="Arial;sans-serif" w:hAnsi="Arial;sans-serif"/>
          <w:b w:val="false"/>
          <w:sz w:val="20"/>
        </w:rPr>
        <w:t>The following table sets forth, for fiscal 2023, 2022, and 2021, information with respect to compensation for services in all capacities to us and our subsidiaries earned by our NEOs.</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1720"/>
        <w:gridCol w:w="146"/>
        <w:gridCol w:w="451"/>
        <w:gridCol w:w="146"/>
        <w:gridCol w:w="181"/>
        <w:gridCol w:w="601"/>
        <w:gridCol w:w="146"/>
        <w:gridCol w:w="146"/>
        <w:gridCol w:w="181"/>
        <w:gridCol w:w="526"/>
        <w:gridCol w:w="146"/>
        <w:gridCol w:w="146"/>
        <w:gridCol w:w="181"/>
        <w:gridCol w:w="721"/>
        <w:gridCol w:w="146"/>
        <w:gridCol w:w="146"/>
        <w:gridCol w:w="256"/>
        <w:gridCol w:w="1020"/>
        <w:gridCol w:w="146"/>
        <w:gridCol w:w="146"/>
        <w:gridCol w:w="146"/>
        <w:gridCol w:w="295"/>
        <w:gridCol w:w="981"/>
        <w:gridCol w:w="146"/>
        <w:gridCol w:w="146"/>
        <w:gridCol w:w="181"/>
        <w:gridCol w:w="721"/>
        <w:gridCol w:w="291"/>
      </w:tblGrid>
      <w:tr>
        <w:trPr/>
        <w:tc>
          <w:tcPr>
            <w:tcW w:w="17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720"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Name and Principal Position</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5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Year</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2"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Salary</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7"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Bonus</w:t>
              <w:br/>
              <w:t>(1)</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2"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Stock</w:t>
              <w:br/>
              <w:t>Awards</w:t>
              <w:br/>
              <w:t>(2)</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76"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Non-Equity</w:t>
              <w:br/>
              <w:t>Incentive Plan</w:t>
              <w:br/>
              <w:t>Compensation</w:t>
              <w:br/>
              <w:t>(3)</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76"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All Other</w:t>
              <w:br/>
              <w:t>Compensation</w:t>
              <w:br/>
              <w:t>(4)</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2"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Total (5)</w:t>
            </w:r>
          </w:p>
        </w:tc>
        <w:tc>
          <w:tcPr>
            <w:tcW w:w="29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20"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Mark P. Smith</w:t>
            </w:r>
          </w:p>
        </w:tc>
        <w:tc>
          <w:tcPr>
            <w:tcW w:w="1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Arial;sans-serif" w:hAnsi="Arial;sans-serif"/>
                <w:b w:val="false"/>
                <w:sz w:val="13"/>
              </w:rPr>
            </w:pPr>
            <w:r>
              <w:rPr>
                <w:rFonts w:ascii="Arial;sans-serif" w:hAnsi="Arial;sans-serif"/>
                <w:b w:val="false"/>
                <w:sz w:val="13"/>
              </w:rPr>
              <w:t>2023</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601"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721,000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5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721"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1,502,872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102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981"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81,849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721"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2,305,721</w:t>
            </w:r>
          </w:p>
        </w:tc>
        <w:tc>
          <w:tcPr>
            <w:tcW w:w="291" w:type="dxa"/>
            <w:tcBorders/>
            <w:vAlign w:val="center"/>
          </w:tcPr>
          <w:p>
            <w:pPr>
              <w:pStyle w:val="TableContents"/>
              <w:bidi w:val="0"/>
              <w:spacing w:before="0" w:after="0"/>
              <w:ind w:left="0" w:right="0" w:firstLine="100"/>
              <w:jc w:val="left"/>
              <w:rPr/>
            </w:pPr>
            <w:r>
              <w:rPr/>
              <w:t> </w:t>
            </w:r>
          </w:p>
        </w:tc>
      </w:tr>
      <w:tr>
        <w:trPr/>
        <w:tc>
          <w:tcPr>
            <w:tcW w:w="1720" w:type="dxa"/>
            <w:tcBorders/>
            <w:vAlign w:val="center"/>
          </w:tcPr>
          <w:p>
            <w:pPr>
              <w:pStyle w:val="TableContents"/>
              <w:bidi w:val="0"/>
              <w:spacing w:before="0" w:after="0"/>
              <w:ind w:left="100" w:right="0" w:hanging="0"/>
              <w:jc w:val="left"/>
              <w:rPr>
                <w:rFonts w:ascii="Arial;sans-serif" w:hAnsi="Arial;sans-serif"/>
                <w:b w:val="false"/>
                <w:sz w:val="13"/>
              </w:rPr>
            </w:pPr>
            <w:r>
              <w:rPr>
                <w:rFonts w:ascii="Arial;sans-serif" w:hAnsi="Arial;sans-serif"/>
                <w:b w:val="false"/>
                <w:sz w:val="13"/>
              </w:rPr>
              <w:t>President and Chief</w:t>
            </w:r>
          </w:p>
        </w:tc>
        <w:tc>
          <w:tcPr>
            <w:tcW w:w="1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Arial;sans-serif" w:hAnsi="Arial;sans-serif"/>
                <w:b w:val="false"/>
                <w:sz w:val="13"/>
              </w:rPr>
            </w:pPr>
            <w:r>
              <w:rPr>
                <w:rFonts w:ascii="Arial;sans-serif" w:hAnsi="Arial;sans-serif"/>
                <w:b w:val="false"/>
                <w:sz w:val="13"/>
              </w:rPr>
              <w:t>2022</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601"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700,000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5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721"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1,371,850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648,895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981"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101,153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721"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2,821,898</w:t>
            </w:r>
          </w:p>
        </w:tc>
        <w:tc>
          <w:tcPr>
            <w:tcW w:w="291" w:type="dxa"/>
            <w:tcBorders/>
            <w:vAlign w:val="center"/>
          </w:tcPr>
          <w:p>
            <w:pPr>
              <w:pStyle w:val="TableContents"/>
              <w:bidi w:val="0"/>
              <w:spacing w:before="0" w:after="0"/>
              <w:ind w:left="0" w:right="0" w:firstLine="100"/>
              <w:jc w:val="left"/>
              <w:rPr/>
            </w:pPr>
            <w:r>
              <w:rPr/>
              <w:t> </w:t>
            </w:r>
          </w:p>
        </w:tc>
      </w:tr>
      <w:tr>
        <w:trPr/>
        <w:tc>
          <w:tcPr>
            <w:tcW w:w="1720" w:type="dxa"/>
            <w:tcBorders/>
            <w:vAlign w:val="center"/>
          </w:tcPr>
          <w:p>
            <w:pPr>
              <w:pStyle w:val="TableContents"/>
              <w:bidi w:val="0"/>
              <w:spacing w:before="0" w:after="0"/>
              <w:ind w:left="100" w:right="0" w:hanging="0"/>
              <w:jc w:val="left"/>
              <w:rPr>
                <w:rFonts w:ascii="Arial;sans-serif" w:hAnsi="Arial;sans-serif"/>
                <w:b w:val="false"/>
                <w:sz w:val="13"/>
              </w:rPr>
            </w:pPr>
            <w:r>
              <w:rPr>
                <w:rFonts w:ascii="Arial;sans-serif" w:hAnsi="Arial;sans-serif"/>
                <w:b w:val="false"/>
                <w:sz w:val="13"/>
              </w:rPr>
              <w:t>Executive Officer</w:t>
            </w:r>
          </w:p>
        </w:tc>
        <w:tc>
          <w:tcPr>
            <w:tcW w:w="1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Arial;sans-serif" w:hAnsi="Arial;sans-serif"/>
                <w:b w:val="false"/>
                <w:sz w:val="13"/>
              </w:rPr>
            </w:pPr>
            <w:r>
              <w:rPr>
                <w:rFonts w:ascii="Arial;sans-serif" w:hAnsi="Arial;sans-serif"/>
                <w:b w:val="false"/>
                <w:sz w:val="13"/>
              </w:rPr>
              <w:t>2021</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601"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519,231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5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721"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1,068,599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1,000,000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981"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117,110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721"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2,704,939</w:t>
            </w:r>
          </w:p>
        </w:tc>
        <w:tc>
          <w:tcPr>
            <w:tcW w:w="291" w:type="dxa"/>
            <w:tcBorders/>
            <w:vAlign w:val="center"/>
          </w:tcPr>
          <w:p>
            <w:pPr>
              <w:pStyle w:val="TableContents"/>
              <w:bidi w:val="0"/>
              <w:spacing w:before="0" w:after="0"/>
              <w:ind w:left="0" w:right="0" w:hanging="0"/>
              <w:jc w:val="left"/>
              <w:rPr/>
            </w:pPr>
            <w:r>
              <w:rPr/>
              <w:t> </w:t>
            </w:r>
          </w:p>
        </w:tc>
      </w:tr>
      <w:tr>
        <w:trPr/>
        <w:tc>
          <w:tcPr>
            <w:tcW w:w="172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hanging="0"/>
              <w:jc w:val="left"/>
              <w:rPr/>
            </w:pPr>
            <w:r>
              <w:rPr/>
              <w:t> </w:t>
            </w:r>
          </w:p>
        </w:tc>
      </w:tr>
      <w:tr>
        <w:trPr/>
        <w:tc>
          <w:tcPr>
            <w:tcW w:w="1720"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Deana L. McPherson</w:t>
            </w:r>
          </w:p>
        </w:tc>
        <w:tc>
          <w:tcPr>
            <w:tcW w:w="1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Arial;sans-serif" w:hAnsi="Arial;sans-serif"/>
                <w:b w:val="false"/>
                <w:sz w:val="13"/>
              </w:rPr>
            </w:pPr>
            <w:r>
              <w:rPr>
                <w:rFonts w:ascii="Arial;sans-serif" w:hAnsi="Arial;sans-serif"/>
                <w:b w:val="false"/>
                <w:sz w:val="13"/>
              </w:rPr>
              <w:t>2023</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601"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412,000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5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721"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463,202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102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981"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60,501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721"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935,703</w:t>
            </w:r>
          </w:p>
        </w:tc>
        <w:tc>
          <w:tcPr>
            <w:tcW w:w="291" w:type="dxa"/>
            <w:tcBorders/>
            <w:vAlign w:val="center"/>
          </w:tcPr>
          <w:p>
            <w:pPr>
              <w:pStyle w:val="TableContents"/>
              <w:bidi w:val="0"/>
              <w:spacing w:before="0" w:after="0"/>
              <w:ind w:left="0" w:right="0" w:firstLine="100"/>
              <w:jc w:val="left"/>
              <w:rPr/>
            </w:pPr>
            <w:r>
              <w:rPr/>
              <w:t> </w:t>
            </w:r>
          </w:p>
        </w:tc>
      </w:tr>
      <w:tr>
        <w:trPr/>
        <w:tc>
          <w:tcPr>
            <w:tcW w:w="1720" w:type="dxa"/>
            <w:tcBorders/>
            <w:vAlign w:val="center"/>
          </w:tcPr>
          <w:p>
            <w:pPr>
              <w:pStyle w:val="TableContents"/>
              <w:bidi w:val="0"/>
              <w:spacing w:before="0" w:after="0"/>
              <w:ind w:left="100" w:right="0" w:hanging="0"/>
              <w:jc w:val="left"/>
              <w:rPr>
                <w:rFonts w:ascii="Arial;sans-serif" w:hAnsi="Arial;sans-serif"/>
                <w:b w:val="false"/>
                <w:sz w:val="13"/>
              </w:rPr>
            </w:pPr>
            <w:r>
              <w:rPr>
                <w:rFonts w:ascii="Arial;sans-serif" w:hAnsi="Arial;sans-serif"/>
                <w:b w:val="false"/>
                <w:sz w:val="13"/>
              </w:rPr>
              <w:t>Executive Vice President,</w:t>
            </w:r>
          </w:p>
        </w:tc>
        <w:tc>
          <w:tcPr>
            <w:tcW w:w="1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Arial;sans-serif" w:hAnsi="Arial;sans-serif"/>
                <w:b w:val="false"/>
                <w:sz w:val="13"/>
              </w:rPr>
            </w:pPr>
            <w:r>
              <w:rPr>
                <w:rFonts w:ascii="Arial;sans-serif" w:hAnsi="Arial;sans-serif"/>
                <w:b w:val="false"/>
                <w:sz w:val="13"/>
              </w:rPr>
              <w:t>2022</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601"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400,000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5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721"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422,095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1020"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259,558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981"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65,880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721"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1,147,533</w:t>
            </w:r>
          </w:p>
        </w:tc>
        <w:tc>
          <w:tcPr>
            <w:tcW w:w="291" w:type="dxa"/>
            <w:tcBorders/>
            <w:vAlign w:val="center"/>
          </w:tcPr>
          <w:p>
            <w:pPr>
              <w:pStyle w:val="TableContents"/>
              <w:bidi w:val="0"/>
              <w:spacing w:before="0" w:after="0"/>
              <w:ind w:left="0" w:right="0" w:firstLine="100"/>
              <w:jc w:val="left"/>
              <w:rPr/>
            </w:pPr>
            <w:r>
              <w:rPr/>
              <w:t> </w:t>
            </w:r>
          </w:p>
        </w:tc>
      </w:tr>
      <w:tr>
        <w:trPr/>
        <w:tc>
          <w:tcPr>
            <w:tcW w:w="1720" w:type="dxa"/>
            <w:tcBorders/>
            <w:vAlign w:val="center"/>
          </w:tcPr>
          <w:p>
            <w:pPr>
              <w:pStyle w:val="TableContents"/>
              <w:bidi w:val="0"/>
              <w:spacing w:before="0" w:after="0"/>
              <w:ind w:left="100" w:right="0" w:hanging="0"/>
              <w:jc w:val="left"/>
              <w:rPr>
                <w:rFonts w:ascii="Arial;sans-serif" w:hAnsi="Arial;sans-serif"/>
                <w:b w:val="false"/>
                <w:sz w:val="13"/>
              </w:rPr>
            </w:pPr>
            <w:r>
              <w:rPr>
                <w:rFonts w:ascii="Arial;sans-serif" w:hAnsi="Arial;sans-serif"/>
                <w:b w:val="false"/>
                <w:sz w:val="13"/>
              </w:rPr>
              <w:t>Chief Financial Officer,</w:t>
              <w:br/>
              <w:t>Treasurer, and Assistant</w:t>
              <w:br/>
              <w:t>Secretary</w:t>
            </w:r>
          </w:p>
        </w:tc>
        <w:tc>
          <w:tcPr>
            <w:tcW w:w="1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Arial;sans-serif" w:hAnsi="Arial;sans-serif"/>
                <w:b w:val="false"/>
                <w:sz w:val="13"/>
              </w:rPr>
            </w:pPr>
            <w:r>
              <w:rPr>
                <w:rFonts w:ascii="Arial;sans-serif" w:hAnsi="Arial;sans-serif"/>
                <w:b w:val="false"/>
                <w:sz w:val="13"/>
              </w:rPr>
              <w:t>2021</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601"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379,038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52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25,000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721"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173,500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1020"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474,500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981"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66,976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721"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1,119,014</w:t>
            </w:r>
          </w:p>
        </w:tc>
        <w:tc>
          <w:tcPr>
            <w:tcW w:w="291" w:type="dxa"/>
            <w:tcBorders/>
            <w:vAlign w:val="center"/>
          </w:tcPr>
          <w:p>
            <w:pPr>
              <w:pStyle w:val="TableContents"/>
              <w:bidi w:val="0"/>
              <w:spacing w:before="0" w:after="0"/>
              <w:ind w:left="0" w:right="0" w:hanging="0"/>
              <w:jc w:val="left"/>
              <w:rPr/>
            </w:pPr>
            <w:r>
              <w:rPr/>
              <w:t> </w:t>
            </w:r>
          </w:p>
        </w:tc>
      </w:tr>
      <w:tr>
        <w:trPr/>
        <w:tc>
          <w:tcPr>
            <w:tcW w:w="172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hanging="0"/>
              <w:jc w:val="left"/>
              <w:rPr/>
            </w:pPr>
            <w:r>
              <w:rPr/>
              <w:t> </w:t>
            </w:r>
          </w:p>
        </w:tc>
      </w:tr>
      <w:tr>
        <w:trPr/>
        <w:tc>
          <w:tcPr>
            <w:tcW w:w="1720"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Kevin A. Maxwell (6)</w:t>
            </w:r>
          </w:p>
        </w:tc>
        <w:tc>
          <w:tcPr>
            <w:tcW w:w="1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Arial;sans-serif" w:hAnsi="Arial;sans-serif"/>
                <w:b w:val="false"/>
                <w:sz w:val="13"/>
              </w:rPr>
            </w:pPr>
            <w:r>
              <w:rPr>
                <w:rFonts w:ascii="Arial;sans-serif" w:hAnsi="Arial;sans-serif"/>
                <w:b w:val="false"/>
                <w:sz w:val="13"/>
              </w:rPr>
              <w:t>2023</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601"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350,000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5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721"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319,100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102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981"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16,167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721"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685,267</w:t>
            </w:r>
          </w:p>
        </w:tc>
        <w:tc>
          <w:tcPr>
            <w:tcW w:w="291" w:type="dxa"/>
            <w:tcBorders/>
            <w:vAlign w:val="center"/>
          </w:tcPr>
          <w:p>
            <w:pPr>
              <w:pStyle w:val="TableContents"/>
              <w:bidi w:val="0"/>
              <w:spacing w:before="0" w:after="0"/>
              <w:ind w:left="0" w:right="0" w:firstLine="100"/>
              <w:jc w:val="left"/>
              <w:rPr/>
            </w:pPr>
            <w:r>
              <w:rPr/>
              <w:t> </w:t>
            </w:r>
          </w:p>
        </w:tc>
      </w:tr>
      <w:tr>
        <w:trPr/>
        <w:tc>
          <w:tcPr>
            <w:tcW w:w="1720" w:type="dxa"/>
            <w:tcBorders/>
            <w:vAlign w:val="center"/>
          </w:tcPr>
          <w:p>
            <w:pPr>
              <w:pStyle w:val="TableContents"/>
              <w:bidi w:val="0"/>
              <w:spacing w:before="0" w:after="0"/>
              <w:ind w:left="100" w:right="0" w:hanging="0"/>
              <w:jc w:val="left"/>
              <w:rPr>
                <w:rFonts w:ascii="Arial;sans-serif" w:hAnsi="Arial;sans-serif"/>
                <w:b w:val="false"/>
                <w:sz w:val="13"/>
              </w:rPr>
            </w:pPr>
            <w:r>
              <w:rPr>
                <w:rFonts w:ascii="Arial;sans-serif" w:hAnsi="Arial;sans-serif"/>
                <w:b w:val="false"/>
                <w:sz w:val="13"/>
              </w:rPr>
              <w:t>Senior Vice President,</w:t>
            </w:r>
          </w:p>
        </w:tc>
        <w:tc>
          <w:tcPr>
            <w:tcW w:w="1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Arial;sans-serif" w:hAnsi="Arial;sans-serif"/>
                <w:b w:val="false"/>
                <w:sz w:val="13"/>
              </w:rPr>
            </w:pPr>
            <w:r>
              <w:rPr>
                <w:rFonts w:ascii="Arial;sans-serif" w:hAnsi="Arial;sans-serif"/>
                <w:b w:val="false"/>
                <w:sz w:val="13"/>
              </w:rPr>
              <w:t>2022</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601"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163,462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52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50,000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721"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349,994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1020"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97,662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981"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7,362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721"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668,480</w:t>
            </w:r>
          </w:p>
        </w:tc>
        <w:tc>
          <w:tcPr>
            <w:tcW w:w="291" w:type="dxa"/>
            <w:tcBorders/>
            <w:vAlign w:val="center"/>
          </w:tcPr>
          <w:p>
            <w:pPr>
              <w:pStyle w:val="TableContents"/>
              <w:bidi w:val="0"/>
              <w:spacing w:before="0" w:after="0"/>
              <w:ind w:left="0" w:right="0" w:firstLine="100"/>
              <w:jc w:val="left"/>
              <w:rPr/>
            </w:pPr>
            <w:r>
              <w:rPr/>
              <w:t> </w:t>
            </w:r>
          </w:p>
        </w:tc>
      </w:tr>
      <w:tr>
        <w:trPr/>
        <w:tc>
          <w:tcPr>
            <w:tcW w:w="1720" w:type="dxa"/>
            <w:tcBorders/>
            <w:vAlign w:val="center"/>
          </w:tcPr>
          <w:p>
            <w:pPr>
              <w:pStyle w:val="TableContents"/>
              <w:bidi w:val="0"/>
              <w:spacing w:before="0" w:after="0"/>
              <w:ind w:left="100" w:right="0" w:hanging="0"/>
              <w:jc w:val="left"/>
              <w:rPr>
                <w:rFonts w:ascii="Arial;sans-serif" w:hAnsi="Arial;sans-serif"/>
                <w:b w:val="false"/>
                <w:sz w:val="13"/>
              </w:rPr>
            </w:pPr>
            <w:r>
              <w:rPr>
                <w:rFonts w:ascii="Arial;sans-serif" w:hAnsi="Arial;sans-serif"/>
                <w:b w:val="false"/>
                <w:sz w:val="13"/>
              </w:rPr>
              <w:t>General Counsel, Chief</w:t>
            </w:r>
          </w:p>
        </w:tc>
        <w:tc>
          <w:tcPr>
            <w:tcW w:w="1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firstLine="100"/>
              <w:jc w:val="right"/>
              <w:rPr/>
            </w:pPr>
            <w:r>
              <w:rPr/>
              <w:t> </w:t>
            </w:r>
          </w:p>
        </w:tc>
      </w:tr>
      <w:tr>
        <w:trPr/>
        <w:tc>
          <w:tcPr>
            <w:tcW w:w="1720" w:type="dxa"/>
            <w:tcBorders/>
            <w:vAlign w:val="center"/>
          </w:tcPr>
          <w:p>
            <w:pPr>
              <w:pStyle w:val="TableContents"/>
              <w:bidi w:val="0"/>
              <w:spacing w:before="0" w:after="0"/>
              <w:ind w:left="100" w:right="0" w:hanging="0"/>
              <w:jc w:val="left"/>
              <w:rPr>
                <w:rFonts w:ascii="Arial;sans-serif" w:hAnsi="Arial;sans-serif"/>
                <w:b w:val="false"/>
                <w:sz w:val="13"/>
              </w:rPr>
            </w:pPr>
            <w:r>
              <w:rPr>
                <w:rFonts w:ascii="Arial;sans-serif" w:hAnsi="Arial;sans-serif"/>
                <w:b w:val="false"/>
                <w:sz w:val="13"/>
              </w:rPr>
              <w:t>Compliance Officer, and</w:t>
            </w:r>
          </w:p>
        </w:tc>
        <w:tc>
          <w:tcPr>
            <w:tcW w:w="1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firstLine="100"/>
              <w:jc w:val="left"/>
              <w:rPr/>
            </w:pPr>
            <w:r>
              <w:rPr/>
              <w:t> </w:t>
            </w:r>
          </w:p>
        </w:tc>
      </w:tr>
      <w:tr>
        <w:trPr/>
        <w:tc>
          <w:tcPr>
            <w:tcW w:w="1720" w:type="dxa"/>
            <w:tcBorders/>
            <w:vAlign w:val="center"/>
          </w:tcPr>
          <w:p>
            <w:pPr>
              <w:pStyle w:val="TableContents"/>
              <w:bidi w:val="0"/>
              <w:spacing w:before="0" w:after="0"/>
              <w:ind w:left="100" w:right="0" w:hanging="0"/>
              <w:jc w:val="left"/>
              <w:rPr>
                <w:rFonts w:ascii="Arial;sans-serif" w:hAnsi="Arial;sans-serif"/>
                <w:b w:val="false"/>
                <w:sz w:val="13"/>
              </w:rPr>
            </w:pPr>
            <w:r>
              <w:rPr>
                <w:rFonts w:ascii="Arial;sans-serif" w:hAnsi="Arial;sans-serif"/>
                <w:b w:val="false"/>
                <w:sz w:val="13"/>
              </w:rPr>
              <w:t>Secretary</w:t>
            </w:r>
          </w:p>
        </w:tc>
        <w:tc>
          <w:tcPr>
            <w:tcW w:w="1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firstLine="100"/>
              <w:jc w:val="left"/>
              <w:rPr/>
            </w:pPr>
            <w:r>
              <w:rPr/>
              <w:t> </w:t>
            </w:r>
          </w:p>
        </w:tc>
      </w:tr>
      <w:tr>
        <w:trPr/>
        <w:tc>
          <w:tcPr>
            <w:tcW w:w="1720" w:type="dxa"/>
            <w:tcBorders/>
            <w:vAlign w:val="center"/>
          </w:tcPr>
          <w:p>
            <w:pPr>
              <w:pStyle w:val="TableContents"/>
              <w:bidi w:val="0"/>
              <w:spacing w:before="0" w:after="0"/>
              <w:ind w:left="1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hanging="0"/>
              <w:jc w:val="left"/>
              <w:rPr/>
            </w:pPr>
            <w:r>
              <w:rPr/>
              <w:t> </w:t>
            </w:r>
          </w:p>
        </w:tc>
      </w:tr>
      <w:tr>
        <w:trPr/>
        <w:tc>
          <w:tcPr>
            <w:tcW w:w="1720"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Susan J. Cupero</w:t>
            </w:r>
          </w:p>
        </w:tc>
        <w:tc>
          <w:tcPr>
            <w:tcW w:w="1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Arial;sans-serif" w:hAnsi="Arial;sans-serif"/>
                <w:b w:val="false"/>
                <w:sz w:val="13"/>
              </w:rPr>
            </w:pPr>
            <w:r>
              <w:rPr>
                <w:rFonts w:ascii="Arial;sans-serif" w:hAnsi="Arial;sans-serif"/>
                <w:b w:val="false"/>
                <w:sz w:val="13"/>
              </w:rPr>
              <w:t>2023</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601"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309,000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5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721"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319,100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102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95"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981"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46,352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721"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674,452</w:t>
            </w:r>
          </w:p>
        </w:tc>
        <w:tc>
          <w:tcPr>
            <w:tcW w:w="291" w:type="dxa"/>
            <w:tcBorders/>
            <w:vAlign w:val="center"/>
          </w:tcPr>
          <w:p>
            <w:pPr>
              <w:pStyle w:val="TableContents"/>
              <w:bidi w:val="0"/>
              <w:spacing w:before="0" w:after="0"/>
              <w:ind w:left="0" w:right="0" w:firstLine="100"/>
              <w:jc w:val="left"/>
              <w:rPr/>
            </w:pPr>
            <w:r>
              <w:rPr/>
              <w:t> </w:t>
            </w:r>
          </w:p>
        </w:tc>
      </w:tr>
      <w:tr>
        <w:trPr/>
        <w:tc>
          <w:tcPr>
            <w:tcW w:w="1720" w:type="dxa"/>
            <w:tcBorders/>
            <w:vAlign w:val="center"/>
          </w:tcPr>
          <w:p>
            <w:pPr>
              <w:pStyle w:val="TableContents"/>
              <w:bidi w:val="0"/>
              <w:spacing w:before="0" w:after="0"/>
              <w:ind w:left="100" w:right="0" w:hanging="0"/>
              <w:jc w:val="left"/>
              <w:rPr>
                <w:rFonts w:ascii="Arial;sans-serif" w:hAnsi="Arial;sans-serif"/>
                <w:b w:val="false"/>
                <w:sz w:val="13"/>
              </w:rPr>
            </w:pPr>
            <w:r>
              <w:rPr>
                <w:rFonts w:ascii="Arial;sans-serif" w:hAnsi="Arial;sans-serif"/>
                <w:b w:val="false"/>
                <w:sz w:val="13"/>
              </w:rPr>
              <w:t>Vice President, Sales</w:t>
            </w:r>
          </w:p>
        </w:tc>
        <w:tc>
          <w:tcPr>
            <w:tcW w:w="1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Arial;sans-serif" w:hAnsi="Arial;sans-serif"/>
                <w:b w:val="false"/>
                <w:sz w:val="13"/>
              </w:rPr>
            </w:pPr>
            <w:r>
              <w:rPr>
                <w:rFonts w:ascii="Arial;sans-serif" w:hAnsi="Arial;sans-serif"/>
                <w:b w:val="false"/>
                <w:sz w:val="13"/>
              </w:rPr>
              <w:t>2022</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601"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299,519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5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721"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290,190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1020"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180,764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95"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981"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62,575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721"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833,048</w:t>
            </w:r>
          </w:p>
        </w:tc>
        <w:tc>
          <w:tcPr>
            <w:tcW w:w="291" w:type="dxa"/>
            <w:tcBorders/>
            <w:vAlign w:val="center"/>
          </w:tcPr>
          <w:p>
            <w:pPr>
              <w:pStyle w:val="TableContents"/>
              <w:bidi w:val="0"/>
              <w:spacing w:before="0" w:after="0"/>
              <w:ind w:left="0" w:right="0" w:firstLine="100"/>
              <w:jc w:val="left"/>
              <w:rPr/>
            </w:pPr>
            <w:r>
              <w:rPr/>
              <w:t> </w:t>
            </w:r>
          </w:p>
        </w:tc>
      </w:tr>
      <w:tr>
        <w:trPr/>
        <w:tc>
          <w:tcPr>
            <w:tcW w:w="1720" w:type="dxa"/>
            <w:tcBorders/>
            <w:vAlign w:val="center"/>
          </w:tcPr>
          <w:p>
            <w:pPr>
              <w:pStyle w:val="TableContents"/>
              <w:bidi w:val="0"/>
              <w:spacing w:before="0" w:after="0"/>
              <w:ind w:left="1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Arial;sans-serif" w:hAnsi="Arial;sans-serif"/>
                <w:b w:val="false"/>
                <w:sz w:val="13"/>
              </w:rPr>
            </w:pPr>
            <w:r>
              <w:rPr>
                <w:rFonts w:ascii="Arial;sans-serif" w:hAnsi="Arial;sans-serif"/>
                <w:b w:val="false"/>
                <w:sz w:val="13"/>
              </w:rPr>
              <w:t>2021</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601"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285,577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5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721"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451,250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1020"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357,500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95"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981"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61,073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721"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1,155,400</w:t>
            </w:r>
          </w:p>
        </w:tc>
        <w:tc>
          <w:tcPr>
            <w:tcW w:w="291" w:type="dxa"/>
            <w:tcBorders/>
            <w:vAlign w:val="center"/>
          </w:tcPr>
          <w:p>
            <w:pPr>
              <w:pStyle w:val="TableContents"/>
              <w:bidi w:val="0"/>
              <w:spacing w:before="0" w:after="0"/>
              <w:ind w:left="0" w:right="0" w:hanging="0"/>
              <w:jc w:val="left"/>
              <w:rPr/>
            </w:pPr>
            <w:r>
              <w:rPr/>
              <w:t> </w:t>
            </w:r>
          </w:p>
        </w:tc>
      </w:tr>
      <w:tr>
        <w:trPr/>
        <w:tc>
          <w:tcPr>
            <w:tcW w:w="1720"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5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2"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7"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2"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76"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76"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2"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9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left"/>
        <w:rPr>
          <w:rFonts w:ascii="Times New Roman" w:hAnsi="Times New Roman"/>
          <w:sz w:val="20"/>
        </w:rPr>
      </w:pPr>
      <w:r>
        <w:rPr>
          <w:rFonts w:ascii="Arial;sans-serif" w:hAnsi="Arial;sans-serif"/>
          <w:b w:val="false"/>
          <w:sz w:val="16"/>
        </w:rPr>
        <w:t>(1) The amounts shown in this column represent the amount Mr. Maxwell received upon hire in fiscal 2022 and a discretionary bonus that Ms. McPherson received in recognition of her efforts in connection with the Separation. No other discretionary bonuses were paid to our NEOs.</w:t>
      </w:r>
      <w:r>
        <w:rPr>
          <w:rFonts w:ascii="Times New Roman" w:hAnsi="Times New Roman"/>
          <w:sz w:val="20"/>
        </w:rPr>
        <w:t xml:space="preserve"> </w:t>
      </w:r>
    </w:p>
    <w:p>
      <w:pPr>
        <w:pStyle w:val="TextBody"/>
        <w:bidi w:val="0"/>
        <w:spacing w:before="60" w:after="0"/>
        <w:jc w:val="left"/>
        <w:rPr>
          <w:rFonts w:ascii="Times New Roman" w:hAnsi="Times New Roman"/>
          <w:sz w:val="20"/>
        </w:rPr>
      </w:pPr>
      <w:r>
        <w:rPr>
          <w:rFonts w:ascii="Arial;sans-serif" w:hAnsi="Arial;sans-serif"/>
          <w:b w:val="false"/>
          <w:sz w:val="16"/>
        </w:rPr>
        <w:t>(2) The amounts shown in this column represent the grant date fair value for PSUs and RSUs granted to the NEOs during the covered year calculated in accordance with ASC Topic 718 excluding the effect of forfeitures. The assumptions used in determining the grant date fair value of these awards are set forth in Note 13 to our consolidated financial statements, which are included in our Form 10-K. For further information on these awards, see “Compensation Matters — Compensation Discussion and Analysis — Compensation Elements — Stock-Based Compensation” and “Fiscal 2023 Grants of Plan-Based Awards” below and the narrative discussion that follows.</w:t>
      </w:r>
      <w:r>
        <w:rPr>
          <w:rFonts w:ascii="Times New Roman" w:hAnsi="Times New Roman"/>
          <w:sz w:val="20"/>
        </w:rPr>
        <w:t xml:space="preserve"> </w:t>
      </w:r>
    </w:p>
    <w:p>
      <w:pPr>
        <w:pStyle w:val="TextBody"/>
        <w:bidi w:val="0"/>
        <w:spacing w:before="120" w:after="0"/>
        <w:jc w:val="both"/>
        <w:rPr>
          <w:rFonts w:ascii="Arial;sans-serif" w:hAnsi="Arial;sans-serif"/>
          <w:b w:val="false"/>
          <w:sz w:val="16"/>
        </w:rPr>
      </w:pPr>
      <w:r>
        <w:rPr>
          <w:rFonts w:ascii="Arial;sans-serif" w:hAnsi="Arial;sans-serif"/>
          <w:b w:val="false"/>
          <w:sz w:val="16"/>
        </w:rPr>
        <w:t>Set forth below is the maximum value for the PSUs granted to the NEOs during fiscal 2023 (i.e., 200% of the target award value).</w:t>
      </w:r>
    </w:p>
    <w:p>
      <w:pPr>
        <w:pStyle w:val="TextBody"/>
        <w:bidi w:val="0"/>
        <w:spacing w:before="0" w:after="0"/>
        <w:jc w:val="both"/>
        <w:rPr/>
      </w:pPr>
      <w:r>
        <w:rPr/>
        <w:t> </w:t>
      </w:r>
    </w:p>
    <w:tbl>
      <w:tblPr>
        <w:tblW w:w="3353" w:type="dxa"/>
        <w:jc w:val="left"/>
        <w:tblInd w:w="0" w:type="dxa"/>
        <w:tblLayout w:type="fixed"/>
        <w:tblCellMar>
          <w:top w:w="28" w:type="dxa"/>
          <w:left w:w="28" w:type="dxa"/>
          <w:bottom w:w="28" w:type="dxa"/>
          <w:right w:w="28" w:type="dxa"/>
        </w:tblCellMar>
      </w:tblPr>
      <w:tblGrid>
        <w:gridCol w:w="1666"/>
        <w:gridCol w:w="146"/>
        <w:gridCol w:w="259"/>
        <w:gridCol w:w="1091"/>
        <w:gridCol w:w="19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Name</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50"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Stock Awards</w:t>
              <w:br/>
              <w:t>Maximum Value</w:t>
              <w:br/>
              <w:t>of PSUs</w:t>
            </w:r>
          </w:p>
        </w:tc>
        <w:tc>
          <w:tcPr>
            <w:tcW w:w="19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Mark P. Smith</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0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1,818,495</w:t>
            </w:r>
          </w:p>
        </w:tc>
        <w:tc>
          <w:tcPr>
            <w:tcW w:w="191" w:type="dxa"/>
            <w:tcBorders/>
            <w:vAlign w:val="center"/>
          </w:tcPr>
          <w:p>
            <w:pPr>
              <w:pStyle w:val="TableContents"/>
              <w:bidi w:val="0"/>
              <w:spacing w:before="0" w:after="0"/>
              <w:ind w:left="0" w:right="0" w:hanging="0"/>
              <w:jc w:val="left"/>
              <w:rPr/>
            </w:pPr>
            <w:r>
              <w:rPr/>
              <w:t> </w:t>
            </w:r>
          </w:p>
        </w:tc>
      </w:tr>
      <w:tr>
        <w:trPr/>
        <w:tc>
          <w:tcPr>
            <w:tcW w:w="16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Deana L. McPherson</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0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560,473</w:t>
            </w:r>
          </w:p>
        </w:tc>
        <w:tc>
          <w:tcPr>
            <w:tcW w:w="191" w:type="dxa"/>
            <w:tcBorders/>
            <w:vAlign w:val="center"/>
          </w:tcPr>
          <w:p>
            <w:pPr>
              <w:pStyle w:val="TableContents"/>
              <w:bidi w:val="0"/>
              <w:spacing w:before="0" w:after="0"/>
              <w:ind w:left="0" w:right="0" w:hanging="0"/>
              <w:jc w:val="left"/>
              <w:rPr/>
            </w:pPr>
            <w:r>
              <w:rPr/>
              <w:t> </w:t>
            </w:r>
          </w:p>
        </w:tc>
      </w:tr>
      <w:tr>
        <w:trPr/>
        <w:tc>
          <w:tcPr>
            <w:tcW w:w="16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Kevin A. Maxwell</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0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386,101</w:t>
            </w:r>
          </w:p>
        </w:tc>
        <w:tc>
          <w:tcPr>
            <w:tcW w:w="191" w:type="dxa"/>
            <w:tcBorders/>
            <w:vAlign w:val="center"/>
          </w:tcPr>
          <w:p>
            <w:pPr>
              <w:pStyle w:val="TableContents"/>
              <w:bidi w:val="0"/>
              <w:spacing w:before="0" w:after="0"/>
              <w:ind w:left="0" w:right="0" w:hanging="0"/>
              <w:jc w:val="left"/>
              <w:rPr/>
            </w:pPr>
            <w:r>
              <w:rPr/>
              <w:t> </w:t>
            </w:r>
          </w:p>
        </w:tc>
      </w:tr>
      <w:tr>
        <w:trPr/>
        <w:tc>
          <w:tcPr>
            <w:tcW w:w="16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Susan J. Cupero</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0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386,101</w:t>
            </w:r>
          </w:p>
        </w:tc>
        <w:tc>
          <w:tcPr>
            <w:tcW w:w="191" w:type="dxa"/>
            <w:tcBorders/>
            <w:vAlign w:val="center"/>
          </w:tcPr>
          <w:p>
            <w:pPr>
              <w:pStyle w:val="TableContents"/>
              <w:bidi w:val="0"/>
              <w:spacing w:before="0" w:after="0"/>
              <w:ind w:left="0" w:right="0" w:hanging="0"/>
              <w:jc w:val="left"/>
              <w:rPr/>
            </w:pPr>
            <w:r>
              <w:rPr/>
              <w:t> </w:t>
            </w:r>
          </w:p>
        </w:tc>
      </w:tr>
      <w:tr>
        <w:trPr/>
        <w:tc>
          <w:tcPr>
            <w:tcW w:w="16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50"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left"/>
        <w:rPr>
          <w:rFonts w:ascii="Times New Roman" w:hAnsi="Times New Roman"/>
          <w:sz w:val="20"/>
        </w:rPr>
      </w:pPr>
      <w:r>
        <w:rPr>
          <w:rFonts w:ascii="Arial;sans-serif" w:hAnsi="Arial;sans-serif"/>
          <w:b w:val="false"/>
          <w:sz w:val="16"/>
        </w:rPr>
        <w:t>(3) The amounts shown in this column constitute payments made, if any, under our 2023, 2022, and 2021 annual performance-based cash incentive compensation programs. These amounts were calculated and paid to our NEOs in the fiscal year following when they were earned. For a description of our payments in fiscal 2023, see “Compensation Matters — Compensation Discussion and Analysis — Compensation Elements — Annual Performance-Based Cash Incentive Compensation.”</w:t>
      </w:r>
      <w:r>
        <w:rPr>
          <w:rFonts w:ascii="Times New Roman" w:hAnsi="Times New Roman"/>
          <w:sz w:val="20"/>
        </w:rPr>
        <w:t xml:space="preserve"> </w:t>
      </w:r>
    </w:p>
    <w:p>
      <w:pPr>
        <w:pStyle w:val="TextBody"/>
        <w:bidi w:val="0"/>
        <w:spacing w:before="60" w:after="0"/>
        <w:jc w:val="left"/>
        <w:rPr>
          <w:rFonts w:ascii="Arial;sans-serif" w:hAnsi="Arial;sans-serif"/>
          <w:b w:val="false"/>
          <w:sz w:val="16"/>
        </w:rPr>
      </w:pPr>
      <w:r>
        <w:rPr>
          <w:rFonts w:ascii="Arial;sans-serif" w:hAnsi="Arial;sans-serif"/>
          <w:b w:val="false"/>
          <w:sz w:val="16"/>
        </w:rPr>
        <w:t>(4) All Other Compensation consisted of the following for fiscal 2023:</w:t>
      </w:r>
    </w:p>
    <w:p>
      <w:pPr>
        <w:pStyle w:val="TextBody"/>
        <w:bidi w:val="0"/>
        <w:spacing w:before="0" w:after="0"/>
        <w:jc w:val="left"/>
        <w:rPr/>
      </w:pPr>
      <w:r>
        <w:rPr/>
        <w:t> </w:t>
      </w:r>
    </w:p>
    <w:tbl>
      <w:tblPr>
        <w:tblW w:w="3762" w:type="dxa"/>
        <w:jc w:val="left"/>
        <w:tblInd w:w="0" w:type="dxa"/>
        <w:tblLayout w:type="fixed"/>
        <w:tblCellMar>
          <w:top w:w="28" w:type="dxa"/>
          <w:left w:w="28" w:type="dxa"/>
          <w:bottom w:w="28" w:type="dxa"/>
          <w:right w:w="28" w:type="dxa"/>
        </w:tblCellMar>
      </w:tblPr>
      <w:tblGrid>
        <w:gridCol w:w="1466"/>
        <w:gridCol w:w="2296"/>
      </w:tblGrid>
      <w:tr>
        <w:trPr/>
        <w:tc>
          <w:tcPr>
            <w:tcW w:w="146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r>
      <w:tr>
        <w:trPr/>
        <w:tc>
          <w:tcPr>
            <w:tcW w:w="1466" w:type="dxa"/>
            <w:tcBorders/>
            <w:vAlign w:val="center"/>
          </w:tcPr>
          <w:p>
            <w:pPr>
              <w:pStyle w:val="TableContents"/>
              <w:bidi w:val="0"/>
              <w:spacing w:before="0" w:after="0"/>
              <w:ind w:left="0" w:right="0" w:hanging="0"/>
              <w:jc w:val="left"/>
              <w:rPr/>
            </w:pPr>
            <w:r>
              <w:rPr/>
              <w:drawing>
                <wp:inline distT="0" distB="0" distL="0" distR="0">
                  <wp:extent cx="828675" cy="19050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828675" cy="190500"/>
                          </a:xfrm>
                          <a:prstGeom prst="rect">
                            <a:avLst/>
                          </a:prstGeom>
                        </pic:spPr>
                      </pic:pic>
                    </a:graphicData>
                  </a:graphic>
                </wp:inline>
              </w:drawing>
            </w:r>
            <w:r>
              <w:rPr/>
              <w:t> </w:t>
            </w:r>
          </w:p>
        </w:tc>
        <w:tc>
          <w:tcPr>
            <w:tcW w:w="229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2023 Proxy Statement I 31</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2487" w:type="dxa"/>
        <w:jc w:val="left"/>
        <w:tblInd w:w="0" w:type="dxa"/>
        <w:tblLayout w:type="fixed"/>
        <w:tblCellMar>
          <w:top w:w="28" w:type="dxa"/>
          <w:left w:w="28" w:type="dxa"/>
          <w:bottom w:w="28" w:type="dxa"/>
          <w:right w:w="28" w:type="dxa"/>
        </w:tblCellMar>
      </w:tblPr>
      <w:tblGrid>
        <w:gridCol w:w="2296"/>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Executive Compensation</w:t>
            </w:r>
          </w:p>
        </w:tc>
        <w:tc>
          <w:tcPr>
            <w:tcW w:w="191" w:type="dxa"/>
            <w:tcBorders/>
            <w:vAlign w:val="center"/>
          </w:tcPr>
          <w:p>
            <w:pPr>
              <w:pStyle w:val="TableContents"/>
              <w:bidi w:val="0"/>
              <w:spacing w:before="0" w:after="0"/>
              <w:ind w:left="0" w:right="0" w:hanging="0"/>
              <w:jc w:val="left"/>
              <w:rPr/>
            </w:pPr>
            <w:r>
              <w:rPr/>
              <w:t> </w:t>
            </w:r>
          </w:p>
        </w:tc>
      </w:tr>
      <w:tr>
        <w:trPr/>
        <w:tc>
          <w:tcPr>
            <w:tcW w:w="229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both"/>
        <w:rPr/>
      </w:pPr>
      <w:r>
        <w:rPr/>
        <w:t> </w:t>
      </w:r>
    </w:p>
    <w:tbl>
      <w:tblPr>
        <w:tblW w:w="10350" w:type="dxa"/>
        <w:jc w:val="left"/>
        <w:tblInd w:w="0" w:type="dxa"/>
        <w:tblLayout w:type="fixed"/>
        <w:tblCellMar>
          <w:top w:w="28" w:type="dxa"/>
          <w:left w:w="28" w:type="dxa"/>
          <w:bottom w:w="28" w:type="dxa"/>
          <w:right w:w="28" w:type="dxa"/>
        </w:tblCellMar>
      </w:tblPr>
      <w:tblGrid>
        <w:gridCol w:w="961"/>
        <w:gridCol w:w="146"/>
        <w:gridCol w:w="228"/>
        <w:gridCol w:w="703"/>
        <w:gridCol w:w="146"/>
        <w:gridCol w:w="146"/>
        <w:gridCol w:w="335"/>
        <w:gridCol w:w="1031"/>
        <w:gridCol w:w="146"/>
        <w:gridCol w:w="146"/>
        <w:gridCol w:w="337"/>
        <w:gridCol w:w="879"/>
        <w:gridCol w:w="146"/>
        <w:gridCol w:w="146"/>
        <w:gridCol w:w="217"/>
        <w:gridCol w:w="669"/>
        <w:gridCol w:w="146"/>
        <w:gridCol w:w="146"/>
        <w:gridCol w:w="266"/>
        <w:gridCol w:w="695"/>
        <w:gridCol w:w="146"/>
        <w:gridCol w:w="146"/>
        <w:gridCol w:w="196"/>
        <w:gridCol w:w="601"/>
        <w:gridCol w:w="146"/>
        <w:gridCol w:w="346"/>
        <w:gridCol w:w="146"/>
        <w:gridCol w:w="196"/>
        <w:gridCol w:w="601"/>
        <w:gridCol w:w="191"/>
      </w:tblGrid>
      <w:tr>
        <w:trPr/>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6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Name</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Car</w:t>
              <w:br/>
              <w:t>Allowance</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66"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Reimbursement</w:t>
              <w:br/>
              <w:t>for Insurance</w:t>
              <w:br/>
              <w:t>Premiums (4a)</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16"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Matching</w:t>
              <w:br/>
              <w:t>Contributions</w:t>
              <w:br/>
              <w:t>to Defined</w:t>
              <w:br/>
              <w:t>Contribution</w:t>
              <w:br/>
              <w:t>Plan</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Payments</w:t>
              <w:br/>
              <w:t>Under Profit</w:t>
              <w:br/>
              <w:t>Sharing</w:t>
              <w:br/>
              <w:t>Plan (4b)</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Relocation Payments</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7"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Other</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7"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Total (5)</w:t>
            </w:r>
          </w:p>
        </w:tc>
        <w:tc>
          <w:tcPr>
            <w:tcW w:w="19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96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Mark P. Smith</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703"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18,000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5"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03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11,042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7"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7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8,911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6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27,450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9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0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16,447</w:t>
            </w:r>
          </w:p>
        </w:tc>
        <w:tc>
          <w:tcPr>
            <w:tcW w:w="1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(4c)</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0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81,849</w:t>
            </w:r>
          </w:p>
        </w:tc>
        <w:tc>
          <w:tcPr>
            <w:tcW w:w="191" w:type="dxa"/>
            <w:tcBorders/>
            <w:vAlign w:val="center"/>
          </w:tcPr>
          <w:p>
            <w:pPr>
              <w:pStyle w:val="TableContents"/>
              <w:bidi w:val="0"/>
              <w:spacing w:before="0" w:after="0"/>
              <w:ind w:left="0" w:right="0" w:hanging="0"/>
              <w:jc w:val="left"/>
              <w:rPr/>
            </w:pPr>
            <w:r>
              <w:rPr/>
              <w:t> </w:t>
            </w:r>
          </w:p>
        </w:tc>
      </w:tr>
      <w:tr>
        <w:trPr/>
        <w:tc>
          <w:tcPr>
            <w:tcW w:w="96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Deana L. McPherson</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703"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12,000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5"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03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4,198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7"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7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9,275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6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27,450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95"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7,543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0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35</w:t>
            </w:r>
          </w:p>
        </w:tc>
        <w:tc>
          <w:tcPr>
            <w:tcW w:w="1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(4d)</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0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60,501</w:t>
            </w:r>
          </w:p>
        </w:tc>
        <w:tc>
          <w:tcPr>
            <w:tcW w:w="191" w:type="dxa"/>
            <w:tcBorders/>
            <w:vAlign w:val="center"/>
          </w:tcPr>
          <w:p>
            <w:pPr>
              <w:pStyle w:val="TableContents"/>
              <w:bidi w:val="0"/>
              <w:spacing w:before="0" w:after="0"/>
              <w:ind w:left="0" w:right="0" w:hanging="0"/>
              <w:jc w:val="left"/>
              <w:rPr/>
            </w:pPr>
            <w:r>
              <w:rPr/>
              <w:t> </w:t>
            </w:r>
          </w:p>
        </w:tc>
      </w:tr>
      <w:tr>
        <w:trPr/>
        <w:tc>
          <w:tcPr>
            <w:tcW w:w="96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Kevin A. Maxwell</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703"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10,800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5"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03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7"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7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5,250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6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9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0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39</w:t>
            </w:r>
          </w:p>
        </w:tc>
        <w:tc>
          <w:tcPr>
            <w:tcW w:w="1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(4d)</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0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16,167</w:t>
            </w:r>
          </w:p>
        </w:tc>
        <w:tc>
          <w:tcPr>
            <w:tcW w:w="191" w:type="dxa"/>
            <w:tcBorders/>
            <w:vAlign w:val="center"/>
          </w:tcPr>
          <w:p>
            <w:pPr>
              <w:pStyle w:val="TableContents"/>
              <w:bidi w:val="0"/>
              <w:spacing w:before="0" w:after="0"/>
              <w:ind w:left="0" w:right="0" w:hanging="0"/>
              <w:jc w:val="left"/>
              <w:rPr/>
            </w:pPr>
            <w:r>
              <w:rPr/>
              <w:t> </w:t>
            </w:r>
          </w:p>
        </w:tc>
      </w:tr>
      <w:tr>
        <w:trPr/>
        <w:tc>
          <w:tcPr>
            <w:tcW w:w="96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Susan J. Cupero</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703"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9,000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5"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03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623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7"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7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9,244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6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27,450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9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0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35</w:t>
            </w:r>
          </w:p>
        </w:tc>
        <w:tc>
          <w:tcPr>
            <w:tcW w:w="1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(4d)</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0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46,352</w:t>
            </w:r>
          </w:p>
        </w:tc>
        <w:tc>
          <w:tcPr>
            <w:tcW w:w="191" w:type="dxa"/>
            <w:tcBorders/>
            <w:vAlign w:val="center"/>
          </w:tcPr>
          <w:p>
            <w:pPr>
              <w:pStyle w:val="TableContents"/>
              <w:bidi w:val="0"/>
              <w:spacing w:before="0" w:after="0"/>
              <w:ind w:left="0" w:right="0" w:hanging="0"/>
              <w:jc w:val="left"/>
              <w:rPr/>
            </w:pPr>
            <w:r>
              <w:rPr/>
              <w:t> </w:t>
            </w:r>
          </w:p>
        </w:tc>
      </w:tr>
      <w:tr>
        <w:trPr/>
        <w:tc>
          <w:tcPr>
            <w:tcW w:w="96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66"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16"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7"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7"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Arial;sans-serif" w:hAnsi="Arial;sans-serif"/>
          <w:b w:val="false"/>
          <w:sz w:val="16"/>
        </w:rPr>
      </w:pPr>
      <w:r>
        <w:rPr>
          <w:rFonts w:ascii="Arial;sans-serif" w:hAnsi="Arial;sans-serif"/>
          <w:b w:val="false"/>
          <w:sz w:val="16"/>
        </w:rPr>
        <w:t>(4a) Except as otherwise indicated, the amounts shown in this column consist of reimbursement of disability insurance premiums.</w:t>
      </w:r>
    </w:p>
    <w:p>
      <w:pPr>
        <w:pStyle w:val="TextBody"/>
        <w:bidi w:val="0"/>
        <w:spacing w:before="60" w:after="0"/>
        <w:jc w:val="both"/>
        <w:rPr>
          <w:rFonts w:ascii="Times New Roman" w:hAnsi="Times New Roman"/>
          <w:sz w:val="20"/>
        </w:rPr>
      </w:pPr>
      <w:r>
        <w:rPr>
          <w:rFonts w:ascii="Arial;sans-serif" w:hAnsi="Arial;sans-serif"/>
          <w:b w:val="false"/>
          <w:sz w:val="16"/>
        </w:rPr>
        <w:t>(4b) Profit sharing amounts earned in fiscal 2023 that exceeded the 401(k) maximum contribution limit will be contributed to the Deferred Compensation Plan (as defined below) upon payout in fiscal 2024. For further information, see “Retirement Plans — Nonqualified Deferred Compensation” below.</w:t>
      </w:r>
      <w:r>
        <w:rPr>
          <w:rFonts w:ascii="Times New Roman" w:hAnsi="Times New Roman"/>
          <w:sz w:val="20"/>
        </w:rPr>
        <w:t xml:space="preserve"> </w:t>
      </w:r>
    </w:p>
    <w:p>
      <w:pPr>
        <w:pStyle w:val="TextBody"/>
        <w:bidi w:val="0"/>
        <w:spacing w:before="60" w:after="0"/>
        <w:jc w:val="both"/>
        <w:rPr>
          <w:rFonts w:ascii="Arial;sans-serif" w:hAnsi="Arial;sans-serif"/>
          <w:b w:val="false"/>
          <w:sz w:val="16"/>
        </w:rPr>
      </w:pPr>
      <w:r>
        <w:rPr>
          <w:rFonts w:ascii="Arial;sans-serif" w:hAnsi="Arial;sans-serif"/>
          <w:b w:val="false"/>
          <w:sz w:val="16"/>
        </w:rPr>
        <w:t>(4c) Consists of a country club membership.</w:t>
      </w:r>
    </w:p>
    <w:p>
      <w:pPr>
        <w:pStyle w:val="TextBody"/>
        <w:bidi w:val="0"/>
        <w:spacing w:before="60" w:after="0"/>
        <w:jc w:val="both"/>
        <w:rPr>
          <w:rFonts w:ascii="Arial;sans-serif" w:hAnsi="Arial;sans-serif"/>
          <w:b w:val="false"/>
          <w:sz w:val="16"/>
        </w:rPr>
      </w:pPr>
      <w:r>
        <w:rPr>
          <w:rFonts w:ascii="Arial;sans-serif" w:hAnsi="Arial;sans-serif"/>
          <w:b w:val="false"/>
          <w:sz w:val="16"/>
        </w:rPr>
        <w:t>(4d) Consists of federal firearm license fees.</w:t>
      </w:r>
    </w:p>
    <w:p>
      <w:pPr>
        <w:pStyle w:val="TextBody"/>
        <w:bidi w:val="0"/>
        <w:spacing w:before="60" w:after="0"/>
        <w:jc w:val="both"/>
        <w:rPr>
          <w:rFonts w:ascii="Times New Roman" w:hAnsi="Times New Roman"/>
          <w:sz w:val="20"/>
        </w:rPr>
      </w:pPr>
      <w:r>
        <w:rPr>
          <w:rFonts w:ascii="Arial;sans-serif" w:hAnsi="Arial;sans-serif"/>
          <w:b w:val="false"/>
          <w:sz w:val="16"/>
        </w:rPr>
        <w:t>(5) The dollar value in this column for each NEO represents the sum of all compensation reflected in the previous columns.</w:t>
      </w:r>
      <w:r>
        <w:rPr>
          <w:rFonts w:ascii="Times New Roman" w:hAnsi="Times New Roman"/>
          <w:sz w:val="20"/>
        </w:rPr>
        <w:t xml:space="preserve"> </w:t>
      </w:r>
    </w:p>
    <w:p>
      <w:pPr>
        <w:pStyle w:val="TextBody"/>
        <w:bidi w:val="0"/>
        <w:spacing w:before="60" w:after="0"/>
        <w:jc w:val="both"/>
        <w:rPr>
          <w:rFonts w:ascii="Arial;sans-serif" w:hAnsi="Arial;sans-serif"/>
          <w:b w:val="false"/>
          <w:sz w:val="16"/>
        </w:rPr>
      </w:pPr>
      <w:r>
        <w:rPr>
          <w:rFonts w:ascii="Arial;sans-serif" w:hAnsi="Arial;sans-serif"/>
          <w:b w:val="false"/>
          <w:sz w:val="16"/>
        </w:rPr>
        <w:t>(6) Compensation information for Mr. Maxwell is provided for only fiscal 2022 and fiscal 2023 because he was not a NEO in fiscal 2021.</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sz w:val="28"/>
        </w:rPr>
        <w:t>FISCAL 2023 GRANTS OF PLAN-BASED AWARDS</w:t>
      </w:r>
      <w:r>
        <w:rPr>
          <w:rFonts w:ascii="Times New Roman" w:hAnsi="Times New Roman"/>
          <w:sz w:val="20"/>
        </w:rPr>
        <w:t xml:space="preserve"> </w:t>
      </w:r>
    </w:p>
    <w:p>
      <w:pPr>
        <w:pStyle w:val="TextBody"/>
        <w:bidi w:val="0"/>
        <w:spacing w:before="0" w:after="0"/>
        <w:jc w:val="both"/>
        <w:rPr>
          <w:rFonts w:ascii="Arial;sans-serif" w:hAnsi="Arial;sans-serif"/>
          <w:b w:val="false"/>
          <w:sz w:val="20"/>
        </w:rPr>
      </w:pPr>
      <w:r>
        <w:rPr>
          <w:rFonts w:ascii="Arial;sans-serif" w:hAnsi="Arial;sans-serif"/>
          <w:b w:val="false"/>
          <w:sz w:val="20"/>
        </w:rPr>
        <w:t>The following table sets forth certain information with respect to grants of plan-based awards to our NEOs during fiscal 2023.</w:t>
      </w:r>
    </w:p>
    <w:p>
      <w:pPr>
        <w:pStyle w:val="TextBody"/>
        <w:bidi w:val="0"/>
        <w:spacing w:before="0" w:after="0"/>
        <w:jc w:val="both"/>
        <w:rPr/>
      </w:pPr>
      <w:r>
        <w:rPr/>
        <w:t> </w:t>
      </w:r>
    </w:p>
    <w:tbl>
      <w:tblPr>
        <w:tblW w:w="12472" w:type="dxa"/>
        <w:jc w:val="left"/>
        <w:tblInd w:w="0" w:type="dxa"/>
        <w:tblLayout w:type="fixed"/>
        <w:tblCellMar>
          <w:top w:w="28" w:type="dxa"/>
          <w:left w:w="28" w:type="dxa"/>
          <w:bottom w:w="28" w:type="dxa"/>
          <w:right w:w="28" w:type="dxa"/>
        </w:tblCellMar>
      </w:tblPr>
      <w:tblGrid>
        <w:gridCol w:w="901"/>
        <w:gridCol w:w="146"/>
        <w:gridCol w:w="511"/>
        <w:gridCol w:w="146"/>
        <w:gridCol w:w="304"/>
        <w:gridCol w:w="537"/>
        <w:gridCol w:w="146"/>
        <w:gridCol w:w="146"/>
        <w:gridCol w:w="206"/>
        <w:gridCol w:w="365"/>
        <w:gridCol w:w="146"/>
        <w:gridCol w:w="146"/>
        <w:gridCol w:w="293"/>
        <w:gridCol w:w="518"/>
        <w:gridCol w:w="146"/>
        <w:gridCol w:w="146"/>
        <w:gridCol w:w="164"/>
        <w:gridCol w:w="677"/>
        <w:gridCol w:w="146"/>
        <w:gridCol w:w="146"/>
        <w:gridCol w:w="146"/>
        <w:gridCol w:w="601"/>
        <w:gridCol w:w="146"/>
        <w:gridCol w:w="146"/>
        <w:gridCol w:w="146"/>
        <w:gridCol w:w="691"/>
        <w:gridCol w:w="146"/>
        <w:gridCol w:w="146"/>
        <w:gridCol w:w="146"/>
        <w:gridCol w:w="601"/>
        <w:gridCol w:w="146"/>
        <w:gridCol w:w="146"/>
        <w:gridCol w:w="267"/>
        <w:gridCol w:w="634"/>
        <w:gridCol w:w="146"/>
        <w:gridCol w:w="146"/>
        <w:gridCol w:w="277"/>
        <w:gridCol w:w="489"/>
        <w:gridCol w:w="146"/>
        <w:gridCol w:w="146"/>
        <w:gridCol w:w="196"/>
        <w:gridCol w:w="691"/>
        <w:gridCol w:w="191"/>
      </w:tblGrid>
      <w:tr>
        <w:trPr/>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807" w:type="dxa"/>
            <w:gridSpan w:val="10"/>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5"/>
              </w:rPr>
            </w:pPr>
            <w:r>
              <w:rPr>
                <w:rFonts w:ascii="Arial;sans-serif" w:hAnsi="Arial;sans-serif"/>
                <w:b/>
                <w:sz w:val="15"/>
              </w:rPr>
              <w:t>Estimated Future Payouts</w:t>
              <w:br/>
              <w:t>Under Non-Equity Incentive</w:t>
              <w:br/>
              <w:t>Plan Awards (1)</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009" w:type="dxa"/>
            <w:gridSpan w:val="10"/>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5"/>
              </w:rPr>
            </w:pPr>
            <w:r>
              <w:rPr>
                <w:rFonts w:ascii="Arial;sans-serif" w:hAnsi="Arial;sans-serif"/>
                <w:b/>
                <w:sz w:val="15"/>
              </w:rPr>
              <w:t>Estimated Future Payouts</w:t>
              <w:br/>
              <w:t>Under Equity Incentive</w:t>
              <w:br/>
              <w:t>Plan Awards (2)</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7" w:type="dxa"/>
            <w:gridSpan w:val="2"/>
            <w:tcBorders/>
            <w:vAlign w:val="center"/>
          </w:tcPr>
          <w:p>
            <w:pPr>
              <w:pStyle w:val="TableContents"/>
              <w:bidi w:val="0"/>
              <w:spacing w:before="0" w:after="0"/>
              <w:ind w:left="0" w:right="0" w:hanging="0"/>
              <w:jc w:val="center"/>
              <w:rPr>
                <w:rFonts w:ascii="Arial;sans-serif" w:hAnsi="Arial;sans-serif"/>
                <w:b/>
                <w:sz w:val="15"/>
              </w:rPr>
            </w:pPr>
            <w:r>
              <w:rPr>
                <w:rFonts w:ascii="Arial;sans-serif" w:hAnsi="Arial;sans-serif"/>
                <w:b/>
                <w:sz w:val="15"/>
              </w:rPr>
              <w:t>All</w:t>
              <w:br/>
              <w:t>Other</w:t>
              <w:br/>
              <w:t>Stock</w:t>
              <w:br/>
              <w:t>Awards:</w:t>
              <w:br/>
              <w:t>Number</w:t>
              <w:br/>
              <w:t>of Shares</w:t>
              <w:br/>
              <w:t>of Stock</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01" w:type="dxa"/>
            <w:gridSpan w:val="2"/>
            <w:tcBorders/>
            <w:vAlign w:val="center"/>
          </w:tcPr>
          <w:p>
            <w:pPr>
              <w:pStyle w:val="TableContents"/>
              <w:bidi w:val="0"/>
              <w:spacing w:before="0" w:after="0"/>
              <w:ind w:left="0" w:right="0" w:hanging="0"/>
              <w:jc w:val="center"/>
              <w:rPr>
                <w:rFonts w:ascii="Arial;sans-serif" w:hAnsi="Arial;sans-serif"/>
                <w:b/>
                <w:sz w:val="15"/>
              </w:rPr>
            </w:pPr>
            <w:r>
              <w:rPr>
                <w:rFonts w:ascii="Arial;sans-serif" w:hAnsi="Arial;sans-serif"/>
                <w:b/>
                <w:sz w:val="15"/>
              </w:rPr>
              <w:t>All Other</w:t>
              <w:br/>
              <w:t>Option</w:t>
              <w:br/>
              <w:t>Awards:</w:t>
              <w:br/>
              <w:t>Number of</w:t>
              <w:br/>
              <w:t>Securities</w:t>
              <w:br/>
              <w:t>Underlying</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gridSpan w:val="2"/>
            <w:tcBorders/>
            <w:vAlign w:val="center"/>
          </w:tcPr>
          <w:p>
            <w:pPr>
              <w:pStyle w:val="TableContents"/>
              <w:bidi w:val="0"/>
              <w:spacing w:before="0" w:after="0"/>
              <w:ind w:left="0" w:right="0" w:hanging="0"/>
              <w:jc w:val="center"/>
              <w:rPr>
                <w:rFonts w:ascii="Arial;sans-serif" w:hAnsi="Arial;sans-serif"/>
                <w:b/>
                <w:sz w:val="15"/>
              </w:rPr>
            </w:pPr>
            <w:r>
              <w:rPr>
                <w:rFonts w:ascii="Arial;sans-serif" w:hAnsi="Arial;sans-serif"/>
                <w:b/>
                <w:sz w:val="15"/>
              </w:rPr>
              <w:t>Exercise</w:t>
              <w:br/>
              <w:t>or Base</w:t>
              <w:br/>
              <w:t>Price of</w:t>
              <w:br/>
              <w:t>Option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Arial;sans-serif" w:hAnsi="Arial;sans-serif"/>
                <w:b/>
                <w:sz w:val="15"/>
              </w:rPr>
            </w:pPr>
            <w:r>
              <w:rPr>
                <w:rFonts w:ascii="Arial;sans-serif" w:hAnsi="Arial;sans-serif"/>
                <w:b/>
                <w:sz w:val="15"/>
              </w:rPr>
              <w:t>Grant</w:t>
              <w:br/>
              <w:t>Date Fair</w:t>
              <w:br/>
              <w:t>Value of</w:t>
              <w:br/>
              <w:t>Stock and</w:t>
              <w:br/>
              <w:t>Option</w:t>
            </w:r>
          </w:p>
        </w:tc>
        <w:tc>
          <w:tcPr>
            <w:tcW w:w="191" w:type="dxa"/>
            <w:tcBorders/>
            <w:vAlign w:val="center"/>
          </w:tcPr>
          <w:p>
            <w:pPr>
              <w:pStyle w:val="TableContents"/>
              <w:bidi w:val="0"/>
              <w:spacing w:before="0" w:after="0"/>
              <w:ind w:left="0" w:right="0" w:hanging="0"/>
              <w:jc w:val="center"/>
              <w:rPr/>
            </w:pPr>
            <w:r>
              <w:rPr/>
              <w:t> </w:t>
            </w:r>
          </w:p>
        </w:tc>
      </w:tr>
      <w:tr>
        <w:trPr/>
        <w:tc>
          <w:tcPr>
            <w:tcW w:w="90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sz w:val="15"/>
              </w:rPr>
            </w:pPr>
            <w:r>
              <w:rPr>
                <w:rFonts w:ascii="Arial;sans-serif" w:hAnsi="Arial;sans-serif"/>
                <w:b/>
                <w:sz w:val="15"/>
              </w:rPr>
              <w:t>Name</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5"/>
              </w:rPr>
            </w:pPr>
            <w:r>
              <w:rPr>
                <w:rFonts w:ascii="Arial;sans-serif" w:hAnsi="Arial;sans-serif"/>
                <w:b/>
                <w:sz w:val="15"/>
              </w:rPr>
              <w:t>Grant</w:t>
              <w:br/>
              <w:t>Date</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5"/>
              </w:rPr>
            </w:pPr>
            <w:r>
              <w:rPr>
                <w:rFonts w:ascii="Arial;sans-serif" w:hAnsi="Arial;sans-serif"/>
                <w:b/>
                <w:sz w:val="15"/>
              </w:rPr>
              <w:t>Threshold</w:t>
              <w:br/>
              <w:t>($)</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5"/>
              </w:rPr>
            </w:pPr>
            <w:r>
              <w:rPr>
                <w:rFonts w:ascii="Arial;sans-serif" w:hAnsi="Arial;sans-serif"/>
                <w:b/>
                <w:sz w:val="15"/>
              </w:rPr>
              <w:t>Target</w:t>
              <w:br/>
              <w:t>($)</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1"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5"/>
              </w:rPr>
            </w:pPr>
            <w:r>
              <w:rPr>
                <w:rFonts w:ascii="Arial;sans-serif" w:hAnsi="Arial;sans-serif"/>
                <w:b/>
                <w:sz w:val="15"/>
              </w:rPr>
              <w:t>Maximum</w:t>
              <w:br/>
              <w:t>($)</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5"/>
              </w:rPr>
            </w:pPr>
            <w:r>
              <w:rPr>
                <w:rFonts w:ascii="Arial;sans-serif" w:hAnsi="Arial;sans-serif"/>
                <w:b/>
                <w:sz w:val="15"/>
              </w:rPr>
              <w:t>Threshold</w:t>
              <w:br/>
              <w:t>(#)</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7"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5"/>
              </w:rPr>
            </w:pPr>
            <w:r>
              <w:rPr>
                <w:rFonts w:ascii="Arial;sans-serif" w:hAnsi="Arial;sans-serif"/>
                <w:b/>
                <w:sz w:val="15"/>
              </w:rPr>
              <w:t>Target</w:t>
              <w:br/>
              <w:t>(#)</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7"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5"/>
              </w:rPr>
            </w:pPr>
            <w:r>
              <w:rPr>
                <w:rFonts w:ascii="Arial;sans-serif" w:hAnsi="Arial;sans-serif"/>
                <w:b/>
                <w:sz w:val="15"/>
              </w:rPr>
              <w:t>Maximum</w:t>
              <w:br/>
              <w:t>(#)</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7"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5"/>
              </w:rPr>
            </w:pPr>
            <w:r>
              <w:rPr>
                <w:rFonts w:ascii="Arial;sans-serif" w:hAnsi="Arial;sans-serif"/>
                <w:b/>
                <w:sz w:val="15"/>
              </w:rPr>
              <w:t>or Units</w:t>
              <w:br/>
              <w:t>(#)(3)</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1"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5"/>
              </w:rPr>
            </w:pPr>
            <w:r>
              <w:rPr>
                <w:rFonts w:ascii="Arial;sans-serif" w:hAnsi="Arial;sans-serif"/>
                <w:b/>
                <w:sz w:val="15"/>
              </w:rPr>
              <w:t>Options</w:t>
              <w:br/>
              <w:t>(#)</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5"/>
              </w:rPr>
            </w:pPr>
            <w:r>
              <w:rPr>
                <w:rFonts w:ascii="Arial;sans-serif" w:hAnsi="Arial;sans-serif"/>
                <w:b/>
                <w:sz w:val="15"/>
              </w:rPr>
              <w:t>Awards</w:t>
              <w:br/>
              <w:t>($/Sh)</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7"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5"/>
              </w:rPr>
            </w:pPr>
            <w:r>
              <w:rPr>
                <w:rFonts w:ascii="Arial;sans-serif" w:hAnsi="Arial;sans-serif"/>
                <w:b/>
                <w:sz w:val="15"/>
              </w:rPr>
              <w:t>Awards</w:t>
              <w:br/>
              <w:t>(4)</w:t>
            </w:r>
          </w:p>
        </w:tc>
        <w:tc>
          <w:tcPr>
            <w:tcW w:w="19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901"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Mark P. Smith</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rFonts w:ascii="Arial;sans-serif" w:hAnsi="Arial;sans-serif"/>
                <w:b w:val="false"/>
                <w:sz w:val="15"/>
              </w:rPr>
            </w:pPr>
            <w:r>
              <w:rPr>
                <w:rFonts w:ascii="Arial;sans-serif" w:hAnsi="Arial;sans-serif"/>
                <w:b w:val="false"/>
                <w:sz w:val="15"/>
              </w:rPr>
              <w:t>5/2/2022</w:t>
            </w:r>
          </w:p>
        </w:tc>
        <w:tc>
          <w:tcPr>
            <w:tcW w:w="146" w:type="dxa"/>
            <w:tcBorders/>
            <w:vAlign w:val="center"/>
          </w:tcPr>
          <w:p>
            <w:pPr>
              <w:pStyle w:val="TableContents"/>
              <w:bidi w:val="0"/>
              <w:spacing w:before="0" w:after="0"/>
              <w:ind w:left="0" w:right="0" w:hanging="0"/>
              <w:jc w:val="left"/>
              <w:rPr/>
            </w:pPr>
            <w:r>
              <w:rPr/>
              <w:t> </w:t>
            </w:r>
          </w:p>
        </w:tc>
        <w:tc>
          <w:tcPr>
            <w:tcW w:w="304"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53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51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41,834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7" w:type="dxa"/>
            <w:tcBorders/>
            <w:vAlign w:val="center"/>
          </w:tcPr>
          <w:p>
            <w:pPr>
              <w:pStyle w:val="TableContents"/>
              <w:bidi w:val="0"/>
              <w:spacing w:before="0" w:after="0"/>
              <w:ind w:left="0" w:right="0" w:hanging="0"/>
              <w:jc w:val="left"/>
              <w:rPr/>
            </w:pPr>
            <w:r>
              <w:rPr/>
              <w:t> </w:t>
            </w:r>
          </w:p>
        </w:tc>
        <w:tc>
          <w:tcPr>
            <w:tcW w:w="63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48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69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593,624</w:t>
            </w:r>
          </w:p>
        </w:tc>
        <w:tc>
          <w:tcPr>
            <w:tcW w:w="191" w:type="dxa"/>
            <w:tcBorders/>
            <w:vAlign w:val="center"/>
          </w:tcPr>
          <w:p>
            <w:pPr>
              <w:pStyle w:val="TableContents"/>
              <w:bidi w:val="0"/>
              <w:spacing w:before="0" w:after="0"/>
              <w:ind w:left="0" w:right="0" w:hanging="0"/>
              <w:jc w:val="left"/>
              <w:rPr/>
            </w:pPr>
            <w:r>
              <w:rPr/>
              <w:t> </w:t>
            </w:r>
          </w:p>
        </w:tc>
      </w:tr>
      <w:tr>
        <w:trPr/>
        <w:tc>
          <w:tcPr>
            <w:tcW w:w="90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rFonts w:ascii="Arial;sans-serif" w:hAnsi="Arial;sans-serif"/>
                <w:b w:val="false"/>
                <w:sz w:val="15"/>
              </w:rPr>
            </w:pPr>
            <w:r>
              <w:rPr>
                <w:rFonts w:ascii="Arial;sans-serif" w:hAnsi="Arial;sans-serif"/>
                <w:b w:val="false"/>
                <w:sz w:val="15"/>
              </w:rPr>
              <w:t>5/2/2022</w:t>
            </w:r>
          </w:p>
        </w:tc>
        <w:tc>
          <w:tcPr>
            <w:tcW w:w="146" w:type="dxa"/>
            <w:tcBorders/>
            <w:vAlign w:val="center"/>
          </w:tcPr>
          <w:p>
            <w:pPr>
              <w:pStyle w:val="TableContents"/>
              <w:bidi w:val="0"/>
              <w:spacing w:before="0" w:after="0"/>
              <w:ind w:left="0" w:right="0" w:hanging="0"/>
              <w:jc w:val="left"/>
              <w:rPr/>
            </w:pPr>
            <w:r>
              <w:rPr/>
              <w:t> </w:t>
            </w:r>
          </w:p>
        </w:tc>
        <w:tc>
          <w:tcPr>
            <w:tcW w:w="304"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53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51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23,845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62,750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125,500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7" w:type="dxa"/>
            <w:tcBorders/>
            <w:vAlign w:val="center"/>
          </w:tcPr>
          <w:p>
            <w:pPr>
              <w:pStyle w:val="TableContents"/>
              <w:bidi w:val="0"/>
              <w:spacing w:before="0" w:after="0"/>
              <w:ind w:left="0" w:right="0" w:hanging="0"/>
              <w:jc w:val="left"/>
              <w:rPr/>
            </w:pPr>
            <w:r>
              <w:rPr/>
              <w:t> </w:t>
            </w:r>
          </w:p>
        </w:tc>
        <w:tc>
          <w:tcPr>
            <w:tcW w:w="63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48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69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909,248</w:t>
            </w:r>
          </w:p>
        </w:tc>
        <w:tc>
          <w:tcPr>
            <w:tcW w:w="191" w:type="dxa"/>
            <w:tcBorders/>
            <w:vAlign w:val="center"/>
          </w:tcPr>
          <w:p>
            <w:pPr>
              <w:pStyle w:val="TableContents"/>
              <w:bidi w:val="0"/>
              <w:spacing w:before="0" w:after="0"/>
              <w:ind w:left="0" w:right="0" w:hanging="0"/>
              <w:jc w:val="left"/>
              <w:rPr/>
            </w:pPr>
            <w:r>
              <w:rPr/>
              <w:t> </w:t>
            </w:r>
          </w:p>
        </w:tc>
      </w:tr>
      <w:tr>
        <w:trPr/>
        <w:tc>
          <w:tcPr>
            <w:tcW w:w="9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1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0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901"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Deana L. McPherson</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rFonts w:ascii="Arial;sans-serif" w:hAnsi="Arial;sans-serif"/>
                <w:b w:val="false"/>
                <w:sz w:val="15"/>
              </w:rPr>
            </w:pPr>
            <w:r>
              <w:rPr>
                <w:rFonts w:ascii="Arial;sans-serif" w:hAnsi="Arial;sans-serif"/>
                <w:b w:val="false"/>
                <w:sz w:val="15"/>
              </w:rPr>
              <w:t>5/2/2022</w:t>
            </w:r>
          </w:p>
        </w:tc>
        <w:tc>
          <w:tcPr>
            <w:tcW w:w="146" w:type="dxa"/>
            <w:tcBorders/>
            <w:vAlign w:val="center"/>
          </w:tcPr>
          <w:p>
            <w:pPr>
              <w:pStyle w:val="TableContents"/>
              <w:bidi w:val="0"/>
              <w:spacing w:before="0" w:after="0"/>
              <w:ind w:left="0" w:right="0" w:hanging="0"/>
              <w:jc w:val="left"/>
              <w:rPr/>
            </w:pPr>
            <w:r>
              <w:rPr/>
              <w:t> </w:t>
            </w:r>
          </w:p>
        </w:tc>
        <w:tc>
          <w:tcPr>
            <w:tcW w:w="304"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53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51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12,894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7" w:type="dxa"/>
            <w:tcBorders/>
            <w:vAlign w:val="center"/>
          </w:tcPr>
          <w:p>
            <w:pPr>
              <w:pStyle w:val="TableContents"/>
              <w:bidi w:val="0"/>
              <w:spacing w:before="0" w:after="0"/>
              <w:ind w:left="0" w:right="0" w:hanging="0"/>
              <w:jc w:val="left"/>
              <w:rPr/>
            </w:pPr>
            <w:r>
              <w:rPr/>
              <w:t> </w:t>
            </w:r>
          </w:p>
        </w:tc>
        <w:tc>
          <w:tcPr>
            <w:tcW w:w="63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48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69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182,966</w:t>
            </w:r>
          </w:p>
        </w:tc>
        <w:tc>
          <w:tcPr>
            <w:tcW w:w="191" w:type="dxa"/>
            <w:tcBorders/>
            <w:vAlign w:val="center"/>
          </w:tcPr>
          <w:p>
            <w:pPr>
              <w:pStyle w:val="TableContents"/>
              <w:bidi w:val="0"/>
              <w:spacing w:before="0" w:after="0"/>
              <w:ind w:left="0" w:right="0" w:hanging="0"/>
              <w:jc w:val="left"/>
              <w:rPr/>
            </w:pPr>
            <w:r>
              <w:rPr/>
              <w:t> </w:t>
            </w:r>
          </w:p>
        </w:tc>
      </w:tr>
      <w:tr>
        <w:trPr/>
        <w:tc>
          <w:tcPr>
            <w:tcW w:w="9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rFonts w:ascii="Arial;sans-serif" w:hAnsi="Arial;sans-serif"/>
                <w:b w:val="false"/>
                <w:sz w:val="15"/>
              </w:rPr>
            </w:pPr>
            <w:r>
              <w:rPr>
                <w:rFonts w:ascii="Arial;sans-serif" w:hAnsi="Arial;sans-serif"/>
                <w:b w:val="false"/>
                <w:sz w:val="15"/>
              </w:rPr>
              <w:t>5/2/2022</w:t>
            </w:r>
          </w:p>
        </w:tc>
        <w:tc>
          <w:tcPr>
            <w:tcW w:w="146" w:type="dxa"/>
            <w:tcBorders/>
            <w:vAlign w:val="center"/>
          </w:tcPr>
          <w:p>
            <w:pPr>
              <w:pStyle w:val="TableContents"/>
              <w:bidi w:val="0"/>
              <w:spacing w:before="0" w:after="0"/>
              <w:ind w:left="0" w:right="0" w:hanging="0"/>
              <w:jc w:val="left"/>
              <w:rPr/>
            </w:pPr>
            <w:r>
              <w:rPr/>
              <w:t> </w:t>
            </w:r>
          </w:p>
        </w:tc>
        <w:tc>
          <w:tcPr>
            <w:tcW w:w="304"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53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51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7,349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19,340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38,680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7" w:type="dxa"/>
            <w:tcBorders/>
            <w:vAlign w:val="center"/>
          </w:tcPr>
          <w:p>
            <w:pPr>
              <w:pStyle w:val="TableContents"/>
              <w:bidi w:val="0"/>
              <w:spacing w:before="0" w:after="0"/>
              <w:ind w:left="0" w:right="0" w:hanging="0"/>
              <w:jc w:val="left"/>
              <w:rPr/>
            </w:pPr>
            <w:r>
              <w:rPr/>
              <w:t> </w:t>
            </w:r>
          </w:p>
        </w:tc>
        <w:tc>
          <w:tcPr>
            <w:tcW w:w="63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48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69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280,237</w:t>
            </w:r>
          </w:p>
        </w:tc>
        <w:tc>
          <w:tcPr>
            <w:tcW w:w="191" w:type="dxa"/>
            <w:tcBorders/>
            <w:vAlign w:val="center"/>
          </w:tcPr>
          <w:p>
            <w:pPr>
              <w:pStyle w:val="TableContents"/>
              <w:bidi w:val="0"/>
              <w:spacing w:before="0" w:after="0"/>
              <w:ind w:left="0" w:right="0" w:hanging="0"/>
              <w:jc w:val="left"/>
              <w:rPr/>
            </w:pPr>
            <w:r>
              <w:rPr/>
              <w:t> </w:t>
            </w:r>
          </w:p>
        </w:tc>
      </w:tr>
      <w:tr>
        <w:trPr/>
        <w:tc>
          <w:tcPr>
            <w:tcW w:w="90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1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0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901"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Kevin A. Maxwell</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rFonts w:ascii="Arial;sans-serif" w:hAnsi="Arial;sans-serif"/>
                <w:b w:val="false"/>
                <w:sz w:val="15"/>
              </w:rPr>
            </w:pPr>
            <w:r>
              <w:rPr>
                <w:rFonts w:ascii="Arial;sans-serif" w:hAnsi="Arial;sans-serif"/>
                <w:b w:val="false"/>
                <w:sz w:val="15"/>
              </w:rPr>
              <w:t>5/2/2022</w:t>
            </w:r>
          </w:p>
        </w:tc>
        <w:tc>
          <w:tcPr>
            <w:tcW w:w="146" w:type="dxa"/>
            <w:tcBorders/>
            <w:vAlign w:val="center"/>
          </w:tcPr>
          <w:p>
            <w:pPr>
              <w:pStyle w:val="TableContents"/>
              <w:bidi w:val="0"/>
              <w:spacing w:before="0" w:after="0"/>
              <w:ind w:left="0" w:right="0" w:hanging="0"/>
              <w:jc w:val="left"/>
              <w:rPr/>
            </w:pPr>
            <w:r>
              <w:rPr/>
              <w:t> </w:t>
            </w:r>
          </w:p>
        </w:tc>
        <w:tc>
          <w:tcPr>
            <w:tcW w:w="304"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53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51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8,883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7" w:type="dxa"/>
            <w:tcBorders/>
            <w:vAlign w:val="center"/>
          </w:tcPr>
          <w:p>
            <w:pPr>
              <w:pStyle w:val="TableContents"/>
              <w:bidi w:val="0"/>
              <w:spacing w:before="0" w:after="0"/>
              <w:ind w:left="0" w:right="0" w:hanging="0"/>
              <w:jc w:val="left"/>
              <w:rPr/>
            </w:pPr>
            <w:r>
              <w:rPr/>
              <w:t> </w:t>
            </w:r>
          </w:p>
        </w:tc>
        <w:tc>
          <w:tcPr>
            <w:tcW w:w="63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48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69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126,050</w:t>
            </w:r>
          </w:p>
        </w:tc>
        <w:tc>
          <w:tcPr>
            <w:tcW w:w="191" w:type="dxa"/>
            <w:tcBorders/>
            <w:vAlign w:val="center"/>
          </w:tcPr>
          <w:p>
            <w:pPr>
              <w:pStyle w:val="TableContents"/>
              <w:bidi w:val="0"/>
              <w:spacing w:before="0" w:after="0"/>
              <w:ind w:left="0" w:right="0" w:hanging="0"/>
              <w:jc w:val="left"/>
              <w:rPr/>
            </w:pPr>
            <w:r>
              <w:rPr/>
              <w:t> </w:t>
            </w:r>
          </w:p>
        </w:tc>
      </w:tr>
      <w:tr>
        <w:trPr/>
        <w:tc>
          <w:tcPr>
            <w:tcW w:w="9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rFonts w:ascii="Arial;sans-serif" w:hAnsi="Arial;sans-serif"/>
                <w:b w:val="false"/>
                <w:sz w:val="15"/>
              </w:rPr>
            </w:pPr>
            <w:r>
              <w:rPr>
                <w:rFonts w:ascii="Arial;sans-serif" w:hAnsi="Arial;sans-serif"/>
                <w:b w:val="false"/>
                <w:sz w:val="15"/>
              </w:rPr>
              <w:t>5/2/2022</w:t>
            </w:r>
          </w:p>
        </w:tc>
        <w:tc>
          <w:tcPr>
            <w:tcW w:w="146" w:type="dxa"/>
            <w:tcBorders/>
            <w:vAlign w:val="center"/>
          </w:tcPr>
          <w:p>
            <w:pPr>
              <w:pStyle w:val="TableContents"/>
              <w:bidi w:val="0"/>
              <w:spacing w:before="0" w:after="0"/>
              <w:ind w:left="0" w:right="0" w:hanging="0"/>
              <w:jc w:val="left"/>
              <w:rPr/>
            </w:pPr>
            <w:r>
              <w:rPr/>
              <w:t> </w:t>
            </w:r>
          </w:p>
        </w:tc>
        <w:tc>
          <w:tcPr>
            <w:tcW w:w="304"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53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51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5,063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13,323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26,646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7" w:type="dxa"/>
            <w:tcBorders/>
            <w:vAlign w:val="center"/>
          </w:tcPr>
          <w:p>
            <w:pPr>
              <w:pStyle w:val="TableContents"/>
              <w:bidi w:val="0"/>
              <w:spacing w:before="0" w:after="0"/>
              <w:ind w:left="0" w:right="0" w:hanging="0"/>
              <w:jc w:val="left"/>
              <w:rPr/>
            </w:pPr>
            <w:r>
              <w:rPr/>
              <w:t> </w:t>
            </w:r>
          </w:p>
        </w:tc>
        <w:tc>
          <w:tcPr>
            <w:tcW w:w="63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48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69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193,050</w:t>
            </w:r>
          </w:p>
        </w:tc>
        <w:tc>
          <w:tcPr>
            <w:tcW w:w="191" w:type="dxa"/>
            <w:tcBorders/>
            <w:vAlign w:val="center"/>
          </w:tcPr>
          <w:p>
            <w:pPr>
              <w:pStyle w:val="TableContents"/>
              <w:bidi w:val="0"/>
              <w:spacing w:before="0" w:after="0"/>
              <w:ind w:left="0" w:right="0" w:hanging="0"/>
              <w:jc w:val="left"/>
              <w:rPr/>
            </w:pPr>
            <w:r>
              <w:rPr/>
              <w:t> </w:t>
            </w:r>
          </w:p>
        </w:tc>
      </w:tr>
      <w:tr>
        <w:trPr/>
        <w:tc>
          <w:tcPr>
            <w:tcW w:w="9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1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0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901"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Susan J. Cupero</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rFonts w:ascii="Arial;sans-serif" w:hAnsi="Arial;sans-serif"/>
                <w:b w:val="false"/>
                <w:sz w:val="15"/>
              </w:rPr>
            </w:pPr>
            <w:r>
              <w:rPr>
                <w:rFonts w:ascii="Arial;sans-serif" w:hAnsi="Arial;sans-serif"/>
                <w:b w:val="false"/>
                <w:sz w:val="15"/>
              </w:rPr>
              <w:t>5/2/2022</w:t>
            </w:r>
          </w:p>
        </w:tc>
        <w:tc>
          <w:tcPr>
            <w:tcW w:w="146" w:type="dxa"/>
            <w:tcBorders/>
            <w:vAlign w:val="center"/>
          </w:tcPr>
          <w:p>
            <w:pPr>
              <w:pStyle w:val="TableContents"/>
              <w:bidi w:val="0"/>
              <w:spacing w:before="0" w:after="0"/>
              <w:ind w:left="0" w:right="0" w:hanging="0"/>
              <w:jc w:val="left"/>
              <w:rPr/>
            </w:pPr>
            <w:r>
              <w:rPr/>
              <w:t> </w:t>
            </w:r>
          </w:p>
        </w:tc>
        <w:tc>
          <w:tcPr>
            <w:tcW w:w="304"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53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51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8,883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7" w:type="dxa"/>
            <w:tcBorders/>
            <w:vAlign w:val="center"/>
          </w:tcPr>
          <w:p>
            <w:pPr>
              <w:pStyle w:val="TableContents"/>
              <w:bidi w:val="0"/>
              <w:spacing w:before="0" w:after="0"/>
              <w:ind w:left="0" w:right="0" w:hanging="0"/>
              <w:jc w:val="left"/>
              <w:rPr/>
            </w:pPr>
            <w:r>
              <w:rPr/>
              <w:t> </w:t>
            </w:r>
          </w:p>
        </w:tc>
        <w:tc>
          <w:tcPr>
            <w:tcW w:w="63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48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69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126,050</w:t>
            </w:r>
          </w:p>
        </w:tc>
        <w:tc>
          <w:tcPr>
            <w:tcW w:w="191" w:type="dxa"/>
            <w:tcBorders/>
            <w:vAlign w:val="center"/>
          </w:tcPr>
          <w:p>
            <w:pPr>
              <w:pStyle w:val="TableContents"/>
              <w:bidi w:val="0"/>
              <w:spacing w:before="0" w:after="0"/>
              <w:ind w:left="0" w:right="0" w:hanging="0"/>
              <w:jc w:val="left"/>
              <w:rPr/>
            </w:pPr>
            <w:r>
              <w:rPr/>
              <w:t> </w:t>
            </w:r>
          </w:p>
        </w:tc>
      </w:tr>
      <w:tr>
        <w:trPr/>
        <w:tc>
          <w:tcPr>
            <w:tcW w:w="9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rFonts w:ascii="Arial;sans-serif" w:hAnsi="Arial;sans-serif"/>
                <w:b w:val="false"/>
                <w:sz w:val="15"/>
              </w:rPr>
            </w:pPr>
            <w:r>
              <w:rPr>
                <w:rFonts w:ascii="Arial;sans-serif" w:hAnsi="Arial;sans-serif"/>
                <w:b w:val="false"/>
                <w:sz w:val="15"/>
              </w:rPr>
              <w:t>5/2/2022</w:t>
            </w:r>
          </w:p>
        </w:tc>
        <w:tc>
          <w:tcPr>
            <w:tcW w:w="146" w:type="dxa"/>
            <w:tcBorders/>
            <w:vAlign w:val="center"/>
          </w:tcPr>
          <w:p>
            <w:pPr>
              <w:pStyle w:val="TableContents"/>
              <w:bidi w:val="0"/>
              <w:spacing w:before="0" w:after="0"/>
              <w:ind w:left="0" w:right="0" w:hanging="0"/>
              <w:jc w:val="left"/>
              <w:rPr/>
            </w:pPr>
            <w:r>
              <w:rPr/>
              <w:t> </w:t>
            </w:r>
          </w:p>
        </w:tc>
        <w:tc>
          <w:tcPr>
            <w:tcW w:w="304"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53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51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5,063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13,323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26,646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7" w:type="dxa"/>
            <w:tcBorders/>
            <w:vAlign w:val="center"/>
          </w:tcPr>
          <w:p>
            <w:pPr>
              <w:pStyle w:val="TableContents"/>
              <w:bidi w:val="0"/>
              <w:spacing w:before="0" w:after="0"/>
              <w:ind w:left="0" w:right="0" w:hanging="0"/>
              <w:jc w:val="left"/>
              <w:rPr/>
            </w:pPr>
            <w:r>
              <w:rPr/>
              <w:t> </w:t>
            </w:r>
          </w:p>
        </w:tc>
        <w:tc>
          <w:tcPr>
            <w:tcW w:w="63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48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5"/>
              </w:rPr>
            </w:pPr>
            <w:r>
              <w:rPr>
                <w:rFonts w:ascii="Arial;sans-serif" w:hAnsi="Arial;sans-serif"/>
                <w:b w:val="false"/>
                <w:sz w:val="15"/>
              </w:rPr>
              <w:t>$</w:t>
            </w:r>
          </w:p>
        </w:tc>
        <w:tc>
          <w:tcPr>
            <w:tcW w:w="691" w:type="dxa"/>
            <w:tcBorders/>
            <w:vAlign w:val="center"/>
          </w:tcPr>
          <w:p>
            <w:pPr>
              <w:pStyle w:val="TableContents"/>
              <w:bidi w:val="0"/>
              <w:spacing w:before="0" w:after="0"/>
              <w:ind w:left="0" w:right="0" w:hanging="0"/>
              <w:jc w:val="right"/>
              <w:rPr>
                <w:rFonts w:ascii="Arial;sans-serif" w:hAnsi="Arial;sans-serif"/>
                <w:b w:val="false"/>
                <w:sz w:val="15"/>
              </w:rPr>
            </w:pPr>
            <w:r>
              <w:rPr>
                <w:rFonts w:ascii="Arial;sans-serif" w:hAnsi="Arial;sans-serif"/>
                <w:b w:val="false"/>
                <w:sz w:val="15"/>
              </w:rPr>
              <w:t>193,050</w:t>
            </w:r>
          </w:p>
        </w:tc>
        <w:tc>
          <w:tcPr>
            <w:tcW w:w="191" w:type="dxa"/>
            <w:tcBorders/>
            <w:vAlign w:val="center"/>
          </w:tcPr>
          <w:p>
            <w:pPr>
              <w:pStyle w:val="TableContents"/>
              <w:bidi w:val="0"/>
              <w:spacing w:before="0" w:after="0"/>
              <w:ind w:left="0" w:right="0" w:hanging="0"/>
              <w:jc w:val="left"/>
              <w:rPr/>
            </w:pPr>
            <w:r>
              <w:rPr/>
              <w:t> </w:t>
            </w:r>
          </w:p>
        </w:tc>
      </w:tr>
      <w:tr>
        <w:trPr/>
        <w:tc>
          <w:tcPr>
            <w:tcW w:w="9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1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0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9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16"/>
        </w:rPr>
        <w:t>(1) For a description of our payments in fiscal 2023, see “Compensation Matters — Compensation Discussion and Analysis — Compensation Elements — Annual Performance-Based Cash Incentive Compensation.”</w:t>
      </w:r>
      <w:r>
        <w:rPr>
          <w:rFonts w:ascii="Times New Roman" w:hAnsi="Times New Roman"/>
          <w:sz w:val="20"/>
        </w:rPr>
        <w:t xml:space="preserve"> </w:t>
      </w:r>
    </w:p>
    <w:p>
      <w:pPr>
        <w:pStyle w:val="TextBody"/>
        <w:bidi w:val="0"/>
        <w:spacing w:before="60" w:after="0"/>
        <w:jc w:val="both"/>
        <w:rPr>
          <w:rFonts w:ascii="Times New Roman" w:hAnsi="Times New Roman"/>
          <w:sz w:val="20"/>
        </w:rPr>
      </w:pPr>
      <w:r>
        <w:rPr>
          <w:rFonts w:ascii="Arial;sans-serif" w:hAnsi="Arial;sans-serif"/>
          <w:b w:val="false"/>
          <w:sz w:val="16"/>
        </w:rPr>
        <w:t>(2) These PSUs vest based on the relative performance of our common stock against the RUT over the approximately three-year period following the date of grant. Notwithstanding the amounts shown in the “Maximum” column, the maximum number of shares that can be delivered with respect to fiscal 2023 PSU grants is limited to a dollar value, determined as of the vesting date, of 600% of the grant date value. For further information on these awards, see “Compensation Matters — Compensation Discussion and Analysis — Compensation Elements — Stock-Based Compensation.”</w:t>
      </w:r>
      <w:r>
        <w:rPr>
          <w:rFonts w:ascii="Times New Roman" w:hAnsi="Times New Roman"/>
          <w:sz w:val="20"/>
        </w:rPr>
        <w:t xml:space="preserve"> </w:t>
      </w:r>
    </w:p>
    <w:p>
      <w:pPr>
        <w:pStyle w:val="TextBody"/>
        <w:bidi w:val="0"/>
        <w:spacing w:before="60" w:after="0"/>
        <w:jc w:val="both"/>
        <w:rPr>
          <w:rFonts w:ascii="Arial;sans-serif" w:hAnsi="Arial;sans-serif"/>
          <w:b w:val="false"/>
          <w:sz w:val="16"/>
        </w:rPr>
      </w:pPr>
      <w:r>
        <w:rPr>
          <w:rFonts w:ascii="Arial;sans-serif" w:hAnsi="Arial;sans-serif"/>
          <w:b w:val="false"/>
          <w:sz w:val="16"/>
        </w:rPr>
        <w:t>(3) One-fourth of the RSUs vest on each of the first, second, third, and fourth anniversaries of the date of grant, subject to each executive’s continued services with us.</w:t>
      </w:r>
    </w:p>
    <w:p>
      <w:pPr>
        <w:pStyle w:val="TextBody"/>
        <w:bidi w:val="0"/>
        <w:spacing w:before="60" w:after="0"/>
        <w:jc w:val="both"/>
        <w:rPr>
          <w:rFonts w:ascii="Arial;sans-serif" w:hAnsi="Arial;sans-serif"/>
          <w:b w:val="false"/>
          <w:sz w:val="16"/>
        </w:rPr>
      </w:pPr>
      <w:r>
        <w:rPr>
          <w:rFonts w:ascii="Arial;sans-serif" w:hAnsi="Arial;sans-serif"/>
          <w:b w:val="false"/>
          <w:sz w:val="16"/>
        </w:rPr>
        <w:t>(4) The amounts shown in this column represent the grant date fair value of stock awards calculated in accordance with ASC Topic 718, excluding the effects of forfeitures. The assumptions used in determining the grant date fair value of these awards are set forth in Note 13 to our consolidated financial statements, which are included in our Form 10-K.</w:t>
      </w:r>
    </w:p>
    <w:p>
      <w:pPr>
        <w:pStyle w:val="TextBody"/>
        <w:bidi w:val="0"/>
        <w:spacing w:before="0" w:after="0"/>
        <w:jc w:val="left"/>
        <w:rPr/>
      </w:pPr>
      <w:r>
        <w:rPr/>
        <w:t> </w:t>
      </w:r>
    </w:p>
    <w:tbl>
      <w:tblPr>
        <w:tblW w:w="3762" w:type="dxa"/>
        <w:jc w:val="left"/>
        <w:tblInd w:w="0" w:type="dxa"/>
        <w:tblLayout w:type="fixed"/>
        <w:tblCellMar>
          <w:top w:w="28" w:type="dxa"/>
          <w:left w:w="28" w:type="dxa"/>
          <w:bottom w:w="28" w:type="dxa"/>
          <w:right w:w="28" w:type="dxa"/>
        </w:tblCellMar>
      </w:tblPr>
      <w:tblGrid>
        <w:gridCol w:w="2266"/>
        <w:gridCol w:w="1496"/>
      </w:tblGrid>
      <w:tr>
        <w:trPr/>
        <w:tc>
          <w:tcPr>
            <w:tcW w:w="226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32</w:t>
            </w:r>
            <w:r>
              <w:rPr>
                <w:rFonts w:ascii="Times New Roman" w:hAnsi="Times New Roman"/>
                <w:sz w:val="18"/>
              </w:rPr>
              <w:t> </w:t>
            </w:r>
            <w:r>
              <w:rPr>
                <w:rFonts w:ascii="Arial;sans-serif" w:hAnsi="Arial;sans-serif"/>
                <w:b w:val="false"/>
                <w:sz w:val="18"/>
              </w:rPr>
              <w:t>I 2023 Proxy Statement</w:t>
            </w:r>
          </w:p>
        </w:tc>
        <w:tc>
          <w:tcPr>
            <w:tcW w:w="1496" w:type="dxa"/>
            <w:tcBorders/>
            <w:vAlign w:val="center"/>
          </w:tcPr>
          <w:p>
            <w:pPr>
              <w:pStyle w:val="TableContents"/>
              <w:bidi w:val="0"/>
              <w:spacing w:before="0" w:after="0"/>
              <w:ind w:left="0" w:right="0" w:hanging="0"/>
              <w:jc w:val="right"/>
              <w:rPr/>
            </w:pPr>
            <w:r>
              <w:rPr/>
              <w:drawing>
                <wp:inline distT="0" distB="0" distL="0" distR="0">
                  <wp:extent cx="828675" cy="19050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828675" cy="190500"/>
                          </a:xfrm>
                          <a:prstGeom prst="rect">
                            <a:avLst/>
                          </a:prstGeom>
                        </pic:spPr>
                      </pic:pic>
                    </a:graphicData>
                  </a:graphic>
                </wp:inline>
              </w:drawing>
            </w: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2487" w:type="dxa"/>
        <w:jc w:val="left"/>
        <w:tblInd w:w="0" w:type="dxa"/>
        <w:tblLayout w:type="fixed"/>
        <w:tblCellMar>
          <w:top w:w="28" w:type="dxa"/>
          <w:left w:w="28" w:type="dxa"/>
          <w:bottom w:w="28" w:type="dxa"/>
          <w:right w:w="28" w:type="dxa"/>
        </w:tblCellMar>
      </w:tblPr>
      <w:tblGrid>
        <w:gridCol w:w="2296"/>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Executive Compensation</w:t>
            </w:r>
          </w:p>
        </w:tc>
        <w:tc>
          <w:tcPr>
            <w:tcW w:w="191" w:type="dxa"/>
            <w:tcBorders/>
            <w:vAlign w:val="center"/>
          </w:tcPr>
          <w:p>
            <w:pPr>
              <w:pStyle w:val="TableContents"/>
              <w:bidi w:val="0"/>
              <w:spacing w:before="0" w:after="0"/>
              <w:ind w:left="0" w:right="0" w:hanging="0"/>
              <w:jc w:val="left"/>
              <w:rPr/>
            </w:pPr>
            <w:r>
              <w:rPr/>
              <w:t> </w:t>
            </w:r>
          </w:p>
        </w:tc>
      </w:tr>
      <w:tr>
        <w:trPr/>
        <w:tc>
          <w:tcPr>
            <w:tcW w:w="229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val="false"/>
          <w:sz w:val="24"/>
          <w:u w:val="single"/>
        </w:rPr>
        <w:t>Outstanding Equity Awards at Fiscal Year-End 2023</w:t>
      </w:r>
      <w:r>
        <w:rPr>
          <w:rFonts w:ascii="Times New Roman" w:hAnsi="Times New Roman"/>
          <w:sz w:val="20"/>
        </w:rPr>
        <w:t xml:space="preserve"> </w:t>
      </w:r>
    </w:p>
    <w:p>
      <w:pPr>
        <w:pStyle w:val="TextBody"/>
        <w:bidi w:val="0"/>
        <w:spacing w:before="0" w:after="0"/>
        <w:jc w:val="both"/>
        <w:rPr>
          <w:rFonts w:ascii="Arial;sans-serif" w:hAnsi="Arial;sans-serif"/>
          <w:b w:val="false"/>
          <w:sz w:val="20"/>
        </w:rPr>
      </w:pPr>
      <w:r>
        <w:rPr>
          <w:rFonts w:ascii="Arial;sans-serif" w:hAnsi="Arial;sans-serif"/>
          <w:b w:val="false"/>
          <w:sz w:val="20"/>
        </w:rPr>
        <w:t>The following table sets forth information with respect to outstanding equity awards held by our NEOs as of April 30, 2023.</w:t>
      </w:r>
    </w:p>
    <w:p>
      <w:pPr>
        <w:pStyle w:val="TextBody"/>
        <w:bidi w:val="0"/>
        <w:spacing w:before="0" w:after="0"/>
        <w:jc w:val="both"/>
        <w:rPr/>
      </w:pPr>
      <w:r>
        <w:rPr/>
        <w:t> </w:t>
      </w:r>
    </w:p>
    <w:tbl>
      <w:tblPr>
        <w:tblW w:w="7740" w:type="dxa"/>
        <w:jc w:val="left"/>
        <w:tblInd w:w="0" w:type="dxa"/>
        <w:tblLayout w:type="fixed"/>
        <w:tblCellMar>
          <w:top w:w="28" w:type="dxa"/>
          <w:left w:w="28" w:type="dxa"/>
          <w:bottom w:w="28" w:type="dxa"/>
          <w:right w:w="28" w:type="dxa"/>
        </w:tblCellMar>
      </w:tblPr>
      <w:tblGrid>
        <w:gridCol w:w="1411"/>
        <w:gridCol w:w="721"/>
        <w:gridCol w:w="146"/>
        <w:gridCol w:w="159"/>
        <w:gridCol w:w="576"/>
        <w:gridCol w:w="146"/>
        <w:gridCol w:w="146"/>
        <w:gridCol w:w="146"/>
        <w:gridCol w:w="146"/>
        <w:gridCol w:w="181"/>
        <w:gridCol w:w="601"/>
        <w:gridCol w:w="146"/>
        <w:gridCol w:w="146"/>
        <w:gridCol w:w="146"/>
        <w:gridCol w:w="190"/>
        <w:gridCol w:w="785"/>
        <w:gridCol w:w="146"/>
        <w:gridCol w:w="271"/>
        <w:gridCol w:w="146"/>
        <w:gridCol w:w="146"/>
        <w:gridCol w:w="181"/>
        <w:gridCol w:w="721"/>
        <w:gridCol w:w="146"/>
        <w:gridCol w:w="191"/>
      </w:tblGrid>
      <w:tr>
        <w:trPr/>
        <w:tc>
          <w:tcPr>
            <w:tcW w:w="14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11" w:type="dxa"/>
            <w:tcBorders/>
            <w:vAlign w:val="center"/>
          </w:tcPr>
          <w:p>
            <w:pPr>
              <w:pStyle w:val="TableContents"/>
              <w:bidi w:val="0"/>
              <w:spacing w:before="0" w:after="0"/>
              <w:ind w:left="0" w:right="0" w:hanging="0"/>
              <w:jc w:val="center"/>
              <w:rPr/>
            </w:pPr>
            <w:r>
              <w:rPr/>
              <w:t> </w:t>
            </w:r>
          </w:p>
        </w:tc>
        <w:tc>
          <w:tcPr>
            <w:tcW w:w="5992" w:type="dxa"/>
            <w:gridSpan w:val="21"/>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Stock Awards</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11" w:type="dxa"/>
            <w:tcBorders/>
            <w:vAlign w:val="center"/>
          </w:tcPr>
          <w:p>
            <w:pPr>
              <w:pStyle w:val="TableContents"/>
              <w:bidi w:val="0"/>
              <w:spacing w:before="0" w:after="0"/>
              <w:ind w:left="0" w:right="0" w:hanging="0"/>
              <w:jc w:val="center"/>
              <w:rPr/>
            </w:pPr>
            <w:r>
              <w:rPr/>
              <w:t> </w:t>
            </w:r>
          </w:p>
        </w:tc>
        <w:tc>
          <w:tcPr>
            <w:tcW w:w="7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5"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20" w:type="dxa"/>
            <w:gridSpan w:val="5"/>
            <w:tcBorders/>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Market</w:t>
            </w:r>
          </w:p>
        </w:tc>
        <w:tc>
          <w:tcPr>
            <w:tcW w:w="146" w:type="dxa"/>
            <w:tcBorders/>
            <w:vAlign w:val="center"/>
          </w:tcPr>
          <w:p>
            <w:pPr>
              <w:pStyle w:val="TableContents"/>
              <w:bidi w:val="0"/>
              <w:spacing w:before="0" w:after="0"/>
              <w:ind w:left="0" w:right="0" w:hanging="0"/>
              <w:jc w:val="left"/>
              <w:rPr/>
            </w:pPr>
            <w:r>
              <w:rPr/>
              <w:t> </w:t>
            </w:r>
          </w:p>
        </w:tc>
        <w:tc>
          <w:tcPr>
            <w:tcW w:w="975" w:type="dxa"/>
            <w:gridSpan w:val="2"/>
            <w:tcBorders/>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Equity</w:t>
              <w:br/>
              <w:t>Incentive</w:t>
            </w:r>
          </w:p>
        </w:tc>
        <w:tc>
          <w:tcPr>
            <w:tcW w:w="14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85" w:type="dxa"/>
            <w:gridSpan w:val="5"/>
            <w:tcBorders/>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Equity</w:t>
              <w:br/>
              <w:t>Incentive</w:t>
            </w:r>
          </w:p>
        </w:tc>
      </w:tr>
      <w:tr>
        <w:trPr/>
        <w:tc>
          <w:tcPr>
            <w:tcW w:w="14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5" w:type="dxa"/>
            <w:gridSpan w:val="2"/>
            <w:tcBorders/>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Number</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20" w:type="dxa"/>
            <w:gridSpan w:val="5"/>
            <w:tcBorders/>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Value of</w:t>
            </w:r>
          </w:p>
        </w:tc>
        <w:tc>
          <w:tcPr>
            <w:tcW w:w="146" w:type="dxa"/>
            <w:tcBorders/>
            <w:vAlign w:val="center"/>
          </w:tcPr>
          <w:p>
            <w:pPr>
              <w:pStyle w:val="TableContents"/>
              <w:bidi w:val="0"/>
              <w:spacing w:before="0" w:after="0"/>
              <w:ind w:left="0" w:right="0" w:hanging="0"/>
              <w:jc w:val="left"/>
              <w:rPr/>
            </w:pPr>
            <w:r>
              <w:rPr/>
              <w:t> </w:t>
            </w:r>
          </w:p>
        </w:tc>
        <w:tc>
          <w:tcPr>
            <w:tcW w:w="975" w:type="dxa"/>
            <w:gridSpan w:val="2"/>
            <w:tcBorders/>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Plan Awards:</w:t>
            </w:r>
          </w:p>
        </w:tc>
        <w:tc>
          <w:tcPr>
            <w:tcW w:w="14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85" w:type="dxa"/>
            <w:gridSpan w:val="5"/>
            <w:tcBorders/>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Plan Awards:</w:t>
            </w:r>
          </w:p>
        </w:tc>
      </w:tr>
      <w:tr>
        <w:trPr/>
        <w:tc>
          <w:tcPr>
            <w:tcW w:w="14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5" w:type="dxa"/>
            <w:gridSpan w:val="2"/>
            <w:tcBorders/>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of</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20" w:type="dxa"/>
            <w:gridSpan w:val="5"/>
            <w:tcBorders/>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Shares or</w:t>
            </w:r>
          </w:p>
        </w:tc>
        <w:tc>
          <w:tcPr>
            <w:tcW w:w="146" w:type="dxa"/>
            <w:tcBorders/>
            <w:vAlign w:val="center"/>
          </w:tcPr>
          <w:p>
            <w:pPr>
              <w:pStyle w:val="TableContents"/>
              <w:bidi w:val="0"/>
              <w:spacing w:before="0" w:after="0"/>
              <w:ind w:left="0" w:right="0" w:hanging="0"/>
              <w:jc w:val="left"/>
              <w:rPr/>
            </w:pPr>
            <w:r>
              <w:rPr/>
              <w:t> </w:t>
            </w:r>
          </w:p>
        </w:tc>
        <w:tc>
          <w:tcPr>
            <w:tcW w:w="975" w:type="dxa"/>
            <w:gridSpan w:val="2"/>
            <w:tcBorders/>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Number of</w:t>
            </w:r>
          </w:p>
        </w:tc>
        <w:tc>
          <w:tcPr>
            <w:tcW w:w="14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85" w:type="dxa"/>
            <w:gridSpan w:val="5"/>
            <w:tcBorders/>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Market or</w:t>
            </w:r>
          </w:p>
        </w:tc>
      </w:tr>
      <w:tr>
        <w:trPr/>
        <w:tc>
          <w:tcPr>
            <w:tcW w:w="14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5" w:type="dxa"/>
            <w:gridSpan w:val="2"/>
            <w:tcBorders/>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Shares or</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20" w:type="dxa"/>
            <w:gridSpan w:val="5"/>
            <w:tcBorders/>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Units of</w:t>
            </w:r>
          </w:p>
        </w:tc>
        <w:tc>
          <w:tcPr>
            <w:tcW w:w="146" w:type="dxa"/>
            <w:tcBorders/>
            <w:vAlign w:val="center"/>
          </w:tcPr>
          <w:p>
            <w:pPr>
              <w:pStyle w:val="TableContents"/>
              <w:bidi w:val="0"/>
              <w:spacing w:before="0" w:after="0"/>
              <w:ind w:left="0" w:right="0" w:hanging="0"/>
              <w:jc w:val="left"/>
              <w:rPr/>
            </w:pPr>
            <w:r>
              <w:rPr/>
              <w:t> </w:t>
            </w:r>
          </w:p>
        </w:tc>
        <w:tc>
          <w:tcPr>
            <w:tcW w:w="975" w:type="dxa"/>
            <w:gridSpan w:val="2"/>
            <w:tcBorders/>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Unearned</w:t>
            </w:r>
          </w:p>
        </w:tc>
        <w:tc>
          <w:tcPr>
            <w:tcW w:w="14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85" w:type="dxa"/>
            <w:gridSpan w:val="5"/>
            <w:tcBorders/>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Payout Value</w:t>
            </w:r>
          </w:p>
        </w:tc>
      </w:tr>
      <w:tr>
        <w:trPr/>
        <w:tc>
          <w:tcPr>
            <w:tcW w:w="14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5" w:type="dxa"/>
            <w:gridSpan w:val="2"/>
            <w:tcBorders/>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Units of</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20" w:type="dxa"/>
            <w:gridSpan w:val="5"/>
            <w:tcBorders/>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Stock</w:t>
            </w:r>
          </w:p>
        </w:tc>
        <w:tc>
          <w:tcPr>
            <w:tcW w:w="146" w:type="dxa"/>
            <w:tcBorders/>
            <w:vAlign w:val="center"/>
          </w:tcPr>
          <w:p>
            <w:pPr>
              <w:pStyle w:val="TableContents"/>
              <w:bidi w:val="0"/>
              <w:spacing w:before="0" w:after="0"/>
              <w:ind w:left="0" w:right="0" w:hanging="0"/>
              <w:jc w:val="left"/>
              <w:rPr/>
            </w:pPr>
            <w:r>
              <w:rPr/>
              <w:t> </w:t>
            </w:r>
          </w:p>
        </w:tc>
        <w:tc>
          <w:tcPr>
            <w:tcW w:w="975" w:type="dxa"/>
            <w:gridSpan w:val="2"/>
            <w:tcBorders/>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Shares, Units</w:t>
            </w:r>
          </w:p>
        </w:tc>
        <w:tc>
          <w:tcPr>
            <w:tcW w:w="14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85" w:type="dxa"/>
            <w:gridSpan w:val="5"/>
            <w:tcBorders/>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of Unearned</w:t>
            </w:r>
          </w:p>
        </w:tc>
      </w:tr>
      <w:tr>
        <w:trPr/>
        <w:tc>
          <w:tcPr>
            <w:tcW w:w="14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Stock</w:t>
            </w:r>
          </w:p>
        </w:tc>
        <w:tc>
          <w:tcPr>
            <w:tcW w:w="146" w:type="dxa"/>
            <w:tcBorders/>
            <w:vAlign w:val="center"/>
          </w:tcPr>
          <w:p>
            <w:pPr>
              <w:pStyle w:val="TableContents"/>
              <w:bidi w:val="0"/>
              <w:spacing w:before="0" w:after="0"/>
              <w:ind w:left="0" w:right="0" w:hanging="0"/>
              <w:jc w:val="left"/>
              <w:rPr/>
            </w:pPr>
            <w:r>
              <w:rPr/>
              <w:t> </w:t>
            </w:r>
          </w:p>
        </w:tc>
        <w:tc>
          <w:tcPr>
            <w:tcW w:w="735" w:type="dxa"/>
            <w:gridSpan w:val="2"/>
            <w:tcBorders/>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Stock</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20" w:type="dxa"/>
            <w:gridSpan w:val="5"/>
            <w:tcBorders/>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That Have</w:t>
            </w:r>
          </w:p>
        </w:tc>
        <w:tc>
          <w:tcPr>
            <w:tcW w:w="146" w:type="dxa"/>
            <w:tcBorders/>
            <w:vAlign w:val="center"/>
          </w:tcPr>
          <w:p>
            <w:pPr>
              <w:pStyle w:val="TableContents"/>
              <w:bidi w:val="0"/>
              <w:spacing w:before="0" w:after="0"/>
              <w:ind w:left="0" w:right="0" w:hanging="0"/>
              <w:jc w:val="left"/>
              <w:rPr/>
            </w:pPr>
            <w:r>
              <w:rPr/>
              <w:t> </w:t>
            </w:r>
          </w:p>
        </w:tc>
        <w:tc>
          <w:tcPr>
            <w:tcW w:w="975" w:type="dxa"/>
            <w:gridSpan w:val="2"/>
            <w:tcBorders/>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or Other</w:t>
            </w:r>
          </w:p>
        </w:tc>
        <w:tc>
          <w:tcPr>
            <w:tcW w:w="14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85" w:type="dxa"/>
            <w:gridSpan w:val="5"/>
            <w:tcBorders/>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Shares, Units or</w:t>
            </w:r>
          </w:p>
        </w:tc>
      </w:tr>
      <w:tr>
        <w:trPr/>
        <w:tc>
          <w:tcPr>
            <w:tcW w:w="14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Award</w:t>
            </w:r>
          </w:p>
        </w:tc>
        <w:tc>
          <w:tcPr>
            <w:tcW w:w="146" w:type="dxa"/>
            <w:tcBorders/>
            <w:vAlign w:val="center"/>
          </w:tcPr>
          <w:p>
            <w:pPr>
              <w:pStyle w:val="TableContents"/>
              <w:bidi w:val="0"/>
              <w:spacing w:before="0" w:after="0"/>
              <w:ind w:left="0" w:right="0" w:hanging="0"/>
              <w:jc w:val="left"/>
              <w:rPr/>
            </w:pPr>
            <w:r>
              <w:rPr/>
              <w:t> </w:t>
            </w:r>
          </w:p>
        </w:tc>
        <w:tc>
          <w:tcPr>
            <w:tcW w:w="735" w:type="dxa"/>
            <w:gridSpan w:val="2"/>
            <w:tcBorders/>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That Have</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20" w:type="dxa"/>
            <w:gridSpan w:val="5"/>
            <w:tcBorders/>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Not</w:t>
            </w:r>
          </w:p>
        </w:tc>
        <w:tc>
          <w:tcPr>
            <w:tcW w:w="146" w:type="dxa"/>
            <w:tcBorders/>
            <w:vAlign w:val="center"/>
          </w:tcPr>
          <w:p>
            <w:pPr>
              <w:pStyle w:val="TableContents"/>
              <w:bidi w:val="0"/>
              <w:spacing w:before="0" w:after="0"/>
              <w:ind w:left="0" w:right="0" w:hanging="0"/>
              <w:jc w:val="left"/>
              <w:rPr/>
            </w:pPr>
            <w:r>
              <w:rPr/>
              <w:t> </w:t>
            </w:r>
          </w:p>
        </w:tc>
        <w:tc>
          <w:tcPr>
            <w:tcW w:w="975" w:type="dxa"/>
            <w:gridSpan w:val="2"/>
            <w:tcBorders/>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Rights That</w:t>
            </w:r>
          </w:p>
        </w:tc>
        <w:tc>
          <w:tcPr>
            <w:tcW w:w="14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85" w:type="dxa"/>
            <w:gridSpan w:val="5"/>
            <w:tcBorders/>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Other Rights</w:t>
            </w:r>
          </w:p>
        </w:tc>
      </w:tr>
      <w:tr>
        <w:trPr/>
        <w:tc>
          <w:tcPr>
            <w:tcW w:w="14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Grant</w:t>
            </w:r>
          </w:p>
        </w:tc>
        <w:tc>
          <w:tcPr>
            <w:tcW w:w="146" w:type="dxa"/>
            <w:tcBorders/>
            <w:vAlign w:val="center"/>
          </w:tcPr>
          <w:p>
            <w:pPr>
              <w:pStyle w:val="TableContents"/>
              <w:bidi w:val="0"/>
              <w:spacing w:before="0" w:after="0"/>
              <w:ind w:left="0" w:right="0" w:hanging="0"/>
              <w:jc w:val="left"/>
              <w:rPr/>
            </w:pPr>
            <w:r>
              <w:rPr/>
              <w:t> </w:t>
            </w:r>
          </w:p>
        </w:tc>
        <w:tc>
          <w:tcPr>
            <w:tcW w:w="735" w:type="dxa"/>
            <w:gridSpan w:val="2"/>
            <w:tcBorders/>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Not</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20" w:type="dxa"/>
            <w:gridSpan w:val="5"/>
            <w:tcBorders/>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Vested</w:t>
            </w:r>
          </w:p>
        </w:tc>
        <w:tc>
          <w:tcPr>
            <w:tcW w:w="146" w:type="dxa"/>
            <w:tcBorders/>
            <w:vAlign w:val="center"/>
          </w:tcPr>
          <w:p>
            <w:pPr>
              <w:pStyle w:val="TableContents"/>
              <w:bidi w:val="0"/>
              <w:spacing w:before="0" w:after="0"/>
              <w:ind w:left="0" w:right="0" w:hanging="0"/>
              <w:jc w:val="left"/>
              <w:rPr/>
            </w:pPr>
            <w:r>
              <w:rPr/>
              <w:t> </w:t>
            </w:r>
          </w:p>
        </w:tc>
        <w:tc>
          <w:tcPr>
            <w:tcW w:w="975" w:type="dxa"/>
            <w:gridSpan w:val="2"/>
            <w:tcBorders/>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Have Not</w:t>
            </w:r>
          </w:p>
        </w:tc>
        <w:tc>
          <w:tcPr>
            <w:tcW w:w="14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85" w:type="dxa"/>
            <w:gridSpan w:val="5"/>
            <w:tcBorders/>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That Have</w:t>
            </w:r>
          </w:p>
        </w:tc>
      </w:tr>
      <w:tr>
        <w:trPr/>
        <w:tc>
          <w:tcPr>
            <w:tcW w:w="141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sz w:val="14"/>
              </w:rPr>
            </w:pPr>
            <w:r>
              <w:rPr>
                <w:rFonts w:ascii="Arial;sans-serif" w:hAnsi="Arial;sans-serif"/>
                <w:b/>
                <w:sz w:val="14"/>
              </w:rPr>
              <w:t>Name</w:t>
            </w:r>
          </w:p>
        </w:tc>
        <w:tc>
          <w:tcPr>
            <w:tcW w:w="72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Date (1)</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5"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Vested</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20" w:type="dxa"/>
            <w:gridSpan w:val="5"/>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(2)</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5"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Vested (3)</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7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85" w:type="dxa"/>
            <w:gridSpan w:val="5"/>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Not Vested (2)</w:t>
            </w:r>
          </w:p>
        </w:tc>
      </w:tr>
      <w:tr>
        <w:trPr/>
        <w:tc>
          <w:tcPr>
            <w:tcW w:w="141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Mark P. Smith</w:t>
            </w:r>
          </w:p>
        </w:tc>
        <w:tc>
          <w:tcPr>
            <w:tcW w:w="721" w:type="dxa"/>
            <w:tcBorders/>
            <w:vAlign w:val="center"/>
          </w:tcPr>
          <w:p>
            <w:pPr>
              <w:pStyle w:val="TableContents"/>
              <w:bidi w:val="0"/>
              <w:spacing w:before="0" w:after="0"/>
              <w:ind w:left="0" w:right="0" w:hanging="0"/>
              <w:jc w:val="center"/>
              <w:rPr>
                <w:rFonts w:ascii="Arial;sans-serif" w:hAnsi="Arial;sans-serif"/>
                <w:b w:val="false"/>
                <w:sz w:val="14"/>
              </w:rPr>
            </w:pPr>
            <w:r>
              <w:rPr>
                <w:rFonts w:ascii="Arial;sans-serif" w:hAnsi="Arial;sans-serif"/>
                <w:b w:val="false"/>
                <w:sz w:val="14"/>
              </w:rPr>
              <w:t>4/30/2019</w:t>
            </w:r>
          </w:p>
        </w:tc>
        <w:tc>
          <w:tcPr>
            <w:tcW w:w="146"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576"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3,250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60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39,065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7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411" w:type="dxa"/>
            <w:tcBorders/>
            <w:vAlign w:val="center"/>
          </w:tcPr>
          <w:p>
            <w:pPr>
              <w:pStyle w:val="TableContents"/>
              <w:bidi w:val="0"/>
              <w:spacing w:before="0" w:after="283"/>
              <w:ind w:left="0" w:right="0" w:hanging="0"/>
              <w:jc w:val="left"/>
              <w:rPr>
                <w:sz w:val="4"/>
                <w:szCs w:val="4"/>
              </w:rPr>
            </w:pPr>
            <w:r>
              <w:rPr>
                <w:sz w:val="4"/>
                <w:szCs w:val="4"/>
              </w:rPr>
            </w:r>
          </w:p>
        </w:tc>
        <w:tc>
          <w:tcPr>
            <w:tcW w:w="721" w:type="dxa"/>
            <w:tcBorders/>
            <w:vAlign w:val="center"/>
          </w:tcPr>
          <w:p>
            <w:pPr>
              <w:pStyle w:val="TableContents"/>
              <w:bidi w:val="0"/>
              <w:spacing w:before="0" w:after="0"/>
              <w:ind w:left="0" w:right="0" w:hanging="0"/>
              <w:jc w:val="center"/>
              <w:rPr>
                <w:rFonts w:ascii="Arial;sans-serif" w:hAnsi="Arial;sans-serif"/>
                <w:b w:val="false"/>
                <w:sz w:val="14"/>
              </w:rPr>
            </w:pPr>
            <w:r>
              <w:rPr>
                <w:rFonts w:ascii="Arial;sans-serif" w:hAnsi="Arial;sans-serif"/>
                <w:b w:val="false"/>
                <w:sz w:val="14"/>
              </w:rPr>
              <w:t>4/6/2020</w:t>
            </w:r>
          </w:p>
        </w:tc>
        <w:tc>
          <w:tcPr>
            <w:tcW w:w="146"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576"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22,436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60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269,681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89,742</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1,078,699</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411" w:type="dxa"/>
            <w:tcBorders/>
            <w:vAlign w:val="center"/>
          </w:tcPr>
          <w:p>
            <w:pPr>
              <w:pStyle w:val="TableContents"/>
              <w:bidi w:val="0"/>
              <w:spacing w:before="0" w:after="283"/>
              <w:ind w:left="0" w:right="0" w:hanging="0"/>
              <w:jc w:val="left"/>
              <w:rPr>
                <w:sz w:val="4"/>
                <w:szCs w:val="4"/>
              </w:rPr>
            </w:pPr>
            <w:r>
              <w:rPr>
                <w:sz w:val="4"/>
                <w:szCs w:val="4"/>
              </w:rPr>
            </w:r>
          </w:p>
        </w:tc>
        <w:tc>
          <w:tcPr>
            <w:tcW w:w="721" w:type="dxa"/>
            <w:tcBorders/>
            <w:vAlign w:val="center"/>
          </w:tcPr>
          <w:p>
            <w:pPr>
              <w:pStyle w:val="TableContents"/>
              <w:bidi w:val="0"/>
              <w:spacing w:before="0" w:after="0"/>
              <w:ind w:left="0" w:right="0" w:hanging="0"/>
              <w:jc w:val="center"/>
              <w:rPr>
                <w:rFonts w:ascii="Arial;sans-serif" w:hAnsi="Arial;sans-serif"/>
                <w:b w:val="false"/>
                <w:sz w:val="14"/>
              </w:rPr>
            </w:pPr>
            <w:r>
              <w:rPr>
                <w:rFonts w:ascii="Arial;sans-serif" w:hAnsi="Arial;sans-serif"/>
                <w:b w:val="false"/>
                <w:sz w:val="14"/>
              </w:rPr>
              <w:t>8/25/2020</w:t>
            </w:r>
          </w:p>
        </w:tc>
        <w:tc>
          <w:tcPr>
            <w:tcW w:w="146"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576"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14,476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60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174,002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57,902</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695,982</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411" w:type="dxa"/>
            <w:tcBorders/>
            <w:vAlign w:val="center"/>
          </w:tcPr>
          <w:p>
            <w:pPr>
              <w:pStyle w:val="TableContents"/>
              <w:bidi w:val="0"/>
              <w:spacing w:before="0" w:after="283"/>
              <w:ind w:left="0" w:right="0" w:hanging="0"/>
              <w:jc w:val="left"/>
              <w:rPr>
                <w:sz w:val="4"/>
                <w:szCs w:val="4"/>
              </w:rPr>
            </w:pPr>
            <w:r>
              <w:rPr>
                <w:sz w:val="4"/>
                <w:szCs w:val="4"/>
              </w:rPr>
            </w:r>
          </w:p>
        </w:tc>
        <w:tc>
          <w:tcPr>
            <w:tcW w:w="721" w:type="dxa"/>
            <w:tcBorders/>
            <w:vAlign w:val="center"/>
          </w:tcPr>
          <w:p>
            <w:pPr>
              <w:pStyle w:val="TableContents"/>
              <w:bidi w:val="0"/>
              <w:spacing w:before="0" w:after="0"/>
              <w:ind w:left="0" w:right="0" w:hanging="0"/>
              <w:jc w:val="center"/>
              <w:rPr>
                <w:rFonts w:ascii="Arial;sans-serif" w:hAnsi="Arial;sans-serif"/>
                <w:b w:val="false"/>
                <w:sz w:val="14"/>
              </w:rPr>
            </w:pPr>
            <w:r>
              <w:rPr>
                <w:rFonts w:ascii="Arial;sans-serif" w:hAnsi="Arial;sans-serif"/>
                <w:b w:val="false"/>
                <w:sz w:val="14"/>
              </w:rPr>
              <w:t>5/3/2021</w:t>
            </w:r>
          </w:p>
        </w:tc>
        <w:tc>
          <w:tcPr>
            <w:tcW w:w="146"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576"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20,889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60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251,086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83,556</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1,004,343</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4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Arial;sans-serif" w:hAnsi="Arial;sans-serif"/>
                <w:b w:val="false"/>
                <w:sz w:val="14"/>
              </w:rPr>
            </w:pPr>
            <w:r>
              <w:rPr>
                <w:rFonts w:ascii="Arial;sans-serif" w:hAnsi="Arial;sans-serif"/>
                <w:b w:val="false"/>
                <w:sz w:val="14"/>
              </w:rPr>
              <w:t>5/2/2022</w:t>
            </w:r>
          </w:p>
        </w:tc>
        <w:tc>
          <w:tcPr>
            <w:tcW w:w="146"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576"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41,834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60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502,845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125,500</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1,508,510</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41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Deana L. McPherson</w:t>
            </w:r>
          </w:p>
        </w:tc>
        <w:tc>
          <w:tcPr>
            <w:tcW w:w="721" w:type="dxa"/>
            <w:tcBorders/>
            <w:vAlign w:val="center"/>
          </w:tcPr>
          <w:p>
            <w:pPr>
              <w:pStyle w:val="TableContents"/>
              <w:bidi w:val="0"/>
              <w:spacing w:before="0" w:after="0"/>
              <w:ind w:left="0" w:right="0" w:hanging="0"/>
              <w:jc w:val="center"/>
              <w:rPr>
                <w:rFonts w:ascii="Arial;sans-serif" w:hAnsi="Arial;sans-serif"/>
                <w:b w:val="false"/>
                <w:sz w:val="14"/>
              </w:rPr>
            </w:pPr>
            <w:r>
              <w:rPr>
                <w:rFonts w:ascii="Arial;sans-serif" w:hAnsi="Arial;sans-serif"/>
                <w:b w:val="false"/>
                <w:sz w:val="14"/>
              </w:rPr>
              <w:t>6/15/2019</w:t>
            </w:r>
          </w:p>
        </w:tc>
        <w:tc>
          <w:tcPr>
            <w:tcW w:w="146"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576"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1,146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60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13,775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7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4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Arial;sans-serif" w:hAnsi="Arial;sans-serif"/>
                <w:b w:val="false"/>
                <w:sz w:val="14"/>
              </w:rPr>
            </w:pPr>
            <w:r>
              <w:rPr>
                <w:rFonts w:ascii="Arial;sans-serif" w:hAnsi="Arial;sans-serif"/>
                <w:b w:val="false"/>
                <w:sz w:val="14"/>
              </w:rPr>
              <w:t>4/6/2020</w:t>
            </w:r>
          </w:p>
        </w:tc>
        <w:tc>
          <w:tcPr>
            <w:tcW w:w="146"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576"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8,012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60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96,304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32,050</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385,241</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4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Arial;sans-serif" w:hAnsi="Arial;sans-serif"/>
                <w:b w:val="false"/>
                <w:sz w:val="14"/>
              </w:rPr>
            </w:pPr>
            <w:r>
              <w:rPr>
                <w:rFonts w:ascii="Arial;sans-serif" w:hAnsi="Arial;sans-serif"/>
                <w:b w:val="false"/>
                <w:sz w:val="14"/>
              </w:rPr>
              <w:t>5/3/2021</w:t>
            </w:r>
          </w:p>
        </w:tc>
        <w:tc>
          <w:tcPr>
            <w:tcW w:w="146"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576"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6,427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60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77,253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25,708</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309,010</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4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Arial;sans-serif" w:hAnsi="Arial;sans-serif"/>
                <w:b w:val="false"/>
                <w:sz w:val="14"/>
              </w:rPr>
            </w:pPr>
            <w:r>
              <w:rPr>
                <w:rFonts w:ascii="Arial;sans-serif" w:hAnsi="Arial;sans-serif"/>
                <w:b w:val="false"/>
                <w:sz w:val="14"/>
              </w:rPr>
              <w:t>5/2/2022</w:t>
            </w:r>
          </w:p>
        </w:tc>
        <w:tc>
          <w:tcPr>
            <w:tcW w:w="146"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576"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12,894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60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154,986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38,680</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464,934</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41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Kevin A. Maxwell</w:t>
            </w:r>
          </w:p>
        </w:tc>
        <w:tc>
          <w:tcPr>
            <w:tcW w:w="721" w:type="dxa"/>
            <w:tcBorders/>
            <w:vAlign w:val="center"/>
          </w:tcPr>
          <w:p>
            <w:pPr>
              <w:pStyle w:val="TableContents"/>
              <w:bidi w:val="0"/>
              <w:spacing w:before="0" w:after="0"/>
              <w:ind w:left="0" w:right="0" w:hanging="0"/>
              <w:jc w:val="center"/>
              <w:rPr>
                <w:rFonts w:ascii="Arial;sans-serif" w:hAnsi="Arial;sans-serif"/>
                <w:b w:val="false"/>
                <w:sz w:val="14"/>
              </w:rPr>
            </w:pPr>
            <w:r>
              <w:rPr>
                <w:rFonts w:ascii="Arial;sans-serif" w:hAnsi="Arial;sans-serif"/>
                <w:b w:val="false"/>
                <w:sz w:val="14"/>
              </w:rPr>
              <w:t>11/8/2021</w:t>
            </w:r>
          </w:p>
        </w:tc>
        <w:tc>
          <w:tcPr>
            <w:tcW w:w="146"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576"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12,180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60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146,404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7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4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Arial;sans-serif" w:hAnsi="Arial;sans-serif"/>
                <w:b w:val="false"/>
                <w:sz w:val="14"/>
              </w:rPr>
            </w:pPr>
            <w:r>
              <w:rPr>
                <w:rFonts w:ascii="Arial;sans-serif" w:hAnsi="Arial;sans-serif"/>
                <w:b w:val="false"/>
                <w:sz w:val="14"/>
              </w:rPr>
              <w:t>5/2/2022</w:t>
            </w:r>
          </w:p>
        </w:tc>
        <w:tc>
          <w:tcPr>
            <w:tcW w:w="146"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576"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8,883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60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106,774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26,646</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320,285</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41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Susan J. Cupero</w:t>
            </w:r>
          </w:p>
        </w:tc>
        <w:tc>
          <w:tcPr>
            <w:tcW w:w="721" w:type="dxa"/>
            <w:tcBorders/>
            <w:vAlign w:val="center"/>
          </w:tcPr>
          <w:p>
            <w:pPr>
              <w:pStyle w:val="TableContents"/>
              <w:bidi w:val="0"/>
              <w:spacing w:before="0" w:after="0"/>
              <w:ind w:left="0" w:right="0" w:hanging="0"/>
              <w:jc w:val="center"/>
              <w:rPr>
                <w:rFonts w:ascii="Arial;sans-serif" w:hAnsi="Arial;sans-serif"/>
                <w:b w:val="false"/>
                <w:sz w:val="14"/>
              </w:rPr>
            </w:pPr>
            <w:r>
              <w:rPr>
                <w:rFonts w:ascii="Arial;sans-serif" w:hAnsi="Arial;sans-serif"/>
                <w:b w:val="false"/>
                <w:sz w:val="14"/>
              </w:rPr>
              <w:t>6/15/2019</w:t>
            </w:r>
          </w:p>
        </w:tc>
        <w:tc>
          <w:tcPr>
            <w:tcW w:w="146"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576"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576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60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6,924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7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411" w:type="dxa"/>
            <w:tcBorders/>
            <w:vAlign w:val="center"/>
          </w:tcPr>
          <w:p>
            <w:pPr>
              <w:pStyle w:val="TableContents"/>
              <w:bidi w:val="0"/>
              <w:spacing w:before="0" w:after="283"/>
              <w:ind w:left="0" w:right="0" w:hanging="0"/>
              <w:jc w:val="left"/>
              <w:rPr>
                <w:sz w:val="4"/>
                <w:szCs w:val="4"/>
              </w:rPr>
            </w:pPr>
            <w:r>
              <w:rPr>
                <w:sz w:val="4"/>
                <w:szCs w:val="4"/>
              </w:rPr>
            </w:r>
          </w:p>
        </w:tc>
        <w:tc>
          <w:tcPr>
            <w:tcW w:w="721" w:type="dxa"/>
            <w:tcBorders/>
            <w:vAlign w:val="center"/>
          </w:tcPr>
          <w:p>
            <w:pPr>
              <w:pStyle w:val="TableContents"/>
              <w:bidi w:val="0"/>
              <w:spacing w:before="0" w:after="0"/>
              <w:ind w:left="0" w:right="0" w:hanging="0"/>
              <w:jc w:val="center"/>
              <w:rPr>
                <w:rFonts w:ascii="Arial;sans-serif" w:hAnsi="Arial;sans-serif"/>
                <w:b w:val="false"/>
                <w:sz w:val="14"/>
              </w:rPr>
            </w:pPr>
            <w:r>
              <w:rPr>
                <w:rFonts w:ascii="Arial;sans-serif" w:hAnsi="Arial;sans-serif"/>
                <w:b w:val="false"/>
                <w:sz w:val="14"/>
              </w:rPr>
              <w:t>3/15/2020</w:t>
            </w:r>
          </w:p>
        </w:tc>
        <w:tc>
          <w:tcPr>
            <w:tcW w:w="146"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576"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1,562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60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18,775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7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4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Arial;sans-serif" w:hAnsi="Arial;sans-serif"/>
                <w:b w:val="false"/>
                <w:sz w:val="14"/>
              </w:rPr>
            </w:pPr>
            <w:r>
              <w:rPr>
                <w:rFonts w:ascii="Arial;sans-serif" w:hAnsi="Arial;sans-serif"/>
                <w:b w:val="false"/>
                <w:sz w:val="14"/>
              </w:rPr>
              <w:t>8/24/2020</w:t>
            </w:r>
          </w:p>
        </w:tc>
        <w:tc>
          <w:tcPr>
            <w:tcW w:w="146"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576"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475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60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5,710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7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411" w:type="dxa"/>
            <w:tcBorders/>
            <w:vAlign w:val="center"/>
          </w:tcPr>
          <w:p>
            <w:pPr>
              <w:pStyle w:val="TableContents"/>
              <w:bidi w:val="0"/>
              <w:spacing w:before="0" w:after="283"/>
              <w:ind w:left="0" w:right="0" w:hanging="0"/>
              <w:jc w:val="left"/>
              <w:rPr>
                <w:sz w:val="4"/>
                <w:szCs w:val="4"/>
              </w:rPr>
            </w:pPr>
            <w:r>
              <w:rPr>
                <w:sz w:val="4"/>
                <w:szCs w:val="4"/>
              </w:rPr>
            </w:r>
          </w:p>
        </w:tc>
        <w:tc>
          <w:tcPr>
            <w:tcW w:w="721" w:type="dxa"/>
            <w:tcBorders/>
            <w:vAlign w:val="center"/>
          </w:tcPr>
          <w:p>
            <w:pPr>
              <w:pStyle w:val="TableContents"/>
              <w:bidi w:val="0"/>
              <w:spacing w:before="0" w:after="0"/>
              <w:ind w:left="0" w:right="0" w:hanging="0"/>
              <w:jc w:val="center"/>
              <w:rPr>
                <w:rFonts w:ascii="Arial;sans-serif" w:hAnsi="Arial;sans-serif"/>
                <w:b w:val="false"/>
                <w:sz w:val="14"/>
              </w:rPr>
            </w:pPr>
            <w:r>
              <w:rPr>
                <w:rFonts w:ascii="Arial;sans-serif" w:hAnsi="Arial;sans-serif"/>
                <w:b w:val="false"/>
                <w:sz w:val="14"/>
              </w:rPr>
              <w:t>9/9/2020</w:t>
            </w:r>
          </w:p>
        </w:tc>
        <w:tc>
          <w:tcPr>
            <w:tcW w:w="146"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576"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3,678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60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44,210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14,714</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176,862</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411" w:type="dxa"/>
            <w:tcBorders/>
            <w:vAlign w:val="center"/>
          </w:tcPr>
          <w:p>
            <w:pPr>
              <w:pStyle w:val="TableContents"/>
              <w:bidi w:val="0"/>
              <w:spacing w:before="0" w:after="283"/>
              <w:ind w:left="0" w:right="0" w:hanging="0"/>
              <w:jc w:val="left"/>
              <w:rPr>
                <w:sz w:val="4"/>
                <w:szCs w:val="4"/>
              </w:rPr>
            </w:pPr>
            <w:r>
              <w:rPr>
                <w:sz w:val="4"/>
                <w:szCs w:val="4"/>
              </w:rPr>
            </w:r>
          </w:p>
        </w:tc>
        <w:tc>
          <w:tcPr>
            <w:tcW w:w="721" w:type="dxa"/>
            <w:tcBorders/>
            <w:vAlign w:val="center"/>
          </w:tcPr>
          <w:p>
            <w:pPr>
              <w:pStyle w:val="TableContents"/>
              <w:bidi w:val="0"/>
              <w:spacing w:before="0" w:after="0"/>
              <w:ind w:left="0" w:right="0" w:hanging="0"/>
              <w:jc w:val="center"/>
              <w:rPr>
                <w:rFonts w:ascii="Arial;sans-serif" w:hAnsi="Arial;sans-serif"/>
                <w:b w:val="false"/>
                <w:sz w:val="14"/>
              </w:rPr>
            </w:pPr>
            <w:r>
              <w:rPr>
                <w:rFonts w:ascii="Arial;sans-serif" w:hAnsi="Arial;sans-serif"/>
                <w:b w:val="false"/>
                <w:sz w:val="14"/>
              </w:rPr>
              <w:t>5/3/2021</w:t>
            </w:r>
          </w:p>
        </w:tc>
        <w:tc>
          <w:tcPr>
            <w:tcW w:w="146"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576"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4,419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60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53,116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17,674</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212,441</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411" w:type="dxa"/>
            <w:tcBorders/>
            <w:vAlign w:val="center"/>
          </w:tcPr>
          <w:p>
            <w:pPr>
              <w:pStyle w:val="TableContents"/>
              <w:bidi w:val="0"/>
              <w:spacing w:before="0" w:after="283"/>
              <w:ind w:left="0" w:right="0" w:hanging="0"/>
              <w:jc w:val="left"/>
              <w:rPr>
                <w:sz w:val="4"/>
                <w:szCs w:val="4"/>
              </w:rPr>
            </w:pPr>
            <w:r>
              <w:rPr>
                <w:sz w:val="4"/>
                <w:szCs w:val="4"/>
              </w:rPr>
            </w:r>
          </w:p>
        </w:tc>
        <w:tc>
          <w:tcPr>
            <w:tcW w:w="721" w:type="dxa"/>
            <w:tcBorders/>
            <w:vAlign w:val="center"/>
          </w:tcPr>
          <w:p>
            <w:pPr>
              <w:pStyle w:val="TableContents"/>
              <w:bidi w:val="0"/>
              <w:spacing w:before="0" w:after="0"/>
              <w:ind w:left="0" w:right="0" w:hanging="0"/>
              <w:jc w:val="center"/>
              <w:rPr>
                <w:rFonts w:ascii="Arial;sans-serif" w:hAnsi="Arial;sans-serif"/>
                <w:b w:val="false"/>
                <w:sz w:val="14"/>
              </w:rPr>
            </w:pPr>
            <w:r>
              <w:rPr>
                <w:rFonts w:ascii="Arial;sans-serif" w:hAnsi="Arial;sans-serif"/>
                <w:b w:val="false"/>
                <w:sz w:val="14"/>
              </w:rPr>
              <w:t>5/2/2022</w:t>
            </w:r>
          </w:p>
        </w:tc>
        <w:tc>
          <w:tcPr>
            <w:tcW w:w="146"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576"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8,883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60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106,774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26,646</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320,285</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41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5"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2"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5"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2"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60" w:after="0"/>
        <w:jc w:val="both"/>
        <w:rPr>
          <w:rFonts w:ascii="Times New Roman" w:hAnsi="Times New Roman"/>
          <w:sz w:val="20"/>
        </w:rPr>
      </w:pPr>
      <w:r>
        <w:rPr>
          <w:rFonts w:ascii="Arial;sans-serif" w:hAnsi="Arial;sans-serif"/>
          <w:b w:val="false"/>
          <w:sz w:val="16"/>
        </w:rPr>
        <w:t>(1) Generally, awards of RSUs vest one-fourth on May 1 following each of the first, second, third, and fourth anniversaries of the date of grant or on each of the first, second, third, and fourth anniversaries of the date of the grant. Awards of PSUs vest if the relative performance of our common stock achieves the then-applicable metric compared with the performance of the RUT over the approximately three-year performance period following the date of grant. For further information on these awards, see “Compensation Matters — Compensation Discussion and Analysis — Compensation Elements — Stock-Based Compensation.”</w:t>
      </w:r>
      <w:r>
        <w:rPr>
          <w:rFonts w:ascii="Times New Roman" w:hAnsi="Times New Roman"/>
          <w:sz w:val="20"/>
        </w:rPr>
        <w:t xml:space="preserve"> </w:t>
      </w:r>
    </w:p>
    <w:p>
      <w:pPr>
        <w:pStyle w:val="TextBody"/>
        <w:bidi w:val="0"/>
        <w:spacing w:before="60" w:after="0"/>
        <w:jc w:val="both"/>
        <w:rPr>
          <w:rFonts w:ascii="Times New Roman" w:hAnsi="Times New Roman"/>
          <w:sz w:val="20"/>
        </w:rPr>
      </w:pPr>
      <w:r>
        <w:rPr>
          <w:rFonts w:ascii="Arial;sans-serif" w:hAnsi="Arial;sans-serif"/>
          <w:b w:val="false"/>
          <w:sz w:val="16"/>
        </w:rPr>
        <w:t>(2) The market value of shares or units of stock that have not vested and unearned equity incentive plan awards is determined by multiplying the closing market price of our common stock at the end of our last completed fiscal year by the number of shares or units of stock or the amount of unearned equity incentive plan awards, as applicable.</w:t>
      </w:r>
      <w:r>
        <w:rPr>
          <w:rFonts w:ascii="Times New Roman" w:hAnsi="Times New Roman"/>
          <w:sz w:val="20"/>
        </w:rPr>
        <w:t xml:space="preserve"> </w:t>
      </w:r>
    </w:p>
    <w:p>
      <w:pPr>
        <w:pStyle w:val="TextBody"/>
        <w:bidi w:val="0"/>
        <w:spacing w:before="60" w:after="0"/>
        <w:jc w:val="both"/>
        <w:rPr>
          <w:rFonts w:ascii="Arial;sans-serif" w:hAnsi="Arial;sans-serif"/>
          <w:b w:val="false"/>
          <w:sz w:val="16"/>
        </w:rPr>
      </w:pPr>
      <w:r>
        <w:rPr>
          <w:rFonts w:ascii="Arial;sans-serif" w:hAnsi="Arial;sans-serif"/>
          <w:b w:val="false"/>
          <w:sz w:val="16"/>
        </w:rPr>
        <w:t>(3) These PSUs vest based on the relative performance of our common stock against the RUT over the approximately three-year performance period following the date of grant and are reported at the maximum level of award. Notwithstanding the maximum amounts shown in this column, the maximum number of shares that can be delivered with respect to such grants is limited to a dollar value, determined as of the vesting date, of 600% of the grant date value. Reference is also made to footnote 1 above. See also “Compensation Matters — Compensation Discussion and Analysis — Compensation Elements — Stock-Based Compensation.”</w:t>
      </w:r>
    </w:p>
    <w:p>
      <w:pPr>
        <w:pStyle w:val="TextBody"/>
        <w:bidi w:val="0"/>
        <w:spacing w:before="60" w:after="0"/>
        <w:jc w:val="both"/>
        <w:rPr>
          <w:rFonts w:ascii="Arial;sans-serif" w:hAnsi="Arial;sans-serif"/>
          <w:b w:val="false"/>
          <w:sz w:val="16"/>
        </w:rPr>
      </w:pPr>
      <w:r>
        <w:rPr>
          <w:rFonts w:ascii="Arial;sans-serif" w:hAnsi="Arial;sans-serif"/>
          <w:b w:val="false"/>
          <w:sz w:val="16"/>
        </w:rPr>
        <w:t>(4) These PSUs were granted prior to the Separation; therefore, the performance against the RUT has been modified to compare against our market capitalization at the start of the performance period as compared to our market capitalization combined with AOUT at the end of the performance period. See “Compensation Matters — Compensation Discussion and Analysis — Compensation Elements — Stock-Based Compensation — Adjustments for the Separation.”</w:t>
      </w:r>
    </w:p>
    <w:p>
      <w:pPr>
        <w:pStyle w:val="TextBody"/>
        <w:bidi w:val="0"/>
        <w:spacing w:before="0" w:after="0"/>
        <w:jc w:val="left"/>
        <w:rPr/>
      </w:pPr>
      <w:r>
        <w:rPr/>
        <w:t> </w:t>
      </w:r>
    </w:p>
    <w:tbl>
      <w:tblPr>
        <w:tblW w:w="3762" w:type="dxa"/>
        <w:jc w:val="left"/>
        <w:tblInd w:w="0" w:type="dxa"/>
        <w:tblLayout w:type="fixed"/>
        <w:tblCellMar>
          <w:top w:w="28" w:type="dxa"/>
          <w:left w:w="28" w:type="dxa"/>
          <w:bottom w:w="28" w:type="dxa"/>
          <w:right w:w="28" w:type="dxa"/>
        </w:tblCellMar>
      </w:tblPr>
      <w:tblGrid>
        <w:gridCol w:w="2266"/>
        <w:gridCol w:w="1496"/>
      </w:tblGrid>
      <w:tr>
        <w:trPr/>
        <w:tc>
          <w:tcPr>
            <w:tcW w:w="226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33</w:t>
            </w:r>
            <w:r>
              <w:rPr>
                <w:rFonts w:ascii="Times New Roman" w:hAnsi="Times New Roman"/>
                <w:sz w:val="18"/>
              </w:rPr>
              <w:t> </w:t>
            </w:r>
            <w:r>
              <w:rPr>
                <w:rFonts w:ascii="Arial;sans-serif" w:hAnsi="Arial;sans-serif"/>
                <w:b w:val="false"/>
                <w:sz w:val="18"/>
              </w:rPr>
              <w:t>I 2023 Proxy Statement</w:t>
            </w:r>
          </w:p>
        </w:tc>
        <w:tc>
          <w:tcPr>
            <w:tcW w:w="1496" w:type="dxa"/>
            <w:tcBorders/>
            <w:vAlign w:val="center"/>
          </w:tcPr>
          <w:p>
            <w:pPr>
              <w:pStyle w:val="TableContents"/>
              <w:bidi w:val="0"/>
              <w:spacing w:before="0" w:after="0"/>
              <w:ind w:left="0" w:right="0" w:hanging="0"/>
              <w:jc w:val="right"/>
              <w:rPr/>
            </w:pPr>
            <w:r>
              <w:rPr/>
              <w:drawing>
                <wp:inline distT="0" distB="0" distL="0" distR="0">
                  <wp:extent cx="828675" cy="19050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828675" cy="190500"/>
                          </a:xfrm>
                          <a:prstGeom prst="rect">
                            <a:avLst/>
                          </a:prstGeom>
                        </pic:spPr>
                      </pic:pic>
                    </a:graphicData>
                  </a:graphic>
                </wp:inline>
              </w:drawing>
            </w: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2487" w:type="dxa"/>
        <w:jc w:val="left"/>
        <w:tblInd w:w="0" w:type="dxa"/>
        <w:tblLayout w:type="fixed"/>
        <w:tblCellMar>
          <w:top w:w="28" w:type="dxa"/>
          <w:left w:w="28" w:type="dxa"/>
          <w:bottom w:w="28" w:type="dxa"/>
          <w:right w:w="28" w:type="dxa"/>
        </w:tblCellMar>
      </w:tblPr>
      <w:tblGrid>
        <w:gridCol w:w="2296"/>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Executive Compensation</w:t>
            </w:r>
          </w:p>
        </w:tc>
        <w:tc>
          <w:tcPr>
            <w:tcW w:w="191" w:type="dxa"/>
            <w:tcBorders/>
            <w:vAlign w:val="center"/>
          </w:tcPr>
          <w:p>
            <w:pPr>
              <w:pStyle w:val="TableContents"/>
              <w:bidi w:val="0"/>
              <w:spacing w:before="0" w:after="0"/>
              <w:ind w:left="0" w:right="0" w:hanging="0"/>
              <w:jc w:val="left"/>
              <w:rPr/>
            </w:pPr>
            <w:r>
              <w:rPr/>
              <w:t> </w:t>
            </w:r>
          </w:p>
        </w:tc>
      </w:tr>
      <w:tr>
        <w:trPr/>
        <w:tc>
          <w:tcPr>
            <w:tcW w:w="229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val="false"/>
          <w:sz w:val="24"/>
          <w:u w:val="single"/>
        </w:rPr>
        <w:t>Option Exercises and Stock Vested in Fiscal 2023</w:t>
      </w:r>
      <w:r>
        <w:rPr>
          <w:rFonts w:ascii="Times New Roman" w:hAnsi="Times New Roman"/>
          <w:sz w:val="20"/>
        </w:rPr>
        <w:t xml:space="preserve"> </w:t>
      </w:r>
    </w:p>
    <w:p>
      <w:pPr>
        <w:pStyle w:val="TextBody"/>
        <w:bidi w:val="0"/>
        <w:spacing w:before="0" w:after="0"/>
        <w:jc w:val="both"/>
        <w:rPr>
          <w:rFonts w:ascii="Arial;sans-serif" w:hAnsi="Arial;sans-serif"/>
          <w:b w:val="false"/>
          <w:sz w:val="20"/>
        </w:rPr>
      </w:pPr>
      <w:r>
        <w:rPr>
          <w:rFonts w:ascii="Arial;sans-serif" w:hAnsi="Arial;sans-serif"/>
          <w:b w:val="false"/>
          <w:sz w:val="20"/>
        </w:rPr>
        <w:t>The following table describes, for the NEOs, the number of shares acquired and the value realized on the exercise of options and vesting of stock awards during fiscal 2023.</w:t>
      </w:r>
    </w:p>
    <w:p>
      <w:pPr>
        <w:pStyle w:val="TextBody"/>
        <w:bidi w:val="0"/>
        <w:spacing w:before="0" w:after="0"/>
        <w:jc w:val="both"/>
        <w:rPr/>
      </w:pPr>
      <w:r>
        <w:rPr/>
        <w:t> </w:t>
      </w:r>
    </w:p>
    <w:tbl>
      <w:tblPr>
        <w:tblW w:w="4364" w:type="dxa"/>
        <w:jc w:val="left"/>
        <w:tblInd w:w="0" w:type="dxa"/>
        <w:tblLayout w:type="fixed"/>
        <w:tblCellMar>
          <w:top w:w="28" w:type="dxa"/>
          <w:left w:w="28" w:type="dxa"/>
          <w:bottom w:w="28" w:type="dxa"/>
          <w:right w:w="28" w:type="dxa"/>
        </w:tblCellMar>
      </w:tblPr>
      <w:tblGrid>
        <w:gridCol w:w="1666"/>
        <w:gridCol w:w="211"/>
        <w:gridCol w:w="869"/>
        <w:gridCol w:w="146"/>
        <w:gridCol w:w="146"/>
        <w:gridCol w:w="228"/>
        <w:gridCol w:w="807"/>
        <w:gridCol w:w="291"/>
      </w:tblGrid>
      <w:tr>
        <w:trPr/>
        <w:tc>
          <w:tcPr>
            <w:tcW w:w="16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0"/>
              <w:ind w:left="0" w:right="0" w:hanging="0"/>
              <w:jc w:val="center"/>
              <w:rPr/>
            </w:pPr>
            <w:r>
              <w:rPr/>
              <w:t> </w:t>
            </w:r>
          </w:p>
        </w:tc>
        <w:tc>
          <w:tcPr>
            <w:tcW w:w="2407" w:type="dxa"/>
            <w:gridSpan w:val="6"/>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Stock Awards</w:t>
            </w:r>
          </w:p>
        </w:tc>
        <w:tc>
          <w:tcPr>
            <w:tcW w:w="29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66" w:type="dxa"/>
            <w:tcBorders/>
            <w:vAlign w:val="center"/>
          </w:tcPr>
          <w:p>
            <w:pPr>
              <w:pStyle w:val="TableContents"/>
              <w:bidi w:val="0"/>
              <w:spacing w:before="0" w:after="0"/>
              <w:ind w:left="0" w:right="0" w:hanging="0"/>
              <w:jc w:val="center"/>
              <w:rPr/>
            </w:pPr>
            <w:r>
              <w:rPr/>
              <w:t> </w:t>
            </w:r>
          </w:p>
        </w:tc>
        <w:tc>
          <w:tcPr>
            <w:tcW w:w="1080"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Number</w:t>
              <w:br/>
              <w:t>of Shares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35"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Value</w:t>
            </w:r>
          </w:p>
        </w:tc>
        <w:tc>
          <w:tcPr>
            <w:tcW w:w="291" w:type="dxa"/>
            <w:tcBorders/>
            <w:vAlign w:val="center"/>
          </w:tcPr>
          <w:p>
            <w:pPr>
              <w:pStyle w:val="TableContents"/>
              <w:bidi w:val="0"/>
              <w:spacing w:before="0" w:after="0"/>
              <w:ind w:left="0" w:right="0" w:firstLine="100"/>
              <w:jc w:val="center"/>
              <w:rPr/>
            </w:pPr>
            <w:r>
              <w:rPr/>
              <w:t> </w:t>
            </w:r>
          </w:p>
        </w:tc>
      </w:tr>
      <w:tr>
        <w:trPr/>
        <w:tc>
          <w:tcPr>
            <w:tcW w:w="1666" w:type="dxa"/>
            <w:tcBorders>
              <w:bottom w:val="single" w:sz="18" w:space="0" w:color="000000"/>
            </w:tcBorders>
            <w:tcMar>
              <w:top w:w="0" w:type="dxa"/>
              <w:left w:w="0" w:type="dxa"/>
              <w:right w:w="0" w:type="dxa"/>
            </w:tcMar>
            <w:vAlign w:val="center"/>
          </w:tcPr>
          <w:p>
            <w:pPr>
              <w:pStyle w:val="TableContents"/>
              <w:bidi w:val="0"/>
              <w:spacing w:before="0" w:after="0"/>
              <w:ind w:left="100" w:right="0" w:hanging="0"/>
              <w:jc w:val="left"/>
              <w:rPr>
                <w:rFonts w:ascii="Arial;sans-serif" w:hAnsi="Arial;sans-serif"/>
                <w:b/>
                <w:sz w:val="16"/>
              </w:rPr>
            </w:pPr>
            <w:r>
              <w:rPr>
                <w:rFonts w:ascii="Arial;sans-serif" w:hAnsi="Arial;sans-serif"/>
                <w:b/>
                <w:sz w:val="16"/>
              </w:rPr>
              <w:t>Name</w:t>
            </w:r>
          </w:p>
        </w:tc>
        <w:tc>
          <w:tcPr>
            <w:tcW w:w="1080"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Acquired on</w:t>
              <w:br/>
              <w:t>Vesting (1)</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35"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Realized on</w:t>
              <w:br/>
              <w:t>Vesting (2)</w:t>
            </w:r>
          </w:p>
        </w:tc>
        <w:tc>
          <w:tcPr>
            <w:tcW w:w="291" w:type="dxa"/>
            <w:tcBorders>
              <w:bottom w:val="single" w:sz="18" w:space="0" w:color="000000"/>
            </w:tcBorders>
            <w:tcMar>
              <w:top w:w="0" w:type="dxa"/>
              <w:left w:w="0" w:type="dxa"/>
              <w:right w:w="0" w:type="dxa"/>
            </w:tcMar>
            <w:vAlign w:val="center"/>
          </w:tcPr>
          <w:p>
            <w:pPr>
              <w:pStyle w:val="TableContents"/>
              <w:bidi w:val="0"/>
              <w:spacing w:before="0" w:after="0"/>
              <w:ind w:left="0" w:right="0" w:firstLine="100"/>
              <w:jc w:val="center"/>
              <w:rPr/>
            </w:pPr>
            <w:r>
              <w:rPr/>
              <w:t> </w:t>
            </w:r>
          </w:p>
        </w:tc>
      </w:tr>
      <w:tr>
        <w:trPr/>
        <w:tc>
          <w:tcPr>
            <w:tcW w:w="1666" w:type="dxa"/>
            <w:tcBorders/>
            <w:vAlign w:val="center"/>
          </w:tcPr>
          <w:p>
            <w:pPr>
              <w:pStyle w:val="TableContents"/>
              <w:bidi w:val="0"/>
              <w:spacing w:before="0" w:after="0"/>
              <w:ind w:left="100" w:right="0" w:hanging="0"/>
              <w:jc w:val="left"/>
              <w:rPr>
                <w:rFonts w:ascii="Arial;sans-serif" w:hAnsi="Arial;sans-serif"/>
                <w:b w:val="false"/>
                <w:sz w:val="16"/>
              </w:rPr>
            </w:pPr>
            <w:r>
              <w:rPr>
                <w:rFonts w:ascii="Arial;sans-serif" w:hAnsi="Arial;sans-serif"/>
                <w:b w:val="false"/>
                <w:sz w:val="16"/>
              </w:rPr>
              <w:t>Mark P. Smith</w:t>
            </w:r>
          </w:p>
        </w:tc>
        <w:tc>
          <w:tcPr>
            <w:tcW w:w="211"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60,719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07"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847,553</w:t>
            </w:r>
          </w:p>
        </w:tc>
        <w:tc>
          <w:tcPr>
            <w:tcW w:w="291" w:type="dxa"/>
            <w:tcBorders/>
            <w:vAlign w:val="center"/>
          </w:tcPr>
          <w:p>
            <w:pPr>
              <w:pStyle w:val="TableContents"/>
              <w:bidi w:val="0"/>
              <w:spacing w:before="0" w:after="0"/>
              <w:ind w:left="0" w:right="0" w:firstLine="100"/>
              <w:jc w:val="left"/>
              <w:rPr/>
            </w:pPr>
            <w:r>
              <w:rPr/>
              <w:t> </w:t>
            </w:r>
          </w:p>
        </w:tc>
      </w:tr>
      <w:tr>
        <w:trPr/>
        <w:tc>
          <w:tcPr>
            <w:tcW w:w="1666" w:type="dxa"/>
            <w:tcBorders/>
            <w:vAlign w:val="center"/>
          </w:tcPr>
          <w:p>
            <w:pPr>
              <w:pStyle w:val="TableContents"/>
              <w:bidi w:val="0"/>
              <w:spacing w:before="0" w:after="0"/>
              <w:ind w:left="100" w:right="0" w:hanging="0"/>
              <w:jc w:val="left"/>
              <w:rPr>
                <w:rFonts w:ascii="Arial;sans-serif" w:hAnsi="Arial;sans-serif"/>
                <w:b w:val="false"/>
                <w:sz w:val="16"/>
              </w:rPr>
            </w:pPr>
            <w:r>
              <w:rPr>
                <w:rFonts w:ascii="Arial;sans-serif" w:hAnsi="Arial;sans-serif"/>
                <w:b w:val="false"/>
                <w:sz w:val="16"/>
              </w:rPr>
              <w:t>Deana L. McPherson</w:t>
            </w:r>
          </w:p>
        </w:tc>
        <w:tc>
          <w:tcPr>
            <w:tcW w:w="211"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8,442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07"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119,307</w:t>
            </w:r>
          </w:p>
        </w:tc>
        <w:tc>
          <w:tcPr>
            <w:tcW w:w="291" w:type="dxa"/>
            <w:tcBorders/>
            <w:vAlign w:val="center"/>
          </w:tcPr>
          <w:p>
            <w:pPr>
              <w:pStyle w:val="TableContents"/>
              <w:bidi w:val="0"/>
              <w:spacing w:before="0" w:after="0"/>
              <w:ind w:left="0" w:right="0" w:firstLine="100"/>
              <w:jc w:val="left"/>
              <w:rPr/>
            </w:pPr>
            <w:r>
              <w:rPr/>
              <w:t> </w:t>
            </w:r>
          </w:p>
        </w:tc>
      </w:tr>
      <w:tr>
        <w:trPr/>
        <w:tc>
          <w:tcPr>
            <w:tcW w:w="1666" w:type="dxa"/>
            <w:tcBorders/>
            <w:vAlign w:val="center"/>
          </w:tcPr>
          <w:p>
            <w:pPr>
              <w:pStyle w:val="TableContents"/>
              <w:bidi w:val="0"/>
              <w:spacing w:before="0" w:after="0"/>
              <w:ind w:left="100" w:right="0" w:hanging="0"/>
              <w:jc w:val="left"/>
              <w:rPr>
                <w:rFonts w:ascii="Arial;sans-serif" w:hAnsi="Arial;sans-serif"/>
                <w:b w:val="false"/>
                <w:sz w:val="16"/>
              </w:rPr>
            </w:pPr>
            <w:r>
              <w:rPr>
                <w:rFonts w:ascii="Arial;sans-serif" w:hAnsi="Arial;sans-serif"/>
                <w:b w:val="false"/>
                <w:sz w:val="16"/>
              </w:rPr>
              <w:t>Kevin A. Maxwell</w:t>
            </w:r>
          </w:p>
        </w:tc>
        <w:tc>
          <w:tcPr>
            <w:tcW w:w="211"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4,061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07"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46,905</w:t>
            </w:r>
          </w:p>
        </w:tc>
        <w:tc>
          <w:tcPr>
            <w:tcW w:w="291" w:type="dxa"/>
            <w:tcBorders/>
            <w:vAlign w:val="center"/>
          </w:tcPr>
          <w:p>
            <w:pPr>
              <w:pStyle w:val="TableContents"/>
              <w:bidi w:val="0"/>
              <w:spacing w:before="0" w:after="0"/>
              <w:ind w:left="0" w:right="0" w:firstLine="100"/>
              <w:jc w:val="left"/>
              <w:rPr/>
            </w:pPr>
            <w:r>
              <w:rPr/>
              <w:t> </w:t>
            </w:r>
          </w:p>
        </w:tc>
      </w:tr>
      <w:tr>
        <w:trPr/>
        <w:tc>
          <w:tcPr>
            <w:tcW w:w="1666" w:type="dxa"/>
            <w:tcBorders/>
            <w:vAlign w:val="center"/>
          </w:tcPr>
          <w:p>
            <w:pPr>
              <w:pStyle w:val="TableContents"/>
              <w:bidi w:val="0"/>
              <w:spacing w:before="0" w:after="0"/>
              <w:ind w:left="100" w:right="0" w:hanging="0"/>
              <w:jc w:val="left"/>
              <w:rPr>
                <w:rFonts w:ascii="Arial;sans-serif" w:hAnsi="Arial;sans-serif"/>
                <w:b w:val="false"/>
                <w:sz w:val="16"/>
              </w:rPr>
            </w:pPr>
            <w:r>
              <w:rPr>
                <w:rFonts w:ascii="Arial;sans-serif" w:hAnsi="Arial;sans-serif"/>
                <w:b w:val="false"/>
                <w:sz w:val="16"/>
              </w:rPr>
              <w:t>Susan J. Cupero</w:t>
            </w:r>
          </w:p>
        </w:tc>
        <w:tc>
          <w:tcPr>
            <w:tcW w:w="211"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6,628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07"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85,877</w:t>
            </w:r>
          </w:p>
        </w:tc>
        <w:tc>
          <w:tcPr>
            <w:tcW w:w="291" w:type="dxa"/>
            <w:tcBorders/>
            <w:vAlign w:val="center"/>
          </w:tcPr>
          <w:p>
            <w:pPr>
              <w:pStyle w:val="TableContents"/>
              <w:bidi w:val="0"/>
              <w:spacing w:before="0" w:after="0"/>
              <w:ind w:left="0" w:right="0" w:hanging="0"/>
              <w:jc w:val="left"/>
              <w:rPr/>
            </w:pPr>
            <w:r>
              <w:rPr/>
              <w:t> </w:t>
            </w:r>
          </w:p>
        </w:tc>
      </w:tr>
      <w:tr>
        <w:trPr/>
        <w:tc>
          <w:tcPr>
            <w:tcW w:w="16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80"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5"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9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60" w:after="0"/>
        <w:jc w:val="both"/>
        <w:rPr>
          <w:rFonts w:ascii="Times New Roman" w:hAnsi="Times New Roman"/>
          <w:sz w:val="20"/>
        </w:rPr>
      </w:pPr>
      <w:r>
        <w:rPr>
          <w:rFonts w:ascii="Arial;sans-serif" w:hAnsi="Arial;sans-serif"/>
          <w:b w:val="false"/>
          <w:sz w:val="16"/>
        </w:rPr>
        <w:t>(1) Includes shares that have vested but are not yet deliverable.</w:t>
      </w:r>
      <w:r>
        <w:rPr>
          <w:rFonts w:ascii="Times New Roman" w:hAnsi="Times New Roman"/>
          <w:sz w:val="20"/>
        </w:rPr>
        <w:t xml:space="preserve"> </w:t>
      </w:r>
    </w:p>
    <w:p>
      <w:pPr>
        <w:pStyle w:val="TextBody"/>
        <w:bidi w:val="0"/>
        <w:spacing w:before="60" w:after="0"/>
        <w:jc w:val="both"/>
        <w:rPr>
          <w:rFonts w:ascii="Times New Roman" w:hAnsi="Times New Roman"/>
          <w:sz w:val="20"/>
        </w:rPr>
      </w:pPr>
      <w:r>
        <w:rPr>
          <w:rFonts w:ascii="Arial;sans-serif" w:hAnsi="Arial;sans-serif"/>
          <w:b w:val="false"/>
          <w:sz w:val="16"/>
        </w:rPr>
        <w:t>(2) For stock awards, the value realized is computed as the market price on the later of the date the restrictions lapse or the delivery date multiplied by the number of shares vested. See “Compensation Matters — Compensation Discussion and Analysis —Compensation Elements — Stock-Based Compensation — 2020 PSU Payout.”</w:t>
      </w:r>
      <w:r>
        <w:rPr>
          <w:rFonts w:ascii="Times New Roman" w:hAnsi="Times New Roman"/>
          <w:sz w:val="20"/>
        </w:rPr>
        <w:t xml:space="preserve"> </w:t>
      </w:r>
    </w:p>
    <w:p>
      <w:pPr>
        <w:pStyle w:val="TextBody"/>
        <w:bidi w:val="0"/>
        <w:spacing w:before="240" w:after="0"/>
        <w:jc w:val="both"/>
        <w:rPr>
          <w:rFonts w:ascii="Arial;sans-serif" w:hAnsi="Arial;sans-serif"/>
          <w:b/>
          <w:sz w:val="28"/>
        </w:rPr>
      </w:pPr>
      <w:r>
        <w:rPr>
          <w:rFonts w:ascii="Arial;sans-serif" w:hAnsi="Arial;sans-serif"/>
          <w:b/>
          <w:sz w:val="28"/>
        </w:rPr>
        <w:t>EQUITY COMPENSATION PLAN INFORMATION</w:t>
      </w:r>
    </w:p>
    <w:p>
      <w:pPr>
        <w:pStyle w:val="TextBody"/>
        <w:bidi w:val="0"/>
        <w:spacing w:before="0" w:after="0"/>
        <w:jc w:val="both"/>
        <w:rPr>
          <w:rFonts w:ascii="Arial;sans-serif" w:hAnsi="Arial;sans-serif"/>
          <w:b w:val="false"/>
          <w:sz w:val="20"/>
        </w:rPr>
      </w:pPr>
      <w:r>
        <w:rPr>
          <w:rFonts w:ascii="Arial;sans-serif" w:hAnsi="Arial;sans-serif"/>
          <w:b w:val="false"/>
          <w:sz w:val="20"/>
        </w:rPr>
        <w:t>The following table sets forth information with respect to our common stock that may be issued upon the exercise of stock options or delivery of shares related to RSUs under our equity compensation plans as of April 30, 2023.</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4289"/>
        <w:gridCol w:w="146"/>
        <w:gridCol w:w="188"/>
        <w:gridCol w:w="900"/>
        <w:gridCol w:w="146"/>
        <w:gridCol w:w="146"/>
        <w:gridCol w:w="329"/>
        <w:gridCol w:w="782"/>
        <w:gridCol w:w="146"/>
        <w:gridCol w:w="146"/>
        <w:gridCol w:w="442"/>
        <w:gridCol w:w="783"/>
        <w:gridCol w:w="146"/>
        <w:gridCol w:w="146"/>
        <w:gridCol w:w="191"/>
        <w:gridCol w:w="1085"/>
        <w:gridCol w:w="194"/>
      </w:tblGrid>
      <w:tr>
        <w:trPr/>
        <w:tc>
          <w:tcPr>
            <w:tcW w:w="42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289"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Plan Category</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88"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 Number</w:t>
              <w:br/>
              <w:t>of Securities</w:t>
              <w:br/>
              <w:t>to be Issued</w:t>
              <w:br/>
              <w:t>Upon</w:t>
              <w:br/>
              <w:t>Delivery of</w:t>
              <w:br/>
              <w:t>Shares for</w:t>
              <w:br/>
              <w:t>Restricted</w:t>
              <w:br/>
              <w:t>Stock Units</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11"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(b) Number</w:t>
              <w:br/>
              <w:t>of Securities</w:t>
              <w:br/>
              <w:t>to be Issued</w:t>
              <w:br/>
              <w:t>Upon</w:t>
              <w:br/>
              <w:t>Exercise of</w:t>
              <w:br/>
              <w:t>Outstanding</w:t>
              <w:br/>
              <w:t>Options</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25"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(c) Weighted</w:t>
              <w:br/>
              <w:t>Average</w:t>
              <w:br/>
              <w:t>Exercise</w:t>
              <w:br/>
              <w:t>Price of</w:t>
              <w:br/>
              <w:t>Outstanding</w:t>
              <w:br/>
              <w:t>Options,</w:t>
              <w:br/>
              <w:t>Warrants,</w:t>
              <w:br/>
              <w:t>and Rights (1)</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76"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 Number</w:t>
              <w:br/>
              <w:t>of Securities</w:t>
              <w:br/>
              <w:t>Remaining</w:t>
              <w:br/>
              <w:t>Available</w:t>
              <w:br/>
              <w:t>for Future</w:t>
              <w:br/>
              <w:t>Issuance</w:t>
              <w:br/>
              <w:t>Under</w:t>
              <w:br/>
              <w:t>Equity</w:t>
              <w:br/>
              <w:t>Compensation</w:t>
              <w:br/>
              <w:t>Plans</w:t>
              <w:br/>
              <w:t>(Excluding</w:t>
              <w:br/>
              <w:t>Securities</w:t>
              <w:br/>
              <w:t>Reflected in</w:t>
              <w:br/>
              <w:t>Column</w:t>
              <w:br/>
              <w:t>(a))(2)</w:t>
            </w:r>
          </w:p>
        </w:tc>
        <w:tc>
          <w:tcPr>
            <w:tcW w:w="194"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89"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Equity Compensation Plans Approved by Stockholders</w:t>
            </w:r>
          </w:p>
        </w:tc>
        <w:tc>
          <w:tcPr>
            <w:tcW w:w="146" w:type="dxa"/>
            <w:tcBorders/>
            <w:vAlign w:val="center"/>
          </w:tcPr>
          <w:p>
            <w:pPr>
              <w:pStyle w:val="TableContents"/>
              <w:bidi w:val="0"/>
              <w:spacing w:before="0" w:after="0"/>
              <w:ind w:left="0" w:right="0" w:hanging="0"/>
              <w:jc w:val="left"/>
              <w:rPr/>
            </w:pPr>
            <w:r>
              <w:rPr/>
              <w:t> </w:t>
            </w:r>
          </w:p>
        </w:tc>
        <w:tc>
          <w:tcPr>
            <w:tcW w:w="188"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901,959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9"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78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c>
          <w:tcPr>
            <w:tcW w:w="1085"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7,609,402</w:t>
            </w:r>
          </w:p>
        </w:tc>
        <w:tc>
          <w:tcPr>
            <w:tcW w:w="194" w:type="dxa"/>
            <w:tcBorders/>
            <w:vAlign w:val="center"/>
          </w:tcPr>
          <w:p>
            <w:pPr>
              <w:pStyle w:val="TableContents"/>
              <w:bidi w:val="0"/>
              <w:spacing w:before="0" w:after="0"/>
              <w:ind w:left="0" w:right="0" w:hanging="0"/>
              <w:jc w:val="left"/>
              <w:rPr/>
            </w:pPr>
            <w:r>
              <w:rPr/>
              <w:t> </w:t>
            </w:r>
          </w:p>
        </w:tc>
      </w:tr>
      <w:tr>
        <w:trPr/>
        <w:tc>
          <w:tcPr>
            <w:tcW w:w="4289"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Equity Compensation Plans Not Approved by Stockholders</w:t>
            </w:r>
          </w:p>
        </w:tc>
        <w:tc>
          <w:tcPr>
            <w:tcW w:w="146" w:type="dxa"/>
            <w:tcBorders/>
            <w:vAlign w:val="center"/>
          </w:tcPr>
          <w:p>
            <w:pPr>
              <w:pStyle w:val="TableContents"/>
              <w:bidi w:val="0"/>
              <w:spacing w:before="0" w:after="0"/>
              <w:ind w:left="0" w:right="0" w:hanging="0"/>
              <w:jc w:val="left"/>
              <w:rPr/>
            </w:pPr>
            <w:r>
              <w:rPr/>
              <w:t> </w:t>
            </w:r>
          </w:p>
        </w:tc>
        <w:tc>
          <w:tcPr>
            <w:tcW w:w="1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7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289"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Total</w:t>
            </w:r>
          </w:p>
        </w:tc>
        <w:tc>
          <w:tcPr>
            <w:tcW w:w="146" w:type="dxa"/>
            <w:tcBorders/>
            <w:vAlign w:val="center"/>
          </w:tcPr>
          <w:p>
            <w:pPr>
              <w:pStyle w:val="TableContents"/>
              <w:bidi w:val="0"/>
              <w:spacing w:before="0" w:after="0"/>
              <w:ind w:left="0" w:right="0" w:hanging="0"/>
              <w:jc w:val="left"/>
              <w:rPr/>
            </w:pPr>
            <w:r>
              <w:rPr/>
              <w:t> </w:t>
            </w:r>
          </w:p>
        </w:tc>
        <w:tc>
          <w:tcPr>
            <w:tcW w:w="188"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901,959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9"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78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c>
          <w:tcPr>
            <w:tcW w:w="1085"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7,609,402</w:t>
            </w:r>
          </w:p>
        </w:tc>
        <w:tc>
          <w:tcPr>
            <w:tcW w:w="194" w:type="dxa"/>
            <w:tcBorders/>
            <w:vAlign w:val="center"/>
          </w:tcPr>
          <w:p>
            <w:pPr>
              <w:pStyle w:val="TableContents"/>
              <w:bidi w:val="0"/>
              <w:spacing w:before="0" w:after="0"/>
              <w:ind w:left="0" w:right="0" w:hanging="0"/>
              <w:jc w:val="left"/>
              <w:rPr/>
            </w:pPr>
            <w:r>
              <w:rPr/>
              <w:t> </w:t>
            </w:r>
          </w:p>
        </w:tc>
      </w:tr>
      <w:tr>
        <w:trPr/>
        <w:tc>
          <w:tcPr>
            <w:tcW w:w="4289"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88"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11"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25"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76"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4"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16"/>
        </w:rPr>
        <w:t>(1) The weighted average exercise price does not take into account the shares issuable upon vesting of outstanding RSUs, which have no exercise price.</w:t>
      </w:r>
      <w:r>
        <w:rPr>
          <w:rFonts w:ascii="Times New Roman" w:hAnsi="Times New Roman"/>
          <w:sz w:val="20"/>
        </w:rPr>
        <w:t xml:space="preserve"> </w:t>
      </w:r>
    </w:p>
    <w:p>
      <w:pPr>
        <w:pStyle w:val="TextBody"/>
        <w:bidi w:val="0"/>
        <w:spacing w:before="60" w:after="0"/>
        <w:jc w:val="both"/>
        <w:rPr>
          <w:rFonts w:ascii="Arial;sans-serif" w:hAnsi="Arial;sans-serif"/>
          <w:b w:val="false"/>
          <w:sz w:val="16"/>
        </w:rPr>
      </w:pPr>
      <w:r>
        <w:rPr>
          <w:rFonts w:ascii="Arial;sans-serif" w:hAnsi="Arial;sans-serif"/>
          <w:b w:val="false"/>
          <w:sz w:val="16"/>
        </w:rPr>
        <w:t>(2) Under our 2022 Incentive Stock Plan, an aggregate of 4,786,085 shares of our common stock was authorized for issuance pursuant to awards granted under such plan, of which 1,000,000 were authorized under the 2022 plan and 3,786,085 were carried over from the 2013 plan. The number of available shares will be increased by the number of shares with respect to which awards previously granted under such plan are terminated without being exercised, expire, are forfeited or cancelled, do not vest, or are surrendered in payment of any awards or any tax withholding with respect thereto. As of April 30, 2023, the aggregate number of shares of our common stock available for issuance pursuant to awards under the 2022 Incentive Stock Plan was 4,784,449. Our 2021 Employee Stock Purchase Plan authorizes the sale of up to 3,000,000 shares of our common stock to employees. As of April 30, 2023, there were 2,824,953 shares of common stock reserved for issuance under our 2021 Employee Stock Purchase Plan.</w:t>
      </w:r>
    </w:p>
    <w:p>
      <w:pPr>
        <w:pStyle w:val="TextBody"/>
        <w:bidi w:val="0"/>
        <w:spacing w:before="240" w:after="0"/>
        <w:jc w:val="both"/>
        <w:rPr>
          <w:rFonts w:ascii="Arial;sans-serif" w:hAnsi="Arial;sans-serif"/>
          <w:b/>
          <w:sz w:val="28"/>
        </w:rPr>
      </w:pPr>
      <w:r>
        <w:rPr>
          <w:rFonts w:ascii="Arial;sans-serif" w:hAnsi="Arial;sans-serif"/>
          <w:b/>
          <w:sz w:val="28"/>
        </w:rPr>
        <w:t>RETIREMENT PLANS</w:t>
      </w:r>
    </w:p>
    <w:p>
      <w:pPr>
        <w:pStyle w:val="TextBody"/>
        <w:bidi w:val="0"/>
        <w:spacing w:before="0" w:after="0"/>
        <w:jc w:val="both"/>
        <w:rPr>
          <w:rFonts w:ascii="Times New Roman" w:hAnsi="Times New Roman"/>
          <w:sz w:val="20"/>
        </w:rPr>
      </w:pPr>
      <w:r>
        <w:rPr>
          <w:rFonts w:ascii="Arial;sans-serif" w:hAnsi="Arial;sans-serif"/>
          <w:b w:val="false"/>
          <w:sz w:val="20"/>
        </w:rPr>
        <w:t>We maintain our Profit Sharing and Investment Plan (the “401(k) Plan”), a retirement plan intended to be tax-qualified under Section 401(a) of the Code and under which 401(k), Roth, matching, and discretionary profit-sharing contributions are authorized. All profit-sharing contributions vest immediately and all matching contributions vest 50% after one year and 100% after two years. The plan covers substantially all of our employees, including our NEOs, subject to meeting applicable eligibility requirements.</w:t>
      </w:r>
      <w:r>
        <w:rPr>
          <w:rFonts w:ascii="Times New Roman" w:hAnsi="Times New Roman"/>
          <w:sz w:val="20"/>
        </w:rPr>
        <w:t xml:space="preserve"> </w:t>
      </w:r>
    </w:p>
    <w:p>
      <w:pPr>
        <w:pStyle w:val="TextBody"/>
        <w:bidi w:val="0"/>
        <w:spacing w:before="0" w:after="0"/>
        <w:jc w:val="left"/>
        <w:rPr/>
      </w:pPr>
      <w:r>
        <w:rPr/>
        <w:t> </w:t>
      </w:r>
    </w:p>
    <w:tbl>
      <w:tblPr>
        <w:tblW w:w="3762" w:type="dxa"/>
        <w:jc w:val="left"/>
        <w:tblInd w:w="0" w:type="dxa"/>
        <w:tblLayout w:type="fixed"/>
        <w:tblCellMar>
          <w:top w:w="28" w:type="dxa"/>
          <w:left w:w="28" w:type="dxa"/>
          <w:bottom w:w="28" w:type="dxa"/>
          <w:right w:w="28" w:type="dxa"/>
        </w:tblCellMar>
      </w:tblPr>
      <w:tblGrid>
        <w:gridCol w:w="2266"/>
        <w:gridCol w:w="1496"/>
      </w:tblGrid>
      <w:tr>
        <w:trPr/>
        <w:tc>
          <w:tcPr>
            <w:tcW w:w="226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34</w:t>
            </w:r>
            <w:r>
              <w:rPr>
                <w:rFonts w:ascii="Times New Roman" w:hAnsi="Times New Roman"/>
                <w:sz w:val="18"/>
              </w:rPr>
              <w:t> </w:t>
            </w:r>
            <w:r>
              <w:rPr>
                <w:rFonts w:ascii="Arial;sans-serif" w:hAnsi="Arial;sans-serif"/>
                <w:b w:val="false"/>
                <w:sz w:val="18"/>
              </w:rPr>
              <w:t>I 2023 Proxy Statement</w:t>
            </w:r>
          </w:p>
        </w:tc>
        <w:tc>
          <w:tcPr>
            <w:tcW w:w="1496" w:type="dxa"/>
            <w:tcBorders/>
            <w:vAlign w:val="center"/>
          </w:tcPr>
          <w:p>
            <w:pPr>
              <w:pStyle w:val="TableContents"/>
              <w:bidi w:val="0"/>
              <w:spacing w:before="0" w:after="0"/>
              <w:ind w:left="0" w:right="0" w:hanging="0"/>
              <w:jc w:val="right"/>
              <w:rPr/>
            </w:pPr>
            <w:r>
              <w:rPr/>
              <w:drawing>
                <wp:inline distT="0" distB="0" distL="0" distR="0">
                  <wp:extent cx="828675" cy="19050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828675" cy="190500"/>
                          </a:xfrm>
                          <a:prstGeom prst="rect">
                            <a:avLst/>
                          </a:prstGeom>
                        </pic:spPr>
                      </pic:pic>
                    </a:graphicData>
                  </a:graphic>
                </wp:inline>
              </w:drawing>
            </w: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2487" w:type="dxa"/>
        <w:jc w:val="left"/>
        <w:tblInd w:w="0" w:type="dxa"/>
        <w:tblLayout w:type="fixed"/>
        <w:tblCellMar>
          <w:top w:w="28" w:type="dxa"/>
          <w:left w:w="28" w:type="dxa"/>
          <w:bottom w:w="28" w:type="dxa"/>
          <w:right w:w="28" w:type="dxa"/>
        </w:tblCellMar>
      </w:tblPr>
      <w:tblGrid>
        <w:gridCol w:w="2296"/>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Executive Compensation</w:t>
            </w:r>
          </w:p>
        </w:tc>
        <w:tc>
          <w:tcPr>
            <w:tcW w:w="191" w:type="dxa"/>
            <w:tcBorders/>
            <w:vAlign w:val="center"/>
          </w:tcPr>
          <w:p>
            <w:pPr>
              <w:pStyle w:val="TableContents"/>
              <w:bidi w:val="0"/>
              <w:spacing w:before="0" w:after="0"/>
              <w:ind w:left="0" w:right="0" w:hanging="0"/>
              <w:jc w:val="left"/>
              <w:rPr/>
            </w:pPr>
            <w:r>
              <w:rPr/>
              <w:t> </w:t>
            </w:r>
          </w:p>
        </w:tc>
      </w:tr>
      <w:tr>
        <w:trPr/>
        <w:tc>
          <w:tcPr>
            <w:tcW w:w="229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val="false"/>
          <w:sz w:val="20"/>
        </w:rPr>
        <w:t>Employees become eligible to make 401(k) and Roth contributions and to receive matching contributions on the first day of the month after their date of hire. Subject to certain Code limitations, the plan permits non-highly compensated employees to make 401(k) and Roth contributions of up to 100% of their eligible compensation. Subject to certain Code limitations, we make discretionary matching contributions with respect to our employees’ 401(k) and Roth contributions. For the plan years ended April 30, 2023, 2022, and 2021, we made matching contributions equal to 50% of participants’ 401(k) and Roth contributions, up to 6% of their eligible compensation.</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Employees become eligible to receive profit sharing contributions on the first day of the plan year subsequent to when they complete one year of eligible service and must be employed on the last day of the plan year, in order to receive a profit-sharing contribution, if any, for that plan year. For fiscal 2023, we made profit sharing contributions equal to approximately 15.0% of income from operations, excluding profit sharing (as defined under the plan). Profit sharing contributions are allocated to eligible participants in proportion to their eligible compensation (subject to certain Code limitations).</w:t>
      </w:r>
    </w:p>
    <w:p>
      <w:pPr>
        <w:pStyle w:val="TextBody"/>
        <w:bidi w:val="0"/>
        <w:spacing w:before="240" w:after="0"/>
        <w:jc w:val="both"/>
        <w:rPr>
          <w:rFonts w:ascii="Times New Roman" w:hAnsi="Times New Roman"/>
          <w:sz w:val="20"/>
        </w:rPr>
      </w:pPr>
      <w:r>
        <w:rPr>
          <w:rFonts w:ascii="Arial;sans-serif" w:hAnsi="Arial;sans-serif"/>
          <w:b w:val="false"/>
          <w:sz w:val="20"/>
        </w:rPr>
        <w:t>We do not offer any defined benefit pension plan to any of our executive officers.</w:t>
      </w:r>
      <w:r>
        <w:rPr>
          <w:rFonts w:ascii="Times New Roman" w:hAnsi="Times New Roman"/>
          <w:sz w:val="20"/>
        </w:rPr>
        <w:t xml:space="preserve"> </w:t>
      </w:r>
    </w:p>
    <w:p>
      <w:pPr>
        <w:pStyle w:val="TextBody"/>
        <w:bidi w:val="0"/>
        <w:spacing w:before="240" w:after="0"/>
        <w:jc w:val="both"/>
        <w:rPr>
          <w:rFonts w:ascii="Arial;sans-serif" w:hAnsi="Arial;sans-serif"/>
          <w:b/>
          <w:sz w:val="28"/>
        </w:rPr>
      </w:pPr>
      <w:r>
        <w:rPr>
          <w:rFonts w:ascii="Arial;sans-serif" w:hAnsi="Arial;sans-serif"/>
          <w:b/>
          <w:sz w:val="28"/>
        </w:rPr>
        <w:t>NONQUALIFIED DEFERRED COMPENSATION</w:t>
      </w:r>
    </w:p>
    <w:p>
      <w:pPr>
        <w:pStyle w:val="TextBody"/>
        <w:bidi w:val="0"/>
        <w:spacing w:before="0" w:after="0"/>
        <w:jc w:val="both"/>
        <w:rPr>
          <w:rFonts w:ascii="Times New Roman" w:hAnsi="Times New Roman"/>
          <w:sz w:val="20"/>
        </w:rPr>
      </w:pPr>
      <w:r>
        <w:rPr>
          <w:rFonts w:ascii="Arial;sans-serif" w:hAnsi="Arial;sans-serif"/>
          <w:b w:val="false"/>
          <w:sz w:val="20"/>
        </w:rPr>
        <w:t>We offer a Nonqualified Supplemental Deferred Compensation Plan, which is an unfunded deferred compensation plan that is intended to comply with the requirements of Section 409A of the Code and the regulations thereunder (the “Deferred Compensation Plan”). The Deferred Compensation Plan provides deferred compensation benefits to a select group of management or highly compensated employees, as selected (in each case) by us.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The Deferred Compensation Plan allows participants to prospectively elect to defer up to 50% of base salary and up to 100% of certain cash bonuses. In the event that salary deferred into the 401(k) Plan must be returned to a participant under the Code’s 401(k) rules, a comparable amount of salary may be deferred into the plan by the participant if the participant has made such an election. In addition, we make non-elective contributions to the extent necessary to compensate participants for the amount of their “profit sharing” contribution that cannot be made to the 401(k) Plan due to the limitations of Section 415 of the Code. Additional discretionary non-elective contributions may also be made. Participant deferrals and non-elective contributions are, at all times, 100% vested.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Deferrals and non-elective contributions are credited to a deferred compensation account and held in a “rabbi trust” until the occurrence of an applicable distributable event. Distributable amounts are paid in the form of a lump sum cash payment or, for certain distributions, in a fixed number of cash installment payments, as elected by the participant.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The following table sets forth, for our NEOs, earnings, distributions and year-end account balances with respect to the Deferred Compensation Plan.</w:t>
      </w:r>
      <w:r>
        <w:rPr>
          <w:rFonts w:ascii="Times New Roman" w:hAnsi="Times New Roman"/>
          <w:sz w:val="20"/>
        </w:rPr>
        <w:t xml:space="preserve"> </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1022"/>
        <w:gridCol w:w="146"/>
        <w:gridCol w:w="243"/>
        <w:gridCol w:w="861"/>
        <w:gridCol w:w="146"/>
        <w:gridCol w:w="146"/>
        <w:gridCol w:w="335"/>
        <w:gridCol w:w="1029"/>
        <w:gridCol w:w="146"/>
        <w:gridCol w:w="146"/>
        <w:gridCol w:w="334"/>
        <w:gridCol w:w="1026"/>
        <w:gridCol w:w="146"/>
        <w:gridCol w:w="146"/>
        <w:gridCol w:w="294"/>
        <w:gridCol w:w="769"/>
        <w:gridCol w:w="146"/>
        <w:gridCol w:w="146"/>
        <w:gridCol w:w="468"/>
        <w:gridCol w:w="827"/>
        <w:gridCol w:w="146"/>
        <w:gridCol w:w="146"/>
        <w:gridCol w:w="240"/>
        <w:gridCol w:w="853"/>
        <w:gridCol w:w="298"/>
      </w:tblGrid>
      <w:tr>
        <w:trPr/>
        <w:tc>
          <w:tcPr>
            <w:tcW w:w="10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1022"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Name</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4"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Aggregate Balance at Beginning FY</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64"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Registrant Contributions in Last FY</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60"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Employee Contributions in Last FY</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3"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Aggregate Earnings in last FY</w:t>
            </w:r>
          </w:p>
        </w:tc>
        <w:tc>
          <w:tcPr>
            <w:tcW w:w="146" w:type="dxa"/>
            <w:tcBorders/>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95"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Aggregate Withdrawals/ Distributions</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3"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Aggregate Balance at Last FYE (1)</w:t>
            </w:r>
          </w:p>
        </w:tc>
        <w:tc>
          <w:tcPr>
            <w:tcW w:w="298" w:type="dxa"/>
            <w:tcBorders>
              <w:bottom w:val="single" w:sz="18" w:space="0" w:color="000000"/>
            </w:tcBorders>
            <w:tcMar>
              <w:top w:w="0" w:type="dxa"/>
              <w:left w:w="0" w:type="dxa"/>
              <w:right w:w="0" w:type="dxa"/>
            </w:tcMar>
            <w:vAlign w:val="center"/>
          </w:tcPr>
          <w:p>
            <w:pPr>
              <w:pStyle w:val="TableContents"/>
              <w:bidi w:val="0"/>
              <w:spacing w:before="0" w:after="0"/>
              <w:ind w:left="0" w:right="0" w:firstLine="100"/>
              <w:jc w:val="center"/>
              <w:rPr/>
            </w:pPr>
            <w:r>
              <w:rPr/>
              <w:t> </w:t>
            </w:r>
          </w:p>
        </w:tc>
      </w:tr>
      <w:tr>
        <w:trPr/>
        <w:tc>
          <w:tcPr>
            <w:tcW w:w="1022" w:type="dxa"/>
            <w:tcBorders/>
            <w:vAlign w:val="center"/>
          </w:tcPr>
          <w:p>
            <w:pPr>
              <w:pStyle w:val="TableContents"/>
              <w:bidi w:val="0"/>
              <w:spacing w:before="0" w:after="0"/>
              <w:ind w:left="100" w:right="0" w:hanging="0"/>
              <w:jc w:val="left"/>
              <w:rPr>
                <w:rFonts w:ascii="Arial;sans-serif" w:hAnsi="Arial;sans-serif"/>
                <w:b w:val="false"/>
                <w:sz w:val="16"/>
              </w:rPr>
            </w:pPr>
            <w:r>
              <w:rPr>
                <w:rFonts w:ascii="Arial;sans-serif" w:hAnsi="Arial;sans-serif"/>
                <w:b w:val="false"/>
                <w:sz w:val="16"/>
              </w:rPr>
              <w:t>Mark P. Smith</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6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38,252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02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13,950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4"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0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top w:val="single" w:sz="18" w:space="0" w:color="000000"/>
            </w:tcBorders>
            <w:tcMar>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769" w:type="dxa"/>
            <w:tcBorders>
              <w:top w:val="single" w:sz="18" w:space="0" w:color="000000"/>
            </w:tcBorders>
            <w:tcMar>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1,176</w:t>
            </w:r>
          </w:p>
        </w:tc>
        <w:tc>
          <w:tcPr>
            <w:tcW w:w="146" w:type="dxa"/>
            <w:tcBorders>
              <w:top w:val="single" w:sz="18"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2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53"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53,377</w:t>
            </w:r>
          </w:p>
        </w:tc>
        <w:tc>
          <w:tcPr>
            <w:tcW w:w="298" w:type="dxa"/>
            <w:tcBorders/>
            <w:vAlign w:val="center"/>
          </w:tcPr>
          <w:p>
            <w:pPr>
              <w:pStyle w:val="TableContents"/>
              <w:bidi w:val="0"/>
              <w:spacing w:before="0" w:after="0"/>
              <w:ind w:left="0" w:right="0" w:firstLine="100"/>
              <w:jc w:val="left"/>
              <w:rPr/>
            </w:pPr>
            <w:r>
              <w:rPr/>
              <w:t> </w:t>
            </w:r>
          </w:p>
        </w:tc>
      </w:tr>
      <w:tr>
        <w:trPr/>
        <w:tc>
          <w:tcPr>
            <w:tcW w:w="1022" w:type="dxa"/>
            <w:tcBorders/>
            <w:vAlign w:val="center"/>
          </w:tcPr>
          <w:p>
            <w:pPr>
              <w:pStyle w:val="TableContents"/>
              <w:bidi w:val="0"/>
              <w:spacing w:before="0" w:after="0"/>
              <w:ind w:left="100" w:right="0" w:hanging="0"/>
              <w:jc w:val="left"/>
              <w:rPr>
                <w:rFonts w:ascii="Arial;sans-serif" w:hAnsi="Arial;sans-serif"/>
                <w:b w:val="false"/>
                <w:sz w:val="16"/>
              </w:rPr>
            </w:pPr>
            <w:r>
              <w:rPr>
                <w:rFonts w:ascii="Arial;sans-serif" w:hAnsi="Arial;sans-serif"/>
                <w:b w:val="false"/>
                <w:sz w:val="16"/>
              </w:rPr>
              <w:t>Deana L. McPherson</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6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321,064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02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11,427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4"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0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38,934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76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8,869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2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53"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380,294</w:t>
            </w:r>
          </w:p>
        </w:tc>
        <w:tc>
          <w:tcPr>
            <w:tcW w:w="298" w:type="dxa"/>
            <w:tcBorders/>
            <w:vAlign w:val="center"/>
          </w:tcPr>
          <w:p>
            <w:pPr>
              <w:pStyle w:val="TableContents"/>
              <w:bidi w:val="0"/>
              <w:spacing w:before="0" w:after="0"/>
              <w:ind w:left="0" w:right="0" w:firstLine="100"/>
              <w:jc w:val="left"/>
              <w:rPr/>
            </w:pPr>
            <w:r>
              <w:rPr/>
              <w:t> </w:t>
            </w:r>
          </w:p>
        </w:tc>
      </w:tr>
      <w:tr>
        <w:trPr/>
        <w:tc>
          <w:tcPr>
            <w:tcW w:w="1022" w:type="dxa"/>
            <w:tcBorders/>
            <w:vAlign w:val="center"/>
          </w:tcPr>
          <w:p>
            <w:pPr>
              <w:pStyle w:val="TableContents"/>
              <w:bidi w:val="0"/>
              <w:spacing w:before="0" w:after="0"/>
              <w:ind w:left="100" w:right="0" w:hanging="0"/>
              <w:jc w:val="left"/>
              <w:rPr>
                <w:rFonts w:ascii="Arial;sans-serif" w:hAnsi="Arial;sans-serif"/>
                <w:b w:val="false"/>
                <w:sz w:val="16"/>
              </w:rPr>
            </w:pPr>
            <w:r>
              <w:rPr>
                <w:rFonts w:ascii="Arial;sans-serif" w:hAnsi="Arial;sans-serif"/>
                <w:b w:val="false"/>
                <w:sz w:val="16"/>
              </w:rPr>
              <w:t>Kevin A. Maxwell</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02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4"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0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76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2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53" w:type="dxa"/>
            <w:tcBorders/>
            <w:vAlign w:val="center"/>
          </w:tcPr>
          <w:p>
            <w:pPr>
              <w:pStyle w:val="TableContents"/>
              <w:bidi w:val="0"/>
              <w:spacing w:before="0" w:after="0"/>
              <w:ind w:left="0" w:right="0" w:hanging="0"/>
              <w:jc w:val="right"/>
              <w:rPr/>
            </w:pPr>
            <w:r>
              <w:rPr/>
              <w:t>—</w:t>
            </w:r>
          </w:p>
        </w:tc>
        <w:tc>
          <w:tcPr>
            <w:tcW w:w="298" w:type="dxa"/>
            <w:tcBorders/>
            <w:vAlign w:val="center"/>
          </w:tcPr>
          <w:p>
            <w:pPr>
              <w:pStyle w:val="TableContents"/>
              <w:bidi w:val="0"/>
              <w:spacing w:before="0" w:after="0"/>
              <w:ind w:left="0" w:right="0" w:firstLine="100"/>
              <w:jc w:val="left"/>
              <w:rPr/>
            </w:pPr>
            <w:r>
              <w:rPr/>
              <w:t> </w:t>
            </w:r>
          </w:p>
        </w:tc>
      </w:tr>
      <w:tr>
        <w:trPr/>
        <w:tc>
          <w:tcPr>
            <w:tcW w:w="1022" w:type="dxa"/>
            <w:tcBorders/>
            <w:vAlign w:val="center"/>
          </w:tcPr>
          <w:p>
            <w:pPr>
              <w:pStyle w:val="TableContents"/>
              <w:bidi w:val="0"/>
              <w:spacing w:before="0" w:after="0"/>
              <w:ind w:left="100" w:right="0" w:hanging="0"/>
              <w:jc w:val="left"/>
              <w:rPr>
                <w:rFonts w:ascii="Arial;sans-serif" w:hAnsi="Arial;sans-serif"/>
                <w:b w:val="false"/>
                <w:sz w:val="16"/>
              </w:rPr>
            </w:pPr>
            <w:r>
              <w:rPr>
                <w:rFonts w:ascii="Arial;sans-serif" w:hAnsi="Arial;sans-serif"/>
                <w:b w:val="false"/>
                <w:sz w:val="16"/>
              </w:rPr>
              <w:t>Susan J. Cupero</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6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3,646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02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3,017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4"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0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76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2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53"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6,738</w:t>
            </w:r>
          </w:p>
        </w:tc>
        <w:tc>
          <w:tcPr>
            <w:tcW w:w="298" w:type="dxa"/>
            <w:tcBorders/>
            <w:vAlign w:val="center"/>
          </w:tcPr>
          <w:p>
            <w:pPr>
              <w:pStyle w:val="TableContents"/>
              <w:bidi w:val="0"/>
              <w:spacing w:before="0" w:after="0"/>
              <w:ind w:left="0" w:right="0" w:hanging="0"/>
              <w:jc w:val="left"/>
              <w:rPr/>
            </w:pPr>
            <w:r>
              <w:rPr/>
              <w:t> </w:t>
            </w:r>
          </w:p>
        </w:tc>
      </w:tr>
      <w:tr>
        <w:trPr/>
        <w:tc>
          <w:tcPr>
            <w:tcW w:w="10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6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left"/>
        <w:rPr>
          <w:rFonts w:ascii="Times New Roman" w:hAnsi="Times New Roman"/>
          <w:sz w:val="20"/>
        </w:rPr>
      </w:pPr>
      <w:r>
        <w:rPr>
          <w:rFonts w:ascii="Arial;sans-serif" w:hAnsi="Arial;sans-serif"/>
          <w:b w:val="false"/>
          <w:sz w:val="16"/>
        </w:rPr>
        <w:t>(1) Earnings reported in the aggregate balance at last fiscal year end were not reported as compensation to the NEO in the Summary Compensation Table for previous years because no above-market or preferential earnings on any nonqualified deferred compensation were paid to our NEOs.</w:t>
      </w:r>
      <w:r>
        <w:rPr>
          <w:rFonts w:ascii="Times New Roman" w:hAnsi="Times New Roman"/>
          <w:sz w:val="20"/>
        </w:rPr>
        <w:t xml:space="preserve"> </w:t>
      </w:r>
    </w:p>
    <w:p>
      <w:pPr>
        <w:pStyle w:val="TextBody"/>
        <w:bidi w:val="0"/>
        <w:spacing w:before="0" w:after="0"/>
        <w:jc w:val="left"/>
        <w:rPr/>
      </w:pPr>
      <w:r>
        <w:rPr/>
        <w:t> </w:t>
      </w:r>
    </w:p>
    <w:tbl>
      <w:tblPr>
        <w:tblW w:w="3762" w:type="dxa"/>
        <w:jc w:val="left"/>
        <w:tblInd w:w="0" w:type="dxa"/>
        <w:tblLayout w:type="fixed"/>
        <w:tblCellMar>
          <w:top w:w="28" w:type="dxa"/>
          <w:left w:w="28" w:type="dxa"/>
          <w:bottom w:w="28" w:type="dxa"/>
          <w:right w:w="28" w:type="dxa"/>
        </w:tblCellMar>
      </w:tblPr>
      <w:tblGrid>
        <w:gridCol w:w="2266"/>
        <w:gridCol w:w="1496"/>
      </w:tblGrid>
      <w:tr>
        <w:trPr/>
        <w:tc>
          <w:tcPr>
            <w:tcW w:w="226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35</w:t>
            </w:r>
            <w:r>
              <w:rPr>
                <w:rFonts w:ascii="Times New Roman" w:hAnsi="Times New Roman"/>
                <w:sz w:val="18"/>
              </w:rPr>
              <w:t> </w:t>
            </w:r>
            <w:r>
              <w:rPr>
                <w:rFonts w:ascii="Arial;sans-serif" w:hAnsi="Arial;sans-serif"/>
                <w:b w:val="false"/>
                <w:sz w:val="18"/>
              </w:rPr>
              <w:t>I 2023 Proxy Statement</w:t>
            </w:r>
          </w:p>
        </w:tc>
        <w:tc>
          <w:tcPr>
            <w:tcW w:w="1496" w:type="dxa"/>
            <w:tcBorders/>
            <w:vAlign w:val="center"/>
          </w:tcPr>
          <w:p>
            <w:pPr>
              <w:pStyle w:val="TableContents"/>
              <w:bidi w:val="0"/>
              <w:spacing w:before="0" w:after="0"/>
              <w:ind w:left="0" w:right="0" w:hanging="0"/>
              <w:jc w:val="right"/>
              <w:rPr/>
            </w:pPr>
            <w:r>
              <w:rPr/>
              <w:drawing>
                <wp:inline distT="0" distB="0" distL="0" distR="0">
                  <wp:extent cx="828675" cy="19050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828675" cy="190500"/>
                          </a:xfrm>
                          <a:prstGeom prst="rect">
                            <a:avLst/>
                          </a:prstGeom>
                        </pic:spPr>
                      </pic:pic>
                    </a:graphicData>
                  </a:graphic>
                </wp:inline>
              </w:drawing>
            </w: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2487" w:type="dxa"/>
        <w:jc w:val="left"/>
        <w:tblInd w:w="0" w:type="dxa"/>
        <w:tblLayout w:type="fixed"/>
        <w:tblCellMar>
          <w:top w:w="28" w:type="dxa"/>
          <w:left w:w="28" w:type="dxa"/>
          <w:bottom w:w="28" w:type="dxa"/>
          <w:right w:w="28" w:type="dxa"/>
        </w:tblCellMar>
      </w:tblPr>
      <w:tblGrid>
        <w:gridCol w:w="2296"/>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Executive Compensation</w:t>
            </w:r>
          </w:p>
        </w:tc>
        <w:tc>
          <w:tcPr>
            <w:tcW w:w="191" w:type="dxa"/>
            <w:tcBorders/>
            <w:vAlign w:val="center"/>
          </w:tcPr>
          <w:p>
            <w:pPr>
              <w:pStyle w:val="TableContents"/>
              <w:bidi w:val="0"/>
              <w:spacing w:before="0" w:after="0"/>
              <w:ind w:left="0" w:right="0" w:hanging="0"/>
              <w:jc w:val="left"/>
              <w:rPr/>
            </w:pPr>
            <w:r>
              <w:rPr/>
              <w:t> </w:t>
            </w:r>
          </w:p>
        </w:tc>
      </w:tr>
      <w:tr>
        <w:trPr/>
        <w:tc>
          <w:tcPr>
            <w:tcW w:w="229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left"/>
        <w:rPr>
          <w:rFonts w:ascii="Arial;sans-serif" w:hAnsi="Arial;sans-serif"/>
          <w:b/>
          <w:sz w:val="28"/>
        </w:rPr>
      </w:pPr>
      <w:r>
        <w:rPr>
          <w:rFonts w:ascii="Arial;sans-serif" w:hAnsi="Arial;sans-serif"/>
          <w:b/>
          <w:sz w:val="28"/>
        </w:rPr>
        <w:t>POTENTIAL PAYMENTS UPON TERMINATION OR CHANGE IN CONTROL</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210"/>
        <w:gridCol w:w="146"/>
        <w:gridCol w:w="1914"/>
        <w:gridCol w:w="146"/>
        <w:gridCol w:w="263"/>
        <w:gridCol w:w="1049"/>
        <w:gridCol w:w="146"/>
        <w:gridCol w:w="267"/>
        <w:gridCol w:w="351"/>
        <w:gridCol w:w="1402"/>
        <w:gridCol w:w="146"/>
        <w:gridCol w:w="267"/>
        <w:gridCol w:w="299"/>
        <w:gridCol w:w="572"/>
        <w:gridCol w:w="146"/>
        <w:gridCol w:w="146"/>
        <w:gridCol w:w="181"/>
        <w:gridCol w:w="346"/>
        <w:gridCol w:w="146"/>
        <w:gridCol w:w="146"/>
        <w:gridCol w:w="247"/>
        <w:gridCol w:w="474"/>
        <w:gridCol w:w="195"/>
      </w:tblGrid>
      <w:tr>
        <w:trPr/>
        <w:tc>
          <w:tcPr>
            <w:tcW w:w="12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210"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sz w:val="14"/>
              </w:rPr>
            </w:pPr>
            <w:r>
              <w:rPr>
                <w:rFonts w:ascii="Arial;sans-serif" w:hAnsi="Arial;sans-serif"/>
                <w:b/>
                <w:sz w:val="14"/>
              </w:rPr>
              <w:t>Name</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4"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sz w:val="14"/>
              </w:rPr>
            </w:pPr>
            <w:r>
              <w:rPr>
                <w:rFonts w:ascii="Arial;sans-serif" w:hAnsi="Arial;sans-serif"/>
                <w:b/>
                <w:sz w:val="14"/>
              </w:rPr>
              <w:t>Executive Benefits and</w:t>
              <w:br/>
              <w:t>Payments Upon Separation</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12"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Termination Not for</w:t>
              <w:br/>
              <w:t>Cause, or for</w:t>
              <w:br/>
              <w:t>Good Reason - No</w:t>
              <w:br/>
              <w:t>Change of Control</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67"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53"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Termination Not for Cause,</w:t>
              <w:br/>
              <w:t xml:space="preserve">or Upon Resignation - </w:t>
              <w:br/>
              <w:t>Change of Control</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67"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1"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Voluntary</w:t>
              <w:br/>
              <w:t>Termination</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7"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Death</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Disability</w:t>
            </w:r>
          </w:p>
        </w:tc>
        <w:tc>
          <w:tcPr>
            <w:tcW w:w="195"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10"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Mark P. Smith</w:t>
            </w:r>
          </w:p>
        </w:tc>
        <w:tc>
          <w:tcPr>
            <w:tcW w:w="146" w:type="dxa"/>
            <w:tcBorders/>
            <w:vAlign w:val="center"/>
          </w:tcPr>
          <w:p>
            <w:pPr>
              <w:pStyle w:val="TableContents"/>
              <w:bidi w:val="0"/>
              <w:spacing w:before="0" w:after="0"/>
              <w:ind w:left="0" w:right="0" w:hanging="0"/>
              <w:jc w:val="left"/>
              <w:rPr/>
            </w:pPr>
            <w:r>
              <w:rPr/>
              <w:t> </w:t>
            </w:r>
          </w:p>
        </w:tc>
        <w:tc>
          <w:tcPr>
            <w:tcW w:w="1914" w:type="dxa"/>
            <w:tcBorders/>
            <w:vAlign w:val="center"/>
          </w:tcPr>
          <w:p>
            <w:pPr>
              <w:pStyle w:val="TableContents"/>
              <w:bidi w:val="0"/>
              <w:spacing w:before="0" w:after="0"/>
              <w:ind w:left="0" w:right="0" w:hanging="0"/>
              <w:jc w:val="left"/>
              <w:rPr>
                <w:rFonts w:ascii="Arial;sans-serif" w:hAnsi="Arial;sans-serif"/>
                <w:b/>
                <w:sz w:val="14"/>
              </w:rPr>
            </w:pPr>
            <w:r>
              <w:rPr>
                <w:rFonts w:ascii="Arial;sans-serif" w:hAnsi="Arial;sans-serif"/>
                <w:b/>
                <w:sz w:val="14"/>
              </w:rPr>
              <w:t>Compensation:</w:t>
            </w:r>
          </w:p>
        </w:tc>
        <w:tc>
          <w:tcPr>
            <w:tcW w:w="146" w:type="dxa"/>
            <w:tcBorders/>
            <w:vAlign w:val="center"/>
          </w:tcPr>
          <w:p>
            <w:pPr>
              <w:pStyle w:val="TableContents"/>
              <w:bidi w:val="0"/>
              <w:spacing w:before="0" w:after="0"/>
              <w:ind w:left="0" w:right="0" w:hanging="0"/>
              <w:jc w:val="left"/>
              <w:rPr/>
            </w:pPr>
            <w:r>
              <w:rPr/>
              <w:t> </w:t>
            </w:r>
          </w:p>
        </w:tc>
        <w:tc>
          <w:tcPr>
            <w:tcW w:w="13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1753"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left"/>
              <w:rPr/>
            </w:pPr>
            <w:r>
              <w:rPr/>
              <w:t> </w:t>
            </w:r>
          </w:p>
        </w:tc>
        <w:tc>
          <w:tcPr>
            <w:tcW w:w="195" w:type="dxa"/>
            <w:tcBorders/>
            <w:vAlign w:val="center"/>
          </w:tcPr>
          <w:p>
            <w:pPr>
              <w:pStyle w:val="TableContents"/>
              <w:bidi w:val="0"/>
              <w:spacing w:before="0" w:after="0"/>
              <w:ind w:left="0" w:right="0" w:hanging="0"/>
              <w:jc w:val="left"/>
              <w:rPr/>
            </w:pPr>
            <w:r>
              <w:rPr/>
              <w:t> </w:t>
            </w:r>
          </w:p>
        </w:tc>
      </w:tr>
      <w:tr>
        <w:trPr/>
        <w:tc>
          <w:tcPr>
            <w:tcW w:w="12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4"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Cash severance</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049"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1,081,500</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(1)</w:t>
            </w:r>
          </w:p>
        </w:tc>
        <w:tc>
          <w:tcPr>
            <w:tcW w:w="35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02"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2,054,843</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(2)</w:t>
            </w:r>
          </w:p>
        </w:tc>
        <w:tc>
          <w:tcPr>
            <w:tcW w:w="299"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57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474" w:type="dxa"/>
            <w:tcBorders/>
            <w:vAlign w:val="center"/>
          </w:tcPr>
          <w:p>
            <w:pPr>
              <w:pStyle w:val="TableContents"/>
              <w:bidi w:val="0"/>
              <w:spacing w:before="0" w:after="0"/>
              <w:ind w:left="0" w:right="0" w:hanging="0"/>
              <w:jc w:val="right"/>
              <w:rPr/>
            </w:pPr>
            <w:r>
              <w:rPr/>
              <w:t>—</w:t>
            </w:r>
          </w:p>
        </w:tc>
        <w:tc>
          <w:tcPr>
            <w:tcW w:w="195" w:type="dxa"/>
            <w:tcBorders/>
            <w:vAlign w:val="center"/>
          </w:tcPr>
          <w:p>
            <w:pPr>
              <w:pStyle w:val="TableContents"/>
              <w:bidi w:val="0"/>
              <w:spacing w:before="0" w:after="0"/>
              <w:ind w:left="0" w:right="0" w:hanging="0"/>
              <w:jc w:val="left"/>
              <w:rPr/>
            </w:pPr>
            <w:r>
              <w:rPr/>
              <w:t> </w:t>
            </w:r>
          </w:p>
        </w:tc>
      </w:tr>
      <w:tr>
        <w:trPr/>
        <w:tc>
          <w:tcPr>
            <w:tcW w:w="12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4"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Bonus (3)</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04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57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474" w:type="dxa"/>
            <w:tcBorders/>
            <w:vAlign w:val="center"/>
          </w:tcPr>
          <w:p>
            <w:pPr>
              <w:pStyle w:val="TableContents"/>
              <w:bidi w:val="0"/>
              <w:spacing w:before="0" w:after="0"/>
              <w:ind w:left="0" w:right="0" w:hanging="0"/>
              <w:jc w:val="right"/>
              <w:rPr/>
            </w:pPr>
            <w:r>
              <w:rPr/>
              <w:t>—</w:t>
            </w:r>
          </w:p>
        </w:tc>
        <w:tc>
          <w:tcPr>
            <w:tcW w:w="195" w:type="dxa"/>
            <w:tcBorders/>
            <w:vAlign w:val="center"/>
          </w:tcPr>
          <w:p>
            <w:pPr>
              <w:pStyle w:val="TableContents"/>
              <w:bidi w:val="0"/>
              <w:spacing w:before="0" w:after="0"/>
              <w:ind w:left="0" w:right="0" w:hanging="0"/>
              <w:jc w:val="left"/>
              <w:rPr/>
            </w:pPr>
            <w:r>
              <w:rPr/>
              <w:t> </w:t>
            </w:r>
          </w:p>
        </w:tc>
      </w:tr>
      <w:tr>
        <w:trPr/>
        <w:tc>
          <w:tcPr>
            <w:tcW w:w="12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4"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Equity Awards</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049"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1,236,678</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(4)</w:t>
            </w:r>
          </w:p>
        </w:tc>
        <w:tc>
          <w:tcPr>
            <w:tcW w:w="35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02"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1,236,678</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(5)</w:t>
            </w:r>
          </w:p>
        </w:tc>
        <w:tc>
          <w:tcPr>
            <w:tcW w:w="299"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57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474" w:type="dxa"/>
            <w:tcBorders/>
            <w:vAlign w:val="center"/>
          </w:tcPr>
          <w:p>
            <w:pPr>
              <w:pStyle w:val="TableContents"/>
              <w:bidi w:val="0"/>
              <w:spacing w:before="0" w:after="0"/>
              <w:ind w:left="0" w:right="0" w:hanging="0"/>
              <w:jc w:val="right"/>
              <w:rPr/>
            </w:pPr>
            <w:r>
              <w:rPr/>
              <w:t>—</w:t>
            </w:r>
          </w:p>
        </w:tc>
        <w:tc>
          <w:tcPr>
            <w:tcW w:w="195" w:type="dxa"/>
            <w:tcBorders/>
            <w:vAlign w:val="center"/>
          </w:tcPr>
          <w:p>
            <w:pPr>
              <w:pStyle w:val="TableContents"/>
              <w:bidi w:val="0"/>
              <w:spacing w:before="0" w:after="0"/>
              <w:ind w:left="0" w:right="0" w:hanging="0"/>
              <w:jc w:val="left"/>
              <w:rPr/>
            </w:pPr>
            <w:r>
              <w:rPr/>
              <w:t> </w:t>
            </w:r>
          </w:p>
        </w:tc>
      </w:tr>
      <w:tr>
        <w:trPr/>
        <w:tc>
          <w:tcPr>
            <w:tcW w:w="12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4" w:type="dxa"/>
            <w:tcBorders/>
            <w:vAlign w:val="center"/>
          </w:tcPr>
          <w:p>
            <w:pPr>
              <w:pStyle w:val="TableContents"/>
              <w:bidi w:val="0"/>
              <w:spacing w:before="0" w:after="0"/>
              <w:ind w:left="0" w:right="0" w:hanging="0"/>
              <w:jc w:val="left"/>
              <w:rPr>
                <w:rFonts w:ascii="Arial;sans-serif" w:hAnsi="Arial;sans-serif"/>
                <w:b/>
                <w:sz w:val="14"/>
              </w:rPr>
            </w:pPr>
            <w:r>
              <w:rPr>
                <w:rFonts w:ascii="Arial;sans-serif" w:hAnsi="Arial;sans-serif"/>
                <w:b/>
                <w:sz w:val="14"/>
              </w:rPr>
              <w:t>Benefits and Perquisites:</w:t>
            </w:r>
          </w:p>
        </w:tc>
        <w:tc>
          <w:tcPr>
            <w:tcW w:w="146" w:type="dxa"/>
            <w:tcBorders/>
            <w:vAlign w:val="center"/>
          </w:tcPr>
          <w:p>
            <w:pPr>
              <w:pStyle w:val="TableContents"/>
              <w:bidi w:val="0"/>
              <w:spacing w:before="0" w:after="0"/>
              <w:ind w:left="0" w:right="0" w:hanging="0"/>
              <w:jc w:val="left"/>
              <w:rPr/>
            </w:pPr>
            <w:r>
              <w:rPr/>
              <w:t> </w:t>
            </w:r>
          </w:p>
        </w:tc>
        <w:tc>
          <w:tcPr>
            <w:tcW w:w="13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1753"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left"/>
              <w:rPr/>
            </w:pPr>
            <w:r>
              <w:rPr/>
              <w:t> </w:t>
            </w:r>
          </w:p>
        </w:tc>
        <w:tc>
          <w:tcPr>
            <w:tcW w:w="195" w:type="dxa"/>
            <w:tcBorders/>
            <w:vAlign w:val="center"/>
          </w:tcPr>
          <w:p>
            <w:pPr>
              <w:pStyle w:val="TableContents"/>
              <w:bidi w:val="0"/>
              <w:spacing w:before="0" w:after="0"/>
              <w:ind w:left="0" w:right="0" w:hanging="0"/>
              <w:jc w:val="left"/>
              <w:rPr/>
            </w:pPr>
            <w:r>
              <w:rPr/>
              <w:t> </w:t>
            </w:r>
          </w:p>
        </w:tc>
      </w:tr>
      <w:tr>
        <w:trPr/>
        <w:tc>
          <w:tcPr>
            <w:tcW w:w="12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4"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Health and welfare benefits (6)</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049"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43,025</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02"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43,025</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57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474" w:type="dxa"/>
            <w:tcBorders/>
            <w:vAlign w:val="center"/>
          </w:tcPr>
          <w:p>
            <w:pPr>
              <w:pStyle w:val="TableContents"/>
              <w:bidi w:val="0"/>
              <w:spacing w:before="0" w:after="0"/>
              <w:ind w:left="0" w:right="0" w:hanging="0"/>
              <w:jc w:val="right"/>
              <w:rPr/>
            </w:pPr>
            <w:r>
              <w:rPr/>
              <w:t>—</w:t>
            </w:r>
          </w:p>
        </w:tc>
        <w:tc>
          <w:tcPr>
            <w:tcW w:w="195" w:type="dxa"/>
            <w:tcBorders/>
            <w:vAlign w:val="center"/>
          </w:tcPr>
          <w:p>
            <w:pPr>
              <w:pStyle w:val="TableContents"/>
              <w:bidi w:val="0"/>
              <w:spacing w:before="0" w:after="0"/>
              <w:ind w:left="0" w:right="0" w:hanging="0"/>
              <w:jc w:val="left"/>
              <w:rPr/>
            </w:pPr>
            <w:r>
              <w:rPr/>
              <w:t> </w:t>
            </w:r>
          </w:p>
        </w:tc>
      </w:tr>
      <w:tr>
        <w:trPr/>
        <w:tc>
          <w:tcPr>
            <w:tcW w:w="12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4"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Other (7)</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049"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27,000</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02"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27,000</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57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474" w:type="dxa"/>
            <w:tcBorders/>
            <w:vAlign w:val="center"/>
          </w:tcPr>
          <w:p>
            <w:pPr>
              <w:pStyle w:val="TableContents"/>
              <w:bidi w:val="0"/>
              <w:spacing w:before="0" w:after="0"/>
              <w:ind w:left="0" w:right="0" w:hanging="0"/>
              <w:jc w:val="right"/>
              <w:rPr/>
            </w:pPr>
            <w:r>
              <w:rPr/>
              <w:t>—</w:t>
            </w:r>
          </w:p>
        </w:tc>
        <w:tc>
          <w:tcPr>
            <w:tcW w:w="195" w:type="dxa"/>
            <w:tcBorders/>
            <w:vAlign w:val="center"/>
          </w:tcPr>
          <w:p>
            <w:pPr>
              <w:pStyle w:val="TableContents"/>
              <w:bidi w:val="0"/>
              <w:spacing w:before="0" w:after="0"/>
              <w:ind w:left="0" w:right="0" w:hanging="0"/>
              <w:jc w:val="left"/>
              <w:rPr/>
            </w:pPr>
            <w:r>
              <w:rPr/>
              <w:t> </w:t>
            </w:r>
          </w:p>
        </w:tc>
      </w:tr>
      <w:tr>
        <w:trPr/>
        <w:tc>
          <w:tcPr>
            <w:tcW w:w="12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1753"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left"/>
              <w:rPr/>
            </w:pPr>
            <w:r>
              <w:rPr/>
              <w:t> </w:t>
            </w:r>
          </w:p>
        </w:tc>
        <w:tc>
          <w:tcPr>
            <w:tcW w:w="195" w:type="dxa"/>
            <w:tcBorders/>
            <w:vAlign w:val="center"/>
          </w:tcPr>
          <w:p>
            <w:pPr>
              <w:pStyle w:val="TableContents"/>
              <w:bidi w:val="0"/>
              <w:spacing w:before="0" w:after="0"/>
              <w:ind w:left="0" w:right="0" w:hanging="0"/>
              <w:jc w:val="left"/>
              <w:rPr/>
            </w:pPr>
            <w:r>
              <w:rPr/>
              <w:t> </w:t>
            </w:r>
          </w:p>
        </w:tc>
      </w:tr>
      <w:tr>
        <w:trPr/>
        <w:tc>
          <w:tcPr>
            <w:tcW w:w="1210"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Deana McPherson</w:t>
            </w:r>
          </w:p>
        </w:tc>
        <w:tc>
          <w:tcPr>
            <w:tcW w:w="146" w:type="dxa"/>
            <w:tcBorders/>
            <w:vAlign w:val="center"/>
          </w:tcPr>
          <w:p>
            <w:pPr>
              <w:pStyle w:val="TableContents"/>
              <w:bidi w:val="0"/>
              <w:spacing w:before="0" w:after="0"/>
              <w:ind w:left="0" w:right="0" w:hanging="0"/>
              <w:jc w:val="left"/>
              <w:rPr/>
            </w:pPr>
            <w:r>
              <w:rPr/>
              <w:t> </w:t>
            </w:r>
          </w:p>
        </w:tc>
        <w:tc>
          <w:tcPr>
            <w:tcW w:w="1914" w:type="dxa"/>
            <w:tcBorders/>
            <w:vAlign w:val="center"/>
          </w:tcPr>
          <w:p>
            <w:pPr>
              <w:pStyle w:val="TableContents"/>
              <w:bidi w:val="0"/>
              <w:spacing w:before="0" w:after="0"/>
              <w:ind w:left="0" w:right="0" w:hanging="0"/>
              <w:jc w:val="left"/>
              <w:rPr>
                <w:rFonts w:ascii="Arial;sans-serif" w:hAnsi="Arial;sans-serif"/>
                <w:b/>
                <w:sz w:val="14"/>
              </w:rPr>
            </w:pPr>
            <w:r>
              <w:rPr>
                <w:rFonts w:ascii="Arial;sans-serif" w:hAnsi="Arial;sans-serif"/>
                <w:b/>
                <w:sz w:val="14"/>
              </w:rPr>
              <w:t>Compensation:</w:t>
            </w:r>
          </w:p>
        </w:tc>
        <w:tc>
          <w:tcPr>
            <w:tcW w:w="146" w:type="dxa"/>
            <w:tcBorders/>
            <w:vAlign w:val="center"/>
          </w:tcPr>
          <w:p>
            <w:pPr>
              <w:pStyle w:val="TableContents"/>
              <w:bidi w:val="0"/>
              <w:spacing w:before="0" w:after="0"/>
              <w:ind w:left="0" w:right="0" w:hanging="0"/>
              <w:jc w:val="left"/>
              <w:rPr/>
            </w:pPr>
            <w:r>
              <w:rPr/>
              <w:t> </w:t>
            </w:r>
          </w:p>
        </w:tc>
        <w:tc>
          <w:tcPr>
            <w:tcW w:w="13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1753"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left"/>
              <w:rPr/>
            </w:pPr>
            <w:r>
              <w:rPr/>
              <w:t> </w:t>
            </w:r>
          </w:p>
        </w:tc>
        <w:tc>
          <w:tcPr>
            <w:tcW w:w="195" w:type="dxa"/>
            <w:tcBorders/>
            <w:vAlign w:val="center"/>
          </w:tcPr>
          <w:p>
            <w:pPr>
              <w:pStyle w:val="TableContents"/>
              <w:bidi w:val="0"/>
              <w:spacing w:before="0" w:after="0"/>
              <w:ind w:left="0" w:right="0" w:hanging="0"/>
              <w:jc w:val="left"/>
              <w:rPr/>
            </w:pPr>
            <w:r>
              <w:rPr/>
              <w:t> </w:t>
            </w:r>
          </w:p>
        </w:tc>
      </w:tr>
      <w:tr>
        <w:trPr/>
        <w:tc>
          <w:tcPr>
            <w:tcW w:w="12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4"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Cash severance</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049"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206,000</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(8)</w:t>
            </w:r>
          </w:p>
        </w:tc>
        <w:tc>
          <w:tcPr>
            <w:tcW w:w="35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02"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671,558</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(9)</w:t>
            </w:r>
          </w:p>
        </w:tc>
        <w:tc>
          <w:tcPr>
            <w:tcW w:w="299"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57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474" w:type="dxa"/>
            <w:tcBorders/>
            <w:vAlign w:val="center"/>
          </w:tcPr>
          <w:p>
            <w:pPr>
              <w:pStyle w:val="TableContents"/>
              <w:bidi w:val="0"/>
              <w:spacing w:before="0" w:after="0"/>
              <w:ind w:left="0" w:right="0" w:hanging="0"/>
              <w:jc w:val="right"/>
              <w:rPr/>
            </w:pPr>
            <w:r>
              <w:rPr/>
              <w:t>—</w:t>
            </w:r>
          </w:p>
        </w:tc>
        <w:tc>
          <w:tcPr>
            <w:tcW w:w="195" w:type="dxa"/>
            <w:tcBorders/>
            <w:vAlign w:val="center"/>
          </w:tcPr>
          <w:p>
            <w:pPr>
              <w:pStyle w:val="TableContents"/>
              <w:bidi w:val="0"/>
              <w:spacing w:before="0" w:after="0"/>
              <w:ind w:left="0" w:right="0" w:hanging="0"/>
              <w:jc w:val="left"/>
              <w:rPr/>
            </w:pPr>
            <w:r>
              <w:rPr/>
              <w:t> </w:t>
            </w:r>
          </w:p>
        </w:tc>
      </w:tr>
      <w:tr>
        <w:trPr/>
        <w:tc>
          <w:tcPr>
            <w:tcW w:w="12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4"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Bonus (3)</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04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57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474" w:type="dxa"/>
            <w:tcBorders/>
            <w:vAlign w:val="center"/>
          </w:tcPr>
          <w:p>
            <w:pPr>
              <w:pStyle w:val="TableContents"/>
              <w:bidi w:val="0"/>
              <w:spacing w:before="0" w:after="0"/>
              <w:ind w:left="0" w:right="0" w:hanging="0"/>
              <w:jc w:val="right"/>
              <w:rPr/>
            </w:pPr>
            <w:r>
              <w:rPr/>
              <w:t>—</w:t>
            </w:r>
          </w:p>
        </w:tc>
        <w:tc>
          <w:tcPr>
            <w:tcW w:w="195" w:type="dxa"/>
            <w:tcBorders/>
            <w:vAlign w:val="center"/>
          </w:tcPr>
          <w:p>
            <w:pPr>
              <w:pStyle w:val="TableContents"/>
              <w:bidi w:val="0"/>
              <w:spacing w:before="0" w:after="0"/>
              <w:ind w:left="0" w:right="0" w:hanging="0"/>
              <w:jc w:val="left"/>
              <w:rPr/>
            </w:pPr>
            <w:r>
              <w:rPr/>
              <w:t> </w:t>
            </w:r>
          </w:p>
        </w:tc>
      </w:tr>
      <w:tr>
        <w:trPr/>
        <w:tc>
          <w:tcPr>
            <w:tcW w:w="12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4"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Equity Awards</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04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02"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342,318</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(5)</w:t>
            </w:r>
          </w:p>
        </w:tc>
        <w:tc>
          <w:tcPr>
            <w:tcW w:w="299"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57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474" w:type="dxa"/>
            <w:tcBorders/>
            <w:vAlign w:val="center"/>
          </w:tcPr>
          <w:p>
            <w:pPr>
              <w:pStyle w:val="TableContents"/>
              <w:bidi w:val="0"/>
              <w:spacing w:before="0" w:after="0"/>
              <w:ind w:left="0" w:right="0" w:hanging="0"/>
              <w:jc w:val="right"/>
              <w:rPr/>
            </w:pPr>
            <w:r>
              <w:rPr/>
              <w:t>—</w:t>
            </w:r>
          </w:p>
        </w:tc>
        <w:tc>
          <w:tcPr>
            <w:tcW w:w="195" w:type="dxa"/>
            <w:tcBorders/>
            <w:vAlign w:val="center"/>
          </w:tcPr>
          <w:p>
            <w:pPr>
              <w:pStyle w:val="TableContents"/>
              <w:bidi w:val="0"/>
              <w:spacing w:before="0" w:after="0"/>
              <w:ind w:left="0" w:right="0" w:hanging="0"/>
              <w:jc w:val="left"/>
              <w:rPr/>
            </w:pPr>
            <w:r>
              <w:rPr/>
              <w:t> </w:t>
            </w:r>
          </w:p>
        </w:tc>
      </w:tr>
      <w:tr>
        <w:trPr/>
        <w:tc>
          <w:tcPr>
            <w:tcW w:w="12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4" w:type="dxa"/>
            <w:tcBorders/>
            <w:vAlign w:val="center"/>
          </w:tcPr>
          <w:p>
            <w:pPr>
              <w:pStyle w:val="TableContents"/>
              <w:bidi w:val="0"/>
              <w:spacing w:before="0" w:after="0"/>
              <w:ind w:left="0" w:right="0" w:hanging="0"/>
              <w:jc w:val="left"/>
              <w:rPr>
                <w:rFonts w:ascii="Arial;sans-serif" w:hAnsi="Arial;sans-serif"/>
                <w:b/>
                <w:sz w:val="14"/>
              </w:rPr>
            </w:pPr>
            <w:r>
              <w:rPr>
                <w:rFonts w:ascii="Arial;sans-serif" w:hAnsi="Arial;sans-serif"/>
                <w:b/>
                <w:sz w:val="14"/>
              </w:rPr>
              <w:t>Benefits and Perquisites:</w:t>
            </w:r>
          </w:p>
        </w:tc>
        <w:tc>
          <w:tcPr>
            <w:tcW w:w="146" w:type="dxa"/>
            <w:tcBorders/>
            <w:vAlign w:val="center"/>
          </w:tcPr>
          <w:p>
            <w:pPr>
              <w:pStyle w:val="TableContents"/>
              <w:bidi w:val="0"/>
              <w:spacing w:before="0" w:after="0"/>
              <w:ind w:left="0" w:right="0" w:hanging="0"/>
              <w:jc w:val="left"/>
              <w:rPr/>
            </w:pPr>
            <w:r>
              <w:rPr/>
              <w:t> </w:t>
            </w:r>
          </w:p>
        </w:tc>
        <w:tc>
          <w:tcPr>
            <w:tcW w:w="13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1753"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left"/>
              <w:rPr/>
            </w:pPr>
            <w:r>
              <w:rPr/>
              <w:t> </w:t>
            </w:r>
          </w:p>
        </w:tc>
        <w:tc>
          <w:tcPr>
            <w:tcW w:w="195" w:type="dxa"/>
            <w:tcBorders/>
            <w:vAlign w:val="center"/>
          </w:tcPr>
          <w:p>
            <w:pPr>
              <w:pStyle w:val="TableContents"/>
              <w:bidi w:val="0"/>
              <w:spacing w:before="0" w:after="0"/>
              <w:ind w:left="0" w:right="0" w:hanging="0"/>
              <w:jc w:val="left"/>
              <w:rPr/>
            </w:pPr>
            <w:r>
              <w:rPr/>
              <w:t> </w:t>
            </w:r>
          </w:p>
        </w:tc>
      </w:tr>
      <w:tr>
        <w:trPr/>
        <w:tc>
          <w:tcPr>
            <w:tcW w:w="12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4"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Health and welfare benefits (6)</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049"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10,104</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02"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20,208</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57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474" w:type="dxa"/>
            <w:tcBorders/>
            <w:vAlign w:val="center"/>
          </w:tcPr>
          <w:p>
            <w:pPr>
              <w:pStyle w:val="TableContents"/>
              <w:bidi w:val="0"/>
              <w:spacing w:before="0" w:after="0"/>
              <w:ind w:left="0" w:right="0" w:hanging="0"/>
              <w:jc w:val="right"/>
              <w:rPr/>
            </w:pPr>
            <w:r>
              <w:rPr/>
              <w:t>—</w:t>
            </w:r>
          </w:p>
        </w:tc>
        <w:tc>
          <w:tcPr>
            <w:tcW w:w="195" w:type="dxa"/>
            <w:tcBorders/>
            <w:vAlign w:val="center"/>
          </w:tcPr>
          <w:p>
            <w:pPr>
              <w:pStyle w:val="TableContents"/>
              <w:bidi w:val="0"/>
              <w:spacing w:before="0" w:after="0"/>
              <w:ind w:left="0" w:right="0" w:hanging="0"/>
              <w:jc w:val="left"/>
              <w:rPr/>
            </w:pPr>
            <w:r>
              <w:rPr/>
              <w:t> </w:t>
            </w:r>
          </w:p>
        </w:tc>
      </w:tr>
      <w:tr>
        <w:trPr/>
        <w:tc>
          <w:tcPr>
            <w:tcW w:w="12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4"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Other</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04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57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474" w:type="dxa"/>
            <w:tcBorders/>
            <w:vAlign w:val="center"/>
          </w:tcPr>
          <w:p>
            <w:pPr>
              <w:pStyle w:val="TableContents"/>
              <w:bidi w:val="0"/>
              <w:spacing w:before="0" w:after="0"/>
              <w:ind w:left="0" w:right="0" w:hanging="0"/>
              <w:jc w:val="right"/>
              <w:rPr/>
            </w:pPr>
            <w:r>
              <w:rPr/>
              <w:t>—</w:t>
            </w:r>
          </w:p>
        </w:tc>
        <w:tc>
          <w:tcPr>
            <w:tcW w:w="195" w:type="dxa"/>
            <w:tcBorders/>
            <w:vAlign w:val="center"/>
          </w:tcPr>
          <w:p>
            <w:pPr>
              <w:pStyle w:val="TableContents"/>
              <w:bidi w:val="0"/>
              <w:spacing w:before="0" w:after="0"/>
              <w:ind w:left="0" w:right="0" w:hanging="0"/>
              <w:jc w:val="left"/>
              <w:rPr/>
            </w:pPr>
            <w:r>
              <w:rPr/>
              <w:t> </w:t>
            </w:r>
          </w:p>
        </w:tc>
      </w:tr>
      <w:tr>
        <w:trPr/>
        <w:tc>
          <w:tcPr>
            <w:tcW w:w="12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1753"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left"/>
              <w:rPr/>
            </w:pPr>
            <w:r>
              <w:rPr/>
              <w:t> </w:t>
            </w:r>
          </w:p>
        </w:tc>
        <w:tc>
          <w:tcPr>
            <w:tcW w:w="195" w:type="dxa"/>
            <w:tcBorders/>
            <w:vAlign w:val="center"/>
          </w:tcPr>
          <w:p>
            <w:pPr>
              <w:pStyle w:val="TableContents"/>
              <w:bidi w:val="0"/>
              <w:spacing w:before="0" w:after="0"/>
              <w:ind w:left="0" w:right="0" w:hanging="0"/>
              <w:jc w:val="left"/>
              <w:rPr/>
            </w:pPr>
            <w:r>
              <w:rPr/>
              <w:t> </w:t>
            </w:r>
          </w:p>
        </w:tc>
      </w:tr>
      <w:tr>
        <w:trPr/>
        <w:tc>
          <w:tcPr>
            <w:tcW w:w="1210"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Kevin A. Maxwell</w:t>
            </w:r>
          </w:p>
        </w:tc>
        <w:tc>
          <w:tcPr>
            <w:tcW w:w="146" w:type="dxa"/>
            <w:tcBorders/>
            <w:vAlign w:val="center"/>
          </w:tcPr>
          <w:p>
            <w:pPr>
              <w:pStyle w:val="TableContents"/>
              <w:bidi w:val="0"/>
              <w:spacing w:before="0" w:after="0"/>
              <w:ind w:left="0" w:right="0" w:hanging="0"/>
              <w:jc w:val="left"/>
              <w:rPr/>
            </w:pPr>
            <w:r>
              <w:rPr/>
              <w:t> </w:t>
            </w:r>
          </w:p>
        </w:tc>
        <w:tc>
          <w:tcPr>
            <w:tcW w:w="1914" w:type="dxa"/>
            <w:tcBorders/>
            <w:vAlign w:val="center"/>
          </w:tcPr>
          <w:p>
            <w:pPr>
              <w:pStyle w:val="TableContents"/>
              <w:bidi w:val="0"/>
              <w:spacing w:before="0" w:after="0"/>
              <w:ind w:left="0" w:right="0" w:hanging="0"/>
              <w:jc w:val="left"/>
              <w:rPr>
                <w:rFonts w:ascii="Arial;sans-serif" w:hAnsi="Arial;sans-serif"/>
                <w:b/>
                <w:sz w:val="14"/>
              </w:rPr>
            </w:pPr>
            <w:r>
              <w:rPr>
                <w:rFonts w:ascii="Arial;sans-serif" w:hAnsi="Arial;sans-serif"/>
                <w:b/>
                <w:sz w:val="14"/>
              </w:rPr>
              <w:t>Compensation:</w:t>
            </w:r>
          </w:p>
        </w:tc>
        <w:tc>
          <w:tcPr>
            <w:tcW w:w="146" w:type="dxa"/>
            <w:tcBorders/>
            <w:vAlign w:val="center"/>
          </w:tcPr>
          <w:p>
            <w:pPr>
              <w:pStyle w:val="TableContents"/>
              <w:bidi w:val="0"/>
              <w:spacing w:before="0" w:after="0"/>
              <w:ind w:left="0" w:right="0" w:hanging="0"/>
              <w:jc w:val="left"/>
              <w:rPr/>
            </w:pPr>
            <w:r>
              <w:rPr/>
              <w:t> </w:t>
            </w:r>
          </w:p>
        </w:tc>
        <w:tc>
          <w:tcPr>
            <w:tcW w:w="13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1753"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left"/>
              <w:rPr/>
            </w:pPr>
            <w:r>
              <w:rPr/>
              <w:t> </w:t>
            </w:r>
          </w:p>
        </w:tc>
        <w:tc>
          <w:tcPr>
            <w:tcW w:w="195" w:type="dxa"/>
            <w:tcBorders/>
            <w:vAlign w:val="center"/>
          </w:tcPr>
          <w:p>
            <w:pPr>
              <w:pStyle w:val="TableContents"/>
              <w:bidi w:val="0"/>
              <w:spacing w:before="0" w:after="0"/>
              <w:ind w:left="0" w:right="0" w:hanging="0"/>
              <w:jc w:val="left"/>
              <w:rPr/>
            </w:pPr>
            <w:r>
              <w:rPr/>
              <w:t> </w:t>
            </w:r>
          </w:p>
        </w:tc>
      </w:tr>
      <w:tr>
        <w:trPr/>
        <w:tc>
          <w:tcPr>
            <w:tcW w:w="12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4"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Cash severance</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049"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175,000</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(8)</w:t>
            </w:r>
          </w:p>
        </w:tc>
        <w:tc>
          <w:tcPr>
            <w:tcW w:w="35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02"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447,662</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(9)</w:t>
            </w:r>
          </w:p>
        </w:tc>
        <w:tc>
          <w:tcPr>
            <w:tcW w:w="299"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57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474" w:type="dxa"/>
            <w:tcBorders/>
            <w:vAlign w:val="center"/>
          </w:tcPr>
          <w:p>
            <w:pPr>
              <w:pStyle w:val="TableContents"/>
              <w:bidi w:val="0"/>
              <w:spacing w:before="0" w:after="0"/>
              <w:ind w:left="0" w:right="0" w:hanging="0"/>
              <w:jc w:val="right"/>
              <w:rPr/>
            </w:pPr>
            <w:r>
              <w:rPr/>
              <w:t>—</w:t>
            </w:r>
          </w:p>
        </w:tc>
        <w:tc>
          <w:tcPr>
            <w:tcW w:w="195" w:type="dxa"/>
            <w:tcBorders/>
            <w:vAlign w:val="center"/>
          </w:tcPr>
          <w:p>
            <w:pPr>
              <w:pStyle w:val="TableContents"/>
              <w:bidi w:val="0"/>
              <w:spacing w:before="0" w:after="0"/>
              <w:ind w:left="0" w:right="0" w:hanging="0"/>
              <w:jc w:val="left"/>
              <w:rPr/>
            </w:pPr>
            <w:r>
              <w:rPr/>
              <w:t> </w:t>
            </w:r>
          </w:p>
        </w:tc>
      </w:tr>
      <w:tr>
        <w:trPr/>
        <w:tc>
          <w:tcPr>
            <w:tcW w:w="12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4"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Bonus (3)</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04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57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474" w:type="dxa"/>
            <w:tcBorders/>
            <w:vAlign w:val="center"/>
          </w:tcPr>
          <w:p>
            <w:pPr>
              <w:pStyle w:val="TableContents"/>
              <w:bidi w:val="0"/>
              <w:spacing w:before="0" w:after="0"/>
              <w:ind w:left="0" w:right="0" w:hanging="0"/>
              <w:jc w:val="right"/>
              <w:rPr/>
            </w:pPr>
            <w:r>
              <w:rPr/>
              <w:t>—</w:t>
            </w:r>
          </w:p>
        </w:tc>
        <w:tc>
          <w:tcPr>
            <w:tcW w:w="195" w:type="dxa"/>
            <w:tcBorders/>
            <w:vAlign w:val="center"/>
          </w:tcPr>
          <w:p>
            <w:pPr>
              <w:pStyle w:val="TableContents"/>
              <w:bidi w:val="0"/>
              <w:spacing w:before="0" w:after="0"/>
              <w:ind w:left="0" w:right="0" w:hanging="0"/>
              <w:jc w:val="left"/>
              <w:rPr/>
            </w:pPr>
            <w:r>
              <w:rPr/>
              <w:t> </w:t>
            </w:r>
          </w:p>
        </w:tc>
      </w:tr>
      <w:tr>
        <w:trPr/>
        <w:tc>
          <w:tcPr>
            <w:tcW w:w="12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4"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Equity Awards</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04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02"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253,177</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(5)</w:t>
            </w:r>
          </w:p>
        </w:tc>
        <w:tc>
          <w:tcPr>
            <w:tcW w:w="299"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57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474" w:type="dxa"/>
            <w:tcBorders/>
            <w:vAlign w:val="center"/>
          </w:tcPr>
          <w:p>
            <w:pPr>
              <w:pStyle w:val="TableContents"/>
              <w:bidi w:val="0"/>
              <w:spacing w:before="0" w:after="0"/>
              <w:ind w:left="0" w:right="0" w:hanging="0"/>
              <w:jc w:val="right"/>
              <w:rPr/>
            </w:pPr>
            <w:r>
              <w:rPr/>
              <w:t>—</w:t>
            </w:r>
          </w:p>
        </w:tc>
        <w:tc>
          <w:tcPr>
            <w:tcW w:w="195" w:type="dxa"/>
            <w:tcBorders/>
            <w:vAlign w:val="center"/>
          </w:tcPr>
          <w:p>
            <w:pPr>
              <w:pStyle w:val="TableContents"/>
              <w:bidi w:val="0"/>
              <w:spacing w:before="0" w:after="0"/>
              <w:ind w:left="0" w:right="0" w:hanging="0"/>
              <w:jc w:val="left"/>
              <w:rPr/>
            </w:pPr>
            <w:r>
              <w:rPr/>
              <w:t> </w:t>
            </w:r>
          </w:p>
        </w:tc>
      </w:tr>
      <w:tr>
        <w:trPr/>
        <w:tc>
          <w:tcPr>
            <w:tcW w:w="12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4" w:type="dxa"/>
            <w:tcBorders/>
            <w:vAlign w:val="center"/>
          </w:tcPr>
          <w:p>
            <w:pPr>
              <w:pStyle w:val="TableContents"/>
              <w:bidi w:val="0"/>
              <w:spacing w:before="0" w:after="0"/>
              <w:ind w:left="0" w:right="0" w:hanging="0"/>
              <w:jc w:val="left"/>
              <w:rPr>
                <w:rFonts w:ascii="Arial;sans-serif" w:hAnsi="Arial;sans-serif"/>
                <w:b/>
                <w:sz w:val="14"/>
              </w:rPr>
            </w:pPr>
            <w:r>
              <w:rPr>
                <w:rFonts w:ascii="Arial;sans-serif" w:hAnsi="Arial;sans-serif"/>
                <w:b/>
                <w:sz w:val="14"/>
              </w:rPr>
              <w:t>Benefits and Perquisites:</w:t>
            </w:r>
          </w:p>
        </w:tc>
        <w:tc>
          <w:tcPr>
            <w:tcW w:w="146" w:type="dxa"/>
            <w:tcBorders/>
            <w:vAlign w:val="center"/>
          </w:tcPr>
          <w:p>
            <w:pPr>
              <w:pStyle w:val="TableContents"/>
              <w:bidi w:val="0"/>
              <w:spacing w:before="0" w:after="0"/>
              <w:ind w:left="0" w:right="0" w:hanging="0"/>
              <w:jc w:val="left"/>
              <w:rPr/>
            </w:pPr>
            <w:r>
              <w:rPr/>
              <w:t> </w:t>
            </w:r>
          </w:p>
        </w:tc>
        <w:tc>
          <w:tcPr>
            <w:tcW w:w="13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1753"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left"/>
              <w:rPr/>
            </w:pPr>
            <w:r>
              <w:rPr/>
              <w:t> </w:t>
            </w:r>
          </w:p>
        </w:tc>
        <w:tc>
          <w:tcPr>
            <w:tcW w:w="195" w:type="dxa"/>
            <w:tcBorders/>
            <w:vAlign w:val="center"/>
          </w:tcPr>
          <w:p>
            <w:pPr>
              <w:pStyle w:val="TableContents"/>
              <w:bidi w:val="0"/>
              <w:spacing w:before="0" w:after="0"/>
              <w:ind w:left="0" w:right="0" w:hanging="0"/>
              <w:jc w:val="left"/>
              <w:rPr/>
            </w:pPr>
            <w:r>
              <w:rPr/>
              <w:t> </w:t>
            </w:r>
          </w:p>
        </w:tc>
      </w:tr>
      <w:tr>
        <w:trPr/>
        <w:tc>
          <w:tcPr>
            <w:tcW w:w="12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4"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Health and welfare benefits (6)</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049"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14,014</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02"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28,027</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57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474" w:type="dxa"/>
            <w:tcBorders/>
            <w:vAlign w:val="center"/>
          </w:tcPr>
          <w:p>
            <w:pPr>
              <w:pStyle w:val="TableContents"/>
              <w:bidi w:val="0"/>
              <w:spacing w:before="0" w:after="0"/>
              <w:ind w:left="0" w:right="0" w:hanging="0"/>
              <w:jc w:val="right"/>
              <w:rPr/>
            </w:pPr>
            <w:r>
              <w:rPr/>
              <w:t>—</w:t>
            </w:r>
          </w:p>
        </w:tc>
        <w:tc>
          <w:tcPr>
            <w:tcW w:w="195" w:type="dxa"/>
            <w:tcBorders/>
            <w:vAlign w:val="center"/>
          </w:tcPr>
          <w:p>
            <w:pPr>
              <w:pStyle w:val="TableContents"/>
              <w:bidi w:val="0"/>
              <w:spacing w:before="0" w:after="0"/>
              <w:ind w:left="0" w:right="0" w:hanging="0"/>
              <w:jc w:val="left"/>
              <w:rPr/>
            </w:pPr>
            <w:r>
              <w:rPr/>
              <w:t> </w:t>
            </w:r>
          </w:p>
        </w:tc>
      </w:tr>
      <w:tr>
        <w:trPr/>
        <w:tc>
          <w:tcPr>
            <w:tcW w:w="12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4"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Other</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04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57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474" w:type="dxa"/>
            <w:tcBorders/>
            <w:vAlign w:val="center"/>
          </w:tcPr>
          <w:p>
            <w:pPr>
              <w:pStyle w:val="TableContents"/>
              <w:bidi w:val="0"/>
              <w:spacing w:before="0" w:after="0"/>
              <w:ind w:left="0" w:right="0" w:hanging="0"/>
              <w:jc w:val="right"/>
              <w:rPr/>
            </w:pPr>
            <w:r>
              <w:rPr/>
              <w:t>—</w:t>
            </w:r>
          </w:p>
        </w:tc>
        <w:tc>
          <w:tcPr>
            <w:tcW w:w="195" w:type="dxa"/>
            <w:tcBorders/>
            <w:vAlign w:val="center"/>
          </w:tcPr>
          <w:p>
            <w:pPr>
              <w:pStyle w:val="TableContents"/>
              <w:bidi w:val="0"/>
              <w:spacing w:before="0" w:after="0"/>
              <w:ind w:left="0" w:right="0" w:hanging="0"/>
              <w:jc w:val="left"/>
              <w:rPr/>
            </w:pPr>
            <w:r>
              <w:rPr/>
              <w:t> </w:t>
            </w:r>
          </w:p>
        </w:tc>
      </w:tr>
      <w:tr>
        <w:trPr/>
        <w:tc>
          <w:tcPr>
            <w:tcW w:w="12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1753"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left"/>
              <w:rPr/>
            </w:pPr>
            <w:r>
              <w:rPr/>
              <w:t> </w:t>
            </w:r>
          </w:p>
        </w:tc>
        <w:tc>
          <w:tcPr>
            <w:tcW w:w="195" w:type="dxa"/>
            <w:tcBorders/>
            <w:vAlign w:val="center"/>
          </w:tcPr>
          <w:p>
            <w:pPr>
              <w:pStyle w:val="TableContents"/>
              <w:bidi w:val="0"/>
              <w:spacing w:before="0" w:after="0"/>
              <w:ind w:left="0" w:right="0" w:hanging="0"/>
              <w:jc w:val="left"/>
              <w:rPr/>
            </w:pPr>
            <w:r>
              <w:rPr/>
              <w:t> </w:t>
            </w:r>
          </w:p>
        </w:tc>
      </w:tr>
      <w:tr>
        <w:trPr/>
        <w:tc>
          <w:tcPr>
            <w:tcW w:w="1210"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Susan J. Cupero</w:t>
            </w:r>
          </w:p>
        </w:tc>
        <w:tc>
          <w:tcPr>
            <w:tcW w:w="146" w:type="dxa"/>
            <w:tcBorders/>
            <w:vAlign w:val="center"/>
          </w:tcPr>
          <w:p>
            <w:pPr>
              <w:pStyle w:val="TableContents"/>
              <w:bidi w:val="0"/>
              <w:spacing w:before="0" w:after="0"/>
              <w:ind w:left="0" w:right="0" w:hanging="0"/>
              <w:jc w:val="left"/>
              <w:rPr/>
            </w:pPr>
            <w:r>
              <w:rPr/>
              <w:t> </w:t>
            </w:r>
          </w:p>
        </w:tc>
        <w:tc>
          <w:tcPr>
            <w:tcW w:w="1914" w:type="dxa"/>
            <w:tcBorders/>
            <w:vAlign w:val="center"/>
          </w:tcPr>
          <w:p>
            <w:pPr>
              <w:pStyle w:val="TableContents"/>
              <w:bidi w:val="0"/>
              <w:spacing w:before="0" w:after="0"/>
              <w:ind w:left="0" w:right="0" w:hanging="0"/>
              <w:jc w:val="left"/>
              <w:rPr>
                <w:rFonts w:ascii="Arial;sans-serif" w:hAnsi="Arial;sans-serif"/>
                <w:b/>
                <w:sz w:val="14"/>
              </w:rPr>
            </w:pPr>
            <w:r>
              <w:rPr>
                <w:rFonts w:ascii="Arial;sans-serif" w:hAnsi="Arial;sans-serif"/>
                <w:b/>
                <w:sz w:val="14"/>
              </w:rPr>
              <w:t>Compensation:</w:t>
            </w:r>
          </w:p>
        </w:tc>
        <w:tc>
          <w:tcPr>
            <w:tcW w:w="146" w:type="dxa"/>
            <w:tcBorders/>
            <w:vAlign w:val="center"/>
          </w:tcPr>
          <w:p>
            <w:pPr>
              <w:pStyle w:val="TableContents"/>
              <w:bidi w:val="0"/>
              <w:spacing w:before="0" w:after="0"/>
              <w:ind w:left="0" w:right="0" w:hanging="0"/>
              <w:jc w:val="left"/>
              <w:rPr/>
            </w:pPr>
            <w:r>
              <w:rPr/>
              <w:t> </w:t>
            </w:r>
          </w:p>
        </w:tc>
        <w:tc>
          <w:tcPr>
            <w:tcW w:w="13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1753"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left"/>
              <w:rPr/>
            </w:pPr>
            <w:r>
              <w:rPr/>
              <w:t> </w:t>
            </w:r>
          </w:p>
        </w:tc>
        <w:tc>
          <w:tcPr>
            <w:tcW w:w="195" w:type="dxa"/>
            <w:tcBorders/>
            <w:vAlign w:val="center"/>
          </w:tcPr>
          <w:p>
            <w:pPr>
              <w:pStyle w:val="TableContents"/>
              <w:bidi w:val="0"/>
              <w:spacing w:before="0" w:after="0"/>
              <w:ind w:left="0" w:right="0" w:hanging="0"/>
              <w:jc w:val="left"/>
              <w:rPr/>
            </w:pPr>
            <w:r>
              <w:rPr/>
              <w:t> </w:t>
            </w:r>
          </w:p>
        </w:tc>
      </w:tr>
      <w:tr>
        <w:trPr/>
        <w:tc>
          <w:tcPr>
            <w:tcW w:w="12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4"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Cash severance</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049"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154,500</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(8)</w:t>
            </w:r>
          </w:p>
        </w:tc>
        <w:tc>
          <w:tcPr>
            <w:tcW w:w="35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02"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489,764</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(9)</w:t>
            </w:r>
          </w:p>
        </w:tc>
        <w:tc>
          <w:tcPr>
            <w:tcW w:w="299"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57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474" w:type="dxa"/>
            <w:tcBorders/>
            <w:vAlign w:val="center"/>
          </w:tcPr>
          <w:p>
            <w:pPr>
              <w:pStyle w:val="TableContents"/>
              <w:bidi w:val="0"/>
              <w:spacing w:before="0" w:after="0"/>
              <w:ind w:left="0" w:right="0" w:hanging="0"/>
              <w:jc w:val="right"/>
              <w:rPr/>
            </w:pPr>
            <w:r>
              <w:rPr/>
              <w:t>—</w:t>
            </w:r>
          </w:p>
        </w:tc>
        <w:tc>
          <w:tcPr>
            <w:tcW w:w="195" w:type="dxa"/>
            <w:tcBorders/>
            <w:vAlign w:val="center"/>
          </w:tcPr>
          <w:p>
            <w:pPr>
              <w:pStyle w:val="TableContents"/>
              <w:bidi w:val="0"/>
              <w:spacing w:before="0" w:after="0"/>
              <w:ind w:left="0" w:right="0" w:hanging="0"/>
              <w:jc w:val="left"/>
              <w:rPr/>
            </w:pPr>
            <w:r>
              <w:rPr/>
              <w:t> </w:t>
            </w:r>
          </w:p>
        </w:tc>
      </w:tr>
      <w:tr>
        <w:trPr/>
        <w:tc>
          <w:tcPr>
            <w:tcW w:w="12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4"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Bonus (3)</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04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57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474" w:type="dxa"/>
            <w:tcBorders/>
            <w:vAlign w:val="center"/>
          </w:tcPr>
          <w:p>
            <w:pPr>
              <w:pStyle w:val="TableContents"/>
              <w:bidi w:val="0"/>
              <w:spacing w:before="0" w:after="0"/>
              <w:ind w:left="0" w:right="0" w:hanging="0"/>
              <w:jc w:val="right"/>
              <w:rPr/>
            </w:pPr>
            <w:r>
              <w:rPr/>
              <w:t>—</w:t>
            </w:r>
          </w:p>
        </w:tc>
        <w:tc>
          <w:tcPr>
            <w:tcW w:w="195" w:type="dxa"/>
            <w:tcBorders/>
            <w:vAlign w:val="center"/>
          </w:tcPr>
          <w:p>
            <w:pPr>
              <w:pStyle w:val="TableContents"/>
              <w:bidi w:val="0"/>
              <w:spacing w:before="0" w:after="0"/>
              <w:ind w:left="0" w:right="0" w:hanging="0"/>
              <w:jc w:val="left"/>
              <w:rPr/>
            </w:pPr>
            <w:r>
              <w:rPr/>
              <w:t> </w:t>
            </w:r>
          </w:p>
        </w:tc>
      </w:tr>
      <w:tr>
        <w:trPr/>
        <w:tc>
          <w:tcPr>
            <w:tcW w:w="12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4"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Equity Awards</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04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02"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235,508</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(5)</w:t>
            </w:r>
          </w:p>
        </w:tc>
        <w:tc>
          <w:tcPr>
            <w:tcW w:w="299"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57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474" w:type="dxa"/>
            <w:tcBorders/>
            <w:vAlign w:val="center"/>
          </w:tcPr>
          <w:p>
            <w:pPr>
              <w:pStyle w:val="TableContents"/>
              <w:bidi w:val="0"/>
              <w:spacing w:before="0" w:after="0"/>
              <w:ind w:left="0" w:right="0" w:hanging="0"/>
              <w:jc w:val="right"/>
              <w:rPr/>
            </w:pPr>
            <w:r>
              <w:rPr/>
              <w:t>—</w:t>
            </w:r>
          </w:p>
        </w:tc>
        <w:tc>
          <w:tcPr>
            <w:tcW w:w="195" w:type="dxa"/>
            <w:tcBorders/>
            <w:vAlign w:val="center"/>
          </w:tcPr>
          <w:p>
            <w:pPr>
              <w:pStyle w:val="TableContents"/>
              <w:bidi w:val="0"/>
              <w:spacing w:before="0" w:after="0"/>
              <w:ind w:left="0" w:right="0" w:hanging="0"/>
              <w:jc w:val="left"/>
              <w:rPr/>
            </w:pPr>
            <w:r>
              <w:rPr/>
              <w:t> </w:t>
            </w:r>
          </w:p>
        </w:tc>
      </w:tr>
      <w:tr>
        <w:trPr/>
        <w:tc>
          <w:tcPr>
            <w:tcW w:w="12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4" w:type="dxa"/>
            <w:tcBorders/>
            <w:vAlign w:val="center"/>
          </w:tcPr>
          <w:p>
            <w:pPr>
              <w:pStyle w:val="TableContents"/>
              <w:bidi w:val="0"/>
              <w:spacing w:before="0" w:after="0"/>
              <w:ind w:left="0" w:right="0" w:hanging="0"/>
              <w:jc w:val="left"/>
              <w:rPr>
                <w:rFonts w:ascii="Arial;sans-serif" w:hAnsi="Arial;sans-serif"/>
                <w:b/>
                <w:sz w:val="14"/>
              </w:rPr>
            </w:pPr>
            <w:r>
              <w:rPr>
                <w:rFonts w:ascii="Arial;sans-serif" w:hAnsi="Arial;sans-serif"/>
                <w:b/>
                <w:sz w:val="14"/>
              </w:rPr>
              <w:t>Benefits and Perquisites:</w:t>
            </w:r>
          </w:p>
        </w:tc>
        <w:tc>
          <w:tcPr>
            <w:tcW w:w="146" w:type="dxa"/>
            <w:tcBorders/>
            <w:vAlign w:val="center"/>
          </w:tcPr>
          <w:p>
            <w:pPr>
              <w:pStyle w:val="TableContents"/>
              <w:bidi w:val="0"/>
              <w:spacing w:before="0" w:after="0"/>
              <w:ind w:left="0" w:right="0" w:hanging="0"/>
              <w:jc w:val="left"/>
              <w:rPr/>
            </w:pPr>
            <w:r>
              <w:rPr/>
              <w:t> </w:t>
            </w:r>
          </w:p>
        </w:tc>
        <w:tc>
          <w:tcPr>
            <w:tcW w:w="13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1753"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left"/>
              <w:rPr/>
            </w:pPr>
            <w:r>
              <w:rPr/>
              <w:t> </w:t>
            </w:r>
          </w:p>
        </w:tc>
        <w:tc>
          <w:tcPr>
            <w:tcW w:w="195" w:type="dxa"/>
            <w:tcBorders/>
            <w:vAlign w:val="center"/>
          </w:tcPr>
          <w:p>
            <w:pPr>
              <w:pStyle w:val="TableContents"/>
              <w:bidi w:val="0"/>
              <w:spacing w:before="0" w:after="0"/>
              <w:ind w:left="0" w:right="0" w:hanging="0"/>
              <w:jc w:val="left"/>
              <w:rPr/>
            </w:pPr>
            <w:r>
              <w:rPr/>
              <w:t> </w:t>
            </w:r>
          </w:p>
        </w:tc>
      </w:tr>
      <w:tr>
        <w:trPr/>
        <w:tc>
          <w:tcPr>
            <w:tcW w:w="12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4"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Health and welfare benefits (6)</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049"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10,316</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02"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20,632</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57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474" w:type="dxa"/>
            <w:tcBorders/>
            <w:vAlign w:val="center"/>
          </w:tcPr>
          <w:p>
            <w:pPr>
              <w:pStyle w:val="TableContents"/>
              <w:bidi w:val="0"/>
              <w:spacing w:before="0" w:after="0"/>
              <w:ind w:left="0" w:right="0" w:hanging="0"/>
              <w:jc w:val="right"/>
              <w:rPr/>
            </w:pPr>
            <w:r>
              <w:rPr/>
              <w:t>—</w:t>
            </w:r>
          </w:p>
        </w:tc>
        <w:tc>
          <w:tcPr>
            <w:tcW w:w="195" w:type="dxa"/>
            <w:tcBorders/>
            <w:vAlign w:val="center"/>
          </w:tcPr>
          <w:p>
            <w:pPr>
              <w:pStyle w:val="TableContents"/>
              <w:bidi w:val="0"/>
              <w:spacing w:before="0" w:after="0"/>
              <w:ind w:left="0" w:right="0" w:hanging="0"/>
              <w:jc w:val="left"/>
              <w:rPr/>
            </w:pPr>
            <w:r>
              <w:rPr/>
              <w:t> </w:t>
            </w:r>
          </w:p>
        </w:tc>
      </w:tr>
      <w:tr>
        <w:trPr/>
        <w:tc>
          <w:tcPr>
            <w:tcW w:w="12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4"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Other</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04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57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474" w:type="dxa"/>
            <w:tcBorders/>
            <w:vAlign w:val="center"/>
          </w:tcPr>
          <w:p>
            <w:pPr>
              <w:pStyle w:val="TableContents"/>
              <w:bidi w:val="0"/>
              <w:spacing w:before="0" w:after="0"/>
              <w:ind w:left="0" w:right="0" w:hanging="0"/>
              <w:jc w:val="right"/>
              <w:rPr/>
            </w:pPr>
            <w:r>
              <w:rPr/>
              <w:t>—</w:t>
            </w:r>
          </w:p>
        </w:tc>
        <w:tc>
          <w:tcPr>
            <w:tcW w:w="195" w:type="dxa"/>
            <w:tcBorders/>
            <w:vAlign w:val="center"/>
          </w:tcPr>
          <w:p>
            <w:pPr>
              <w:pStyle w:val="TableContents"/>
              <w:bidi w:val="0"/>
              <w:spacing w:before="0" w:after="0"/>
              <w:ind w:left="0" w:right="0" w:hanging="0"/>
              <w:jc w:val="left"/>
              <w:rPr/>
            </w:pPr>
            <w:r>
              <w:rPr/>
              <w:t> </w:t>
            </w:r>
          </w:p>
        </w:tc>
      </w:tr>
      <w:tr>
        <w:trPr/>
        <w:tc>
          <w:tcPr>
            <w:tcW w:w="12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1753"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left"/>
              <w:rPr/>
            </w:pPr>
            <w:r>
              <w:rPr/>
              <w:t> </w:t>
            </w:r>
          </w:p>
        </w:tc>
        <w:tc>
          <w:tcPr>
            <w:tcW w:w="195" w:type="dxa"/>
            <w:tcBorders/>
            <w:vAlign w:val="center"/>
          </w:tcPr>
          <w:p>
            <w:pPr>
              <w:pStyle w:val="TableContents"/>
              <w:bidi w:val="0"/>
              <w:spacing w:before="0" w:after="0"/>
              <w:ind w:left="0" w:right="0" w:hanging="0"/>
              <w:jc w:val="left"/>
              <w:rPr/>
            </w:pPr>
            <w:r>
              <w:rPr/>
              <w:t> </w:t>
            </w:r>
          </w:p>
        </w:tc>
      </w:tr>
      <w:tr>
        <w:trPr/>
        <w:tc>
          <w:tcPr>
            <w:tcW w:w="1210"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4"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12"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67"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53"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67"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1"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7"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5"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rFonts w:ascii="Arial" w:hAnsi="Arial"/>
          <w:b w:val="false"/>
          <w:sz w:val="16"/>
        </w:rPr>
      </w:pPr>
      <w:r>
        <w:rPr>
          <w:rFonts w:ascii="Arial" w:hAnsi="Arial"/>
          <w:b w:val="false"/>
          <w:sz w:val="16"/>
        </w:rPr>
        <w:t>(1)</w:t>
      </w:r>
    </w:p>
    <w:p>
      <w:pPr>
        <w:pStyle w:val="TextBody"/>
        <w:bidi w:val="0"/>
        <w:spacing w:before="0" w:after="0"/>
        <w:jc w:val="both"/>
        <w:rPr>
          <w:rFonts w:ascii="Arial;sans-serif" w:hAnsi="Arial;sans-serif"/>
          <w:b w:val="false"/>
          <w:sz w:val="16"/>
        </w:rPr>
      </w:pPr>
      <w:r>
        <w:rPr>
          <w:rFonts w:ascii="Arial;sans-serif" w:hAnsi="Arial;sans-serif"/>
          <w:b w:val="false"/>
          <w:sz w:val="16"/>
        </w:rPr>
        <w:t>Includes continuation of base salary paid out over 18 months.</w:t>
      </w:r>
    </w:p>
    <w:p>
      <w:pPr>
        <w:pStyle w:val="TextBody"/>
        <w:bidi w:val="0"/>
        <w:spacing w:before="60" w:after="0"/>
        <w:jc w:val="both"/>
        <w:rPr>
          <w:rFonts w:ascii="Arial" w:hAnsi="Arial"/>
          <w:b w:val="false"/>
          <w:sz w:val="16"/>
        </w:rPr>
      </w:pPr>
      <w:r>
        <w:rPr>
          <w:rFonts w:ascii="Arial" w:hAnsi="Arial"/>
          <w:b w:val="false"/>
          <w:sz w:val="16"/>
        </w:rPr>
        <w:t>(2)</w:t>
      </w:r>
    </w:p>
    <w:p>
      <w:pPr>
        <w:pStyle w:val="TextBody"/>
        <w:bidi w:val="0"/>
        <w:spacing w:before="60" w:after="0"/>
        <w:jc w:val="both"/>
        <w:rPr>
          <w:rFonts w:ascii="Arial;sans-serif" w:hAnsi="Arial;sans-serif"/>
          <w:b w:val="false"/>
          <w:sz w:val="16"/>
        </w:rPr>
      </w:pPr>
      <w:r>
        <w:rPr>
          <w:rFonts w:ascii="Arial;sans-serif" w:hAnsi="Arial;sans-serif"/>
          <w:b w:val="false"/>
          <w:sz w:val="16"/>
        </w:rPr>
        <w:t>Includes continuation of base salary for 18 months and an amount equal to 150% of the average of his cash bonus paid for each of the two fiscal years immediately preceding his termination.</w:t>
      </w:r>
    </w:p>
    <w:p>
      <w:pPr>
        <w:pStyle w:val="TextBody"/>
        <w:bidi w:val="0"/>
        <w:spacing w:before="60" w:after="0"/>
        <w:jc w:val="both"/>
        <w:rPr>
          <w:rFonts w:ascii="Arial" w:hAnsi="Arial"/>
          <w:b w:val="false"/>
          <w:sz w:val="16"/>
        </w:rPr>
      </w:pPr>
      <w:r>
        <w:rPr>
          <w:rFonts w:ascii="Arial" w:hAnsi="Arial"/>
          <w:b w:val="false"/>
          <w:sz w:val="16"/>
        </w:rPr>
        <w:t>(3)</w:t>
      </w:r>
    </w:p>
    <w:p>
      <w:pPr>
        <w:pStyle w:val="TextBody"/>
        <w:bidi w:val="0"/>
        <w:spacing w:before="60" w:after="0"/>
        <w:jc w:val="both"/>
        <w:rPr>
          <w:rFonts w:ascii="Arial;sans-serif" w:hAnsi="Arial;sans-serif"/>
          <w:b w:val="false"/>
          <w:sz w:val="16"/>
        </w:rPr>
      </w:pPr>
      <w:r>
        <w:rPr>
          <w:rFonts w:ascii="Arial;sans-serif" w:hAnsi="Arial;sans-serif"/>
          <w:b w:val="false"/>
          <w:sz w:val="16"/>
        </w:rPr>
        <w:t>Includes an amount equal to 100% of the pro-rata share of his or her cash bonus earned in the year of termination.</w:t>
      </w:r>
    </w:p>
    <w:p>
      <w:pPr>
        <w:pStyle w:val="TextBody"/>
        <w:bidi w:val="0"/>
        <w:spacing w:before="60" w:after="0"/>
        <w:jc w:val="both"/>
        <w:rPr>
          <w:rFonts w:ascii="Arial" w:hAnsi="Arial"/>
          <w:b w:val="false"/>
          <w:sz w:val="16"/>
        </w:rPr>
      </w:pPr>
      <w:r>
        <w:rPr>
          <w:rFonts w:ascii="Arial" w:hAnsi="Arial"/>
          <w:b w:val="false"/>
          <w:sz w:val="16"/>
        </w:rPr>
        <w:t>(4)</w:t>
      </w:r>
    </w:p>
    <w:p>
      <w:pPr>
        <w:pStyle w:val="TextBody"/>
        <w:bidi w:val="0"/>
        <w:spacing w:before="60" w:after="0"/>
        <w:jc w:val="both"/>
        <w:rPr>
          <w:rFonts w:ascii="Arial;sans-serif" w:hAnsi="Arial;sans-serif"/>
          <w:b w:val="false"/>
          <w:sz w:val="16"/>
        </w:rPr>
      </w:pPr>
      <w:r>
        <w:rPr>
          <w:rFonts w:ascii="Arial;sans-serif" w:hAnsi="Arial;sans-serif"/>
          <w:b w:val="false"/>
          <w:sz w:val="16"/>
        </w:rPr>
        <w:t>Equal to the pro-rata portion of stock-based compensation that would have vested in the year of termination.</w:t>
      </w:r>
    </w:p>
    <w:p>
      <w:pPr>
        <w:pStyle w:val="TextBody"/>
        <w:bidi w:val="0"/>
        <w:spacing w:before="60" w:after="0"/>
        <w:jc w:val="both"/>
        <w:rPr>
          <w:rFonts w:ascii="Arial" w:hAnsi="Arial"/>
          <w:b w:val="false"/>
          <w:sz w:val="16"/>
        </w:rPr>
      </w:pPr>
      <w:r>
        <w:rPr>
          <w:rFonts w:ascii="Arial" w:hAnsi="Arial"/>
          <w:b w:val="false"/>
          <w:sz w:val="16"/>
        </w:rPr>
        <w:t>(5)</w:t>
      </w:r>
    </w:p>
    <w:p>
      <w:pPr>
        <w:pStyle w:val="TextBody"/>
        <w:bidi w:val="0"/>
        <w:spacing w:before="60" w:after="0"/>
        <w:jc w:val="both"/>
        <w:rPr>
          <w:rFonts w:ascii="Arial;sans-serif" w:hAnsi="Arial;sans-serif"/>
          <w:b w:val="false"/>
          <w:sz w:val="16"/>
        </w:rPr>
      </w:pPr>
      <w:r>
        <w:rPr>
          <w:rFonts w:ascii="Arial;sans-serif" w:hAnsi="Arial;sans-serif"/>
          <w:b w:val="false"/>
          <w:sz w:val="16"/>
        </w:rPr>
        <w:t>Includes the accelerated vesting of RSUs granted in 2019, 2020, 2021, 2022, and 2023 and PSUs granted in 2020, 2021, 2022, and 2023, where applicable, calculated on actual performance through April 30, 2023. Based on the actual performance through April 30, 2023, we estimated that no PSU shares would accelerate for the awards granted in Fiscal 2020, 2021, 2022, and 2023.</w:t>
      </w:r>
    </w:p>
    <w:p>
      <w:pPr>
        <w:pStyle w:val="TextBody"/>
        <w:bidi w:val="0"/>
        <w:spacing w:before="60" w:after="0"/>
        <w:jc w:val="both"/>
        <w:rPr>
          <w:rFonts w:ascii="Arial" w:hAnsi="Arial"/>
          <w:b w:val="false"/>
          <w:sz w:val="16"/>
        </w:rPr>
      </w:pPr>
      <w:r>
        <w:rPr>
          <w:rFonts w:ascii="Arial" w:hAnsi="Arial"/>
          <w:b w:val="false"/>
          <w:sz w:val="16"/>
        </w:rPr>
        <w:t>(6)</w:t>
      </w:r>
    </w:p>
    <w:p>
      <w:pPr>
        <w:pStyle w:val="TextBody"/>
        <w:bidi w:val="0"/>
        <w:spacing w:before="60" w:after="0"/>
        <w:jc w:val="both"/>
        <w:rPr>
          <w:rFonts w:ascii="Arial;sans-serif" w:hAnsi="Arial;sans-serif"/>
          <w:b w:val="false"/>
          <w:sz w:val="16"/>
        </w:rPr>
      </w:pPr>
      <w:r>
        <w:rPr>
          <w:rFonts w:ascii="Arial;sans-serif" w:hAnsi="Arial;sans-serif"/>
          <w:b w:val="false"/>
          <w:sz w:val="16"/>
        </w:rPr>
        <w:t>Includes reimbursement of the cost of continuation coverage pursuant to COBRA for a period of 26 or 52 weeks, as applicable, for the executive and his or her eligible dependents.</w:t>
      </w:r>
    </w:p>
    <w:p>
      <w:pPr>
        <w:pStyle w:val="TextBody"/>
        <w:bidi w:val="0"/>
        <w:spacing w:before="60" w:after="0"/>
        <w:jc w:val="both"/>
        <w:rPr>
          <w:rFonts w:ascii="Arial" w:hAnsi="Arial"/>
          <w:b w:val="false"/>
          <w:sz w:val="16"/>
        </w:rPr>
      </w:pPr>
      <w:r>
        <w:rPr>
          <w:rFonts w:ascii="Arial" w:hAnsi="Arial"/>
          <w:b w:val="false"/>
          <w:sz w:val="16"/>
        </w:rPr>
        <w:t>(7)</w:t>
      </w:r>
    </w:p>
    <w:p>
      <w:pPr>
        <w:pStyle w:val="TextBody"/>
        <w:bidi w:val="0"/>
        <w:spacing w:before="60" w:after="0"/>
        <w:jc w:val="both"/>
        <w:rPr>
          <w:rFonts w:ascii="Arial;sans-serif" w:hAnsi="Arial;sans-serif"/>
          <w:b w:val="false"/>
          <w:sz w:val="16"/>
        </w:rPr>
      </w:pPr>
      <w:r>
        <w:rPr>
          <w:rFonts w:ascii="Arial;sans-serif" w:hAnsi="Arial;sans-serif"/>
          <w:b w:val="false"/>
          <w:sz w:val="16"/>
        </w:rPr>
        <w:t>Includes a $1,500 per month car allowance for 18 months.</w:t>
      </w:r>
    </w:p>
    <w:p>
      <w:pPr>
        <w:pStyle w:val="TextBody"/>
        <w:bidi w:val="0"/>
        <w:spacing w:before="60" w:after="0"/>
        <w:jc w:val="both"/>
        <w:rPr>
          <w:rFonts w:ascii="Arial" w:hAnsi="Arial"/>
          <w:b w:val="false"/>
          <w:sz w:val="16"/>
        </w:rPr>
      </w:pPr>
      <w:r>
        <w:rPr>
          <w:rFonts w:ascii="Arial" w:hAnsi="Arial"/>
          <w:b w:val="false"/>
          <w:sz w:val="16"/>
        </w:rPr>
        <w:t>(8)</w:t>
      </w:r>
    </w:p>
    <w:p>
      <w:pPr>
        <w:pStyle w:val="TextBody"/>
        <w:bidi w:val="0"/>
        <w:spacing w:before="60" w:after="0"/>
        <w:jc w:val="both"/>
        <w:rPr>
          <w:rFonts w:ascii="Arial;sans-serif" w:hAnsi="Arial;sans-serif"/>
          <w:b w:val="false"/>
          <w:sz w:val="16"/>
        </w:rPr>
      </w:pPr>
      <w:r>
        <w:rPr>
          <w:rFonts w:ascii="Arial;sans-serif" w:hAnsi="Arial;sans-serif"/>
          <w:b w:val="false"/>
          <w:sz w:val="16"/>
        </w:rPr>
        <w:t>Includes continuation of base salary paid out over six months.</w:t>
      </w:r>
    </w:p>
    <w:p>
      <w:pPr>
        <w:pStyle w:val="TextBody"/>
        <w:bidi w:val="0"/>
        <w:spacing w:before="60" w:after="0"/>
        <w:jc w:val="both"/>
        <w:rPr>
          <w:rFonts w:ascii="Arial" w:hAnsi="Arial"/>
          <w:b w:val="false"/>
          <w:sz w:val="16"/>
        </w:rPr>
      </w:pPr>
      <w:r>
        <w:rPr>
          <w:rFonts w:ascii="Arial" w:hAnsi="Arial"/>
          <w:b w:val="false"/>
          <w:sz w:val="16"/>
        </w:rPr>
        <w:t>(9)</w:t>
      </w:r>
    </w:p>
    <w:p>
      <w:pPr>
        <w:pStyle w:val="TextBody"/>
        <w:bidi w:val="0"/>
        <w:spacing w:before="60" w:after="283"/>
        <w:jc w:val="both"/>
        <w:rPr>
          <w:rFonts w:ascii="Arial;sans-serif" w:hAnsi="Arial;sans-serif"/>
          <w:b w:val="false"/>
          <w:sz w:val="16"/>
        </w:rPr>
      </w:pPr>
      <w:r>
        <w:rPr>
          <w:rFonts w:ascii="Arial;sans-serif" w:hAnsi="Arial;sans-serif"/>
          <w:b w:val="false"/>
          <w:sz w:val="16"/>
        </w:rPr>
        <w:t>Includes continuation of base salary paid out over 12 months and an amount equal to the average of the cash bonus paid for each of the two fiscal years immediately preceding termination.</w:t>
      </w:r>
    </w:p>
    <w:p>
      <w:pPr>
        <w:pStyle w:val="TextBody"/>
        <w:bidi w:val="0"/>
        <w:spacing w:before="0" w:after="0"/>
        <w:jc w:val="left"/>
        <w:rPr/>
      </w:pPr>
      <w:r>
        <w:rPr/>
        <w:t> </w:t>
      </w:r>
    </w:p>
    <w:tbl>
      <w:tblPr>
        <w:tblW w:w="3762" w:type="dxa"/>
        <w:jc w:val="left"/>
        <w:tblInd w:w="0" w:type="dxa"/>
        <w:tblLayout w:type="fixed"/>
        <w:tblCellMar>
          <w:top w:w="28" w:type="dxa"/>
          <w:left w:w="28" w:type="dxa"/>
          <w:bottom w:w="28" w:type="dxa"/>
          <w:right w:w="28" w:type="dxa"/>
        </w:tblCellMar>
      </w:tblPr>
      <w:tblGrid>
        <w:gridCol w:w="2266"/>
        <w:gridCol w:w="1496"/>
      </w:tblGrid>
      <w:tr>
        <w:trPr/>
        <w:tc>
          <w:tcPr>
            <w:tcW w:w="226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36</w:t>
            </w:r>
            <w:r>
              <w:rPr>
                <w:rFonts w:ascii="Times New Roman" w:hAnsi="Times New Roman"/>
                <w:sz w:val="18"/>
              </w:rPr>
              <w:t> </w:t>
            </w:r>
            <w:r>
              <w:rPr>
                <w:rFonts w:ascii="Arial;sans-serif" w:hAnsi="Arial;sans-serif"/>
                <w:b w:val="false"/>
                <w:sz w:val="18"/>
              </w:rPr>
              <w:t>I 2023 Proxy Statement</w:t>
            </w:r>
          </w:p>
        </w:tc>
        <w:tc>
          <w:tcPr>
            <w:tcW w:w="1496" w:type="dxa"/>
            <w:tcBorders/>
            <w:vAlign w:val="center"/>
          </w:tcPr>
          <w:p>
            <w:pPr>
              <w:pStyle w:val="TableContents"/>
              <w:bidi w:val="0"/>
              <w:spacing w:before="0" w:after="0"/>
              <w:ind w:left="0" w:right="0" w:hanging="0"/>
              <w:jc w:val="right"/>
              <w:rPr/>
            </w:pPr>
            <w:r>
              <w:rPr/>
              <w:drawing>
                <wp:inline distT="0" distB="0" distL="0" distR="0">
                  <wp:extent cx="828675" cy="19050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828675" cy="190500"/>
                          </a:xfrm>
                          <a:prstGeom prst="rect">
                            <a:avLst/>
                          </a:prstGeom>
                        </pic:spPr>
                      </pic:pic>
                    </a:graphicData>
                  </a:graphic>
                </wp:inline>
              </w:drawing>
            </w: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2487" w:type="dxa"/>
        <w:jc w:val="left"/>
        <w:tblInd w:w="0" w:type="dxa"/>
        <w:tblLayout w:type="fixed"/>
        <w:tblCellMar>
          <w:top w:w="28" w:type="dxa"/>
          <w:left w:w="28" w:type="dxa"/>
          <w:bottom w:w="28" w:type="dxa"/>
          <w:right w:w="28" w:type="dxa"/>
        </w:tblCellMar>
      </w:tblPr>
      <w:tblGrid>
        <w:gridCol w:w="2296"/>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Executive Compensation</w:t>
            </w:r>
          </w:p>
        </w:tc>
        <w:tc>
          <w:tcPr>
            <w:tcW w:w="191" w:type="dxa"/>
            <w:tcBorders/>
            <w:vAlign w:val="center"/>
          </w:tcPr>
          <w:p>
            <w:pPr>
              <w:pStyle w:val="TableContents"/>
              <w:bidi w:val="0"/>
              <w:spacing w:before="0" w:after="0"/>
              <w:ind w:left="0" w:right="0" w:hanging="0"/>
              <w:jc w:val="left"/>
              <w:rPr/>
            </w:pPr>
            <w:r>
              <w:rPr/>
              <w:t> </w:t>
            </w:r>
          </w:p>
        </w:tc>
      </w:tr>
      <w:tr>
        <w:trPr/>
        <w:tc>
          <w:tcPr>
            <w:tcW w:w="229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both"/>
        <w:rPr>
          <w:rFonts w:ascii="Arial;sans-serif" w:hAnsi="Arial;sans-serif"/>
          <w:b/>
          <w:sz w:val="28"/>
        </w:rPr>
      </w:pPr>
      <w:r>
        <w:rPr>
          <w:rFonts w:ascii="Arial;sans-serif" w:hAnsi="Arial;sans-serif"/>
          <w:b/>
          <w:sz w:val="28"/>
        </w:rPr>
        <w:t>CEO PAY RATIO</w:t>
      </w:r>
    </w:p>
    <w:p>
      <w:pPr>
        <w:pStyle w:val="TextBody"/>
        <w:bidi w:val="0"/>
        <w:spacing w:before="0" w:after="0"/>
        <w:jc w:val="both"/>
        <w:rPr/>
      </w:pPr>
      <w:r>
        <w:rPr/>
        <w:t> </w:t>
      </w:r>
    </w:p>
    <w:tbl>
      <w:tblPr>
        <w:tblW w:w="6531" w:type="dxa"/>
        <w:jc w:val="left"/>
        <w:tblInd w:w="0" w:type="dxa"/>
        <w:tblLayout w:type="fixed"/>
        <w:tblCellMar>
          <w:top w:w="28" w:type="dxa"/>
          <w:left w:w="28" w:type="dxa"/>
          <w:bottom w:w="28" w:type="dxa"/>
          <w:right w:w="28" w:type="dxa"/>
        </w:tblCellMar>
      </w:tblPr>
      <w:tblGrid>
        <w:gridCol w:w="976"/>
        <w:gridCol w:w="146"/>
        <w:gridCol w:w="274"/>
        <w:gridCol w:w="1136"/>
        <w:gridCol w:w="146"/>
        <w:gridCol w:w="146"/>
        <w:gridCol w:w="249"/>
        <w:gridCol w:w="1027"/>
        <w:gridCol w:w="146"/>
        <w:gridCol w:w="146"/>
        <w:gridCol w:w="1276"/>
        <w:gridCol w:w="146"/>
        <w:gridCol w:w="177"/>
        <w:gridCol w:w="349"/>
        <w:gridCol w:w="191"/>
      </w:tblGrid>
      <w:tr>
        <w:trPr/>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7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Fiscal Year</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10"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 xml:space="preserve">Identification of </w:t>
              <w:br/>
              <w:t xml:space="preserve">Median </w:t>
              <w:br/>
              <w:t>Salary</w:t>
              <w:br/>
              <w:t>($)</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76"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Median</w:t>
              <w:br/>
              <w:t>Employee</w:t>
              <w:br/>
              <w:t>Compensation</w:t>
              <w:br/>
              <w:t>($)</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7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CEO</w:t>
              <w:br/>
              <w:t>Compensation</w:t>
              <w:br/>
              <w:t>($)</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26"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Ratio</w:t>
            </w:r>
          </w:p>
        </w:tc>
        <w:tc>
          <w:tcPr>
            <w:tcW w:w="19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976" w:type="dxa"/>
            <w:tcBorders/>
            <w:vAlign w:val="center"/>
          </w:tcPr>
          <w:p>
            <w:pPr>
              <w:pStyle w:val="TableContents"/>
              <w:bidi w:val="0"/>
              <w:spacing w:before="0" w:after="0"/>
              <w:ind w:left="0" w:right="0" w:hanging="0"/>
              <w:jc w:val="center"/>
              <w:rPr>
                <w:rFonts w:ascii="Arial;sans-serif" w:hAnsi="Arial;sans-serif"/>
                <w:b w:val="false"/>
                <w:sz w:val="16"/>
              </w:rPr>
            </w:pPr>
            <w:r>
              <w:rPr>
                <w:rFonts w:ascii="Arial;sans-serif" w:hAnsi="Arial;sans-serif"/>
                <w:b w:val="false"/>
                <w:sz w:val="16"/>
              </w:rPr>
              <w:t>2023</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113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49,136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left"/>
              <w:rPr/>
            </w:pPr>
            <w:r>
              <w:rPr/>
              <w:t> </w:t>
            </w:r>
          </w:p>
        </w:tc>
        <w:tc>
          <w:tcPr>
            <w:tcW w:w="1027"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52,740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276" w:type="dxa"/>
            <w:tcBorders/>
            <w:vAlign w:val="center"/>
          </w:tcPr>
          <w:p>
            <w:pPr>
              <w:pStyle w:val="TableContents"/>
              <w:bidi w:val="0"/>
              <w:spacing w:before="0" w:after="0"/>
              <w:ind w:left="0" w:right="0" w:hanging="0"/>
              <w:jc w:val="center"/>
              <w:rPr>
                <w:rFonts w:ascii="Times New Roman" w:hAnsi="Times New Roman"/>
                <w:sz w:val="16"/>
              </w:rPr>
            </w:pPr>
            <w:r>
              <w:rPr>
                <w:rFonts w:ascii="Arial;sans-serif" w:hAnsi="Arial;sans-serif"/>
                <w:b w:val="false"/>
                <w:sz w:val="16"/>
              </w:rPr>
              <w:t xml:space="preserve">2,305,721 </w:t>
            </w:r>
            <w:r>
              <w:rPr>
                <w:rFonts w:ascii="Arial;sans-serif" w:hAnsi="Arial;sans-serif"/>
                <w:b w:val="false"/>
                <w:sz w:val="11"/>
              </w:rPr>
              <w:t>(1)</w:t>
            </w:r>
          </w:p>
        </w:tc>
        <w:tc>
          <w:tcPr>
            <w:tcW w:w="146" w:type="dxa"/>
            <w:tcBorders/>
            <w:vAlign w:val="center"/>
          </w:tcPr>
          <w:p>
            <w:pPr>
              <w:pStyle w:val="TableContents"/>
              <w:bidi w:val="0"/>
              <w:spacing w:before="0" w:after="0"/>
              <w:ind w:left="0" w:right="0" w:hanging="0"/>
              <w:jc w:val="center"/>
              <w:rPr/>
            </w:pPr>
            <w:r>
              <w:rPr/>
              <w:t> </w:t>
            </w:r>
          </w:p>
        </w:tc>
        <w:tc>
          <w:tcPr>
            <w:tcW w:w="177" w:type="dxa"/>
            <w:tcBorders/>
            <w:vAlign w:val="center"/>
          </w:tcPr>
          <w:p>
            <w:pPr>
              <w:pStyle w:val="TableContents"/>
              <w:bidi w:val="0"/>
              <w:spacing w:before="0" w:after="0"/>
              <w:ind w:left="0" w:right="0" w:hanging="0"/>
              <w:jc w:val="left"/>
              <w:rPr/>
            </w:pPr>
            <w:r>
              <w:rPr/>
              <w:t> </w:t>
            </w:r>
          </w:p>
        </w:tc>
        <w:tc>
          <w:tcPr>
            <w:tcW w:w="34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45</w:t>
            </w:r>
          </w:p>
        </w:tc>
        <w:tc>
          <w:tcPr>
            <w:tcW w:w="191" w:type="dxa"/>
            <w:tcBorders/>
            <w:vAlign w:val="center"/>
          </w:tcPr>
          <w:p>
            <w:pPr>
              <w:pStyle w:val="TableContents"/>
              <w:bidi w:val="0"/>
              <w:spacing w:before="0" w:after="0"/>
              <w:ind w:left="0" w:right="0" w:hanging="0"/>
              <w:jc w:val="left"/>
              <w:rPr/>
            </w:pPr>
            <w:r>
              <w:rPr/>
              <w:t> </w:t>
            </w:r>
          </w:p>
        </w:tc>
      </w:tr>
      <w:tr>
        <w:trPr/>
        <w:tc>
          <w:tcPr>
            <w:tcW w:w="97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10"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76"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7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6"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200"/>
        <w:jc w:val="both"/>
        <w:rPr>
          <w:rFonts w:ascii="Arial" w:hAnsi="Arial"/>
          <w:b w:val="false"/>
          <w:sz w:val="16"/>
        </w:rPr>
      </w:pPr>
      <w:r>
        <w:rPr>
          <w:rFonts w:ascii="Arial" w:hAnsi="Arial"/>
          <w:b w:val="false"/>
          <w:sz w:val="16"/>
        </w:rPr>
        <w:t>(1)</w:t>
      </w:r>
    </w:p>
    <w:p>
      <w:pPr>
        <w:pStyle w:val="TextBody"/>
        <w:bidi w:val="0"/>
        <w:spacing w:before="0" w:after="200"/>
        <w:jc w:val="both"/>
        <w:rPr>
          <w:rFonts w:ascii="Arial;sans-serif" w:hAnsi="Arial;sans-serif"/>
          <w:b w:val="false"/>
          <w:sz w:val="16"/>
        </w:rPr>
      </w:pPr>
      <w:r>
        <w:rPr>
          <w:rFonts w:ascii="Arial;sans-serif" w:hAnsi="Arial;sans-serif"/>
          <w:b w:val="false"/>
          <w:sz w:val="16"/>
        </w:rPr>
        <w:t xml:space="preserve">As reported in the Summary Compensation Table of this Proxy Statement. </w:t>
      </w:r>
    </w:p>
    <w:p>
      <w:pPr>
        <w:pStyle w:val="TextBody"/>
        <w:bidi w:val="0"/>
        <w:spacing w:before="240" w:after="0"/>
        <w:jc w:val="both"/>
        <w:rPr>
          <w:rFonts w:ascii="Arial;sans-serif" w:hAnsi="Arial;sans-serif"/>
          <w:b w:val="false"/>
          <w:sz w:val="20"/>
        </w:rPr>
      </w:pPr>
      <w:r>
        <w:rPr>
          <w:rFonts w:ascii="Arial;sans-serif" w:hAnsi="Arial;sans-serif"/>
          <w:b w:val="false"/>
          <w:sz w:val="20"/>
        </w:rPr>
        <w:t>The pay ratio disclosure presented above is a reasonable estimate. Because SEC rules for identifying the median employee and calculating the pay ratio allow companies to use different methodologies, exemptions, estimates, and assumptions, our CEO pay ratio disclosure may not be comparable to the pay ratio reported by other companies.</w:t>
      </w:r>
    </w:p>
    <w:p>
      <w:pPr>
        <w:pStyle w:val="TextBody"/>
        <w:bidi w:val="0"/>
        <w:spacing w:before="240" w:after="0"/>
        <w:jc w:val="both"/>
        <w:rPr>
          <w:rFonts w:ascii="Arial;sans-serif" w:hAnsi="Arial;sans-serif"/>
          <w:b w:val="false"/>
          <w:sz w:val="20"/>
        </w:rPr>
      </w:pPr>
      <w:r>
        <w:rPr>
          <w:rFonts w:ascii="Arial;sans-serif" w:hAnsi="Arial;sans-serif"/>
          <w:b w:val="false"/>
          <w:sz w:val="20"/>
        </w:rPr>
        <w:t>We selected March 31, of the relevant year, the end of the closest calendar quarter to our April 30 fiscal year end, as the date upon which we would identify the “median employee” because it enabled us to make such identification in a reasonably efficient and economical manner. To identify the “median employee,” we considered the prior trailing 12 months of W-2 wages as of March 31, for our consistently applied compensation measure because we believe that this measure reasonably reflects the annual compensation of our employees. Using this measure, we identified a “median employee” who is a full-time, salaried employee located in Springfield, Massachusetts. Once we identified this median employee, we totaled all of the elements of the employee’s compensation for the relevant fiscal year in accordance with the requirements of the applicable SEC rules, and consistent with the calculation of total compensation of our CEO in the Summary Compensation Table above.</w:t>
      </w:r>
    </w:p>
    <w:p>
      <w:pPr>
        <w:pStyle w:val="TextBody"/>
        <w:bidi w:val="0"/>
        <w:spacing w:before="240" w:after="0"/>
        <w:jc w:val="both"/>
        <w:rPr>
          <w:rFonts w:ascii="Arial;sans-serif" w:hAnsi="Arial;sans-serif"/>
          <w:b/>
          <w:sz w:val="28"/>
        </w:rPr>
      </w:pPr>
      <w:r>
        <w:rPr>
          <w:rFonts w:ascii="Arial;sans-serif" w:hAnsi="Arial;sans-serif"/>
          <w:b/>
          <w:sz w:val="28"/>
        </w:rPr>
        <w:t>PAY VERSUS PERFORMANCE</w:t>
      </w:r>
    </w:p>
    <w:p>
      <w:pPr>
        <w:pStyle w:val="TextBody"/>
        <w:bidi w:val="0"/>
        <w:spacing w:before="240" w:after="240"/>
        <w:jc w:val="both"/>
        <w:rPr>
          <w:rFonts w:ascii="Times New Roman" w:hAnsi="Times New Roman"/>
          <w:sz w:val="20"/>
        </w:rPr>
      </w:pPr>
      <w:r>
        <w:rPr>
          <w:rFonts w:ascii="Arial;sans-serif" w:hAnsi="Arial;sans-serif"/>
          <w:b w:val="false"/>
          <w:sz w:val="20"/>
        </w:rPr>
        <w:t>In accordance with rules adopted by the SEC, we provide the following disclosure regarding executive compensation for our principal executive officer (“PEO”) and Non-PEO NEOs and our performance for the fiscal years listed below. The Compensation Committee did not consider the pay versus performance disclosure below in making its pay decisions for any of the years shown</w:t>
      </w:r>
      <w:r>
        <w:rPr>
          <w:rFonts w:ascii="Times New Roman;serif" w:hAnsi="Times New Roman;serif"/>
          <w:b w:val="false"/>
          <w:sz w:val="24"/>
        </w:rPr>
        <w:t>.</w:t>
      </w:r>
    </w:p>
    <w:tbl>
      <w:tblPr>
        <w:tblW w:w="10960" w:type="dxa"/>
        <w:jc w:val="left"/>
        <w:tblInd w:w="0" w:type="dxa"/>
        <w:tblLayout w:type="fixed"/>
        <w:tblCellMar>
          <w:top w:w="28" w:type="dxa"/>
          <w:left w:w="28" w:type="dxa"/>
          <w:bottom w:w="28" w:type="dxa"/>
          <w:right w:w="28" w:type="dxa"/>
        </w:tblCellMar>
      </w:tblPr>
      <w:tblGrid>
        <w:gridCol w:w="161"/>
        <w:gridCol w:w="406"/>
        <w:gridCol w:w="146"/>
        <w:gridCol w:w="201"/>
        <w:gridCol w:w="805"/>
        <w:gridCol w:w="146"/>
        <w:gridCol w:w="232"/>
        <w:gridCol w:w="774"/>
        <w:gridCol w:w="146"/>
        <w:gridCol w:w="201"/>
        <w:gridCol w:w="805"/>
        <w:gridCol w:w="146"/>
        <w:gridCol w:w="201"/>
        <w:gridCol w:w="805"/>
        <w:gridCol w:w="146"/>
        <w:gridCol w:w="222"/>
        <w:gridCol w:w="739"/>
        <w:gridCol w:w="146"/>
        <w:gridCol w:w="201"/>
        <w:gridCol w:w="805"/>
        <w:gridCol w:w="146"/>
        <w:gridCol w:w="181"/>
        <w:gridCol w:w="331"/>
        <w:gridCol w:w="146"/>
        <w:gridCol w:w="181"/>
        <w:gridCol w:w="331"/>
        <w:gridCol w:w="146"/>
        <w:gridCol w:w="218"/>
        <w:gridCol w:w="728"/>
        <w:gridCol w:w="146"/>
        <w:gridCol w:w="223"/>
        <w:gridCol w:w="558"/>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67" w:type="dxa"/>
            <w:gridSpan w:val="2"/>
            <w:tcBorders/>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Year</w:t>
            </w:r>
          </w:p>
        </w:tc>
        <w:tc>
          <w:tcPr>
            <w:tcW w:w="146" w:type="dxa"/>
            <w:tcBorders/>
            <w:vAlign w:val="center"/>
          </w:tcPr>
          <w:p>
            <w:pPr>
              <w:pStyle w:val="TableContents"/>
              <w:bidi w:val="0"/>
              <w:spacing w:before="0" w:after="0"/>
              <w:ind w:left="0" w:right="0" w:hanging="0"/>
              <w:jc w:val="center"/>
              <w:rPr/>
            </w:pPr>
            <w:r>
              <w:rPr/>
              <w:t> </w:t>
            </w:r>
          </w:p>
        </w:tc>
        <w:tc>
          <w:tcPr>
            <w:tcW w:w="1006" w:type="dxa"/>
            <w:gridSpan w:val="2"/>
            <w:tcBorders/>
            <w:vAlign w:val="center"/>
          </w:tcPr>
          <w:p>
            <w:pPr>
              <w:pStyle w:val="TableContents"/>
              <w:bidi w:val="0"/>
              <w:spacing w:before="0" w:after="0"/>
              <w:ind w:left="0" w:right="0" w:hanging="0"/>
              <w:jc w:val="center"/>
              <w:rPr>
                <w:rFonts w:ascii="Times New Roman" w:hAnsi="Times New Roman"/>
                <w:sz w:val="14"/>
              </w:rPr>
            </w:pPr>
            <w:r>
              <w:rPr>
                <w:rFonts w:ascii="Arial;sans-serif" w:hAnsi="Arial;sans-serif"/>
                <w:b/>
                <w:sz w:val="14"/>
              </w:rPr>
              <w:t>Summary Compensation Table Total for Mark P. Smith</w:t>
            </w:r>
            <w:r>
              <w:rPr>
                <w:rFonts w:ascii="Times New Roman;serif" w:hAnsi="Times New Roman;serif"/>
                <w:b/>
                <w:sz w:val="9"/>
              </w:rPr>
              <w:t>1</w:t>
            </w:r>
            <w:r>
              <w:rPr>
                <w:rFonts w:ascii="Times New Roman" w:hAnsi="Times New Roman"/>
                <w:sz w:val="14"/>
              </w:rPr>
              <w:t> </w:t>
            </w:r>
            <w:r>
              <w:rPr>
                <w:rFonts w:ascii="Times New Roman;serif" w:hAnsi="Times New Roman;serif"/>
                <w:b/>
                <w:sz w:val="14"/>
              </w:rPr>
              <w:br/>
              <w:t>($)</w:t>
            </w:r>
          </w:p>
        </w:tc>
        <w:tc>
          <w:tcPr>
            <w:tcW w:w="146" w:type="dxa"/>
            <w:tcBorders/>
            <w:vAlign w:val="center"/>
          </w:tcPr>
          <w:p>
            <w:pPr>
              <w:pStyle w:val="TableContents"/>
              <w:bidi w:val="0"/>
              <w:spacing w:before="0" w:after="0"/>
              <w:ind w:left="0" w:right="0" w:hanging="0"/>
              <w:jc w:val="center"/>
              <w:rPr/>
            </w:pPr>
            <w:r>
              <w:rPr/>
              <w:t> </w:t>
            </w:r>
          </w:p>
        </w:tc>
        <w:tc>
          <w:tcPr>
            <w:tcW w:w="1006" w:type="dxa"/>
            <w:gridSpan w:val="2"/>
            <w:tcBorders/>
            <w:vAlign w:val="center"/>
          </w:tcPr>
          <w:p>
            <w:pPr>
              <w:pStyle w:val="TableContents"/>
              <w:bidi w:val="0"/>
              <w:spacing w:before="0" w:after="0"/>
              <w:ind w:left="0" w:right="0" w:hanging="0"/>
              <w:jc w:val="center"/>
              <w:rPr>
                <w:rFonts w:ascii="Times New Roman" w:hAnsi="Times New Roman"/>
                <w:sz w:val="14"/>
              </w:rPr>
            </w:pPr>
            <w:r>
              <w:rPr>
                <w:rFonts w:ascii="Arial;sans-serif" w:hAnsi="Arial;sans-serif"/>
                <w:b/>
                <w:sz w:val="14"/>
              </w:rPr>
              <w:t>Summary Compensation Table Total for Brian D. Murphy</w:t>
            </w:r>
            <w:r>
              <w:rPr>
                <w:rFonts w:ascii="Times New Roman;serif" w:hAnsi="Times New Roman;serif"/>
                <w:b/>
                <w:sz w:val="9"/>
              </w:rPr>
              <w:t>1</w:t>
            </w:r>
            <w:r>
              <w:rPr>
                <w:rFonts w:ascii="Times New Roman" w:hAnsi="Times New Roman"/>
                <w:sz w:val="14"/>
              </w:rPr>
              <w:t> </w:t>
            </w:r>
            <w:r>
              <w:rPr>
                <w:rFonts w:ascii="Times New Roman;serif" w:hAnsi="Times New Roman;serif"/>
                <w:b/>
                <w:sz w:val="14"/>
              </w:rPr>
              <w:br/>
              <w:t>($)</w:t>
            </w:r>
          </w:p>
        </w:tc>
        <w:tc>
          <w:tcPr>
            <w:tcW w:w="146" w:type="dxa"/>
            <w:tcBorders/>
            <w:vAlign w:val="center"/>
          </w:tcPr>
          <w:p>
            <w:pPr>
              <w:pStyle w:val="TableContents"/>
              <w:bidi w:val="0"/>
              <w:spacing w:before="0" w:after="0"/>
              <w:ind w:left="0" w:right="0" w:hanging="0"/>
              <w:jc w:val="center"/>
              <w:rPr/>
            </w:pPr>
            <w:r>
              <w:rPr/>
              <w:t> </w:t>
            </w:r>
          </w:p>
        </w:tc>
        <w:tc>
          <w:tcPr>
            <w:tcW w:w="1006" w:type="dxa"/>
            <w:gridSpan w:val="2"/>
            <w:tcBorders/>
            <w:vAlign w:val="center"/>
          </w:tcPr>
          <w:p>
            <w:pPr>
              <w:pStyle w:val="TableContents"/>
              <w:bidi w:val="0"/>
              <w:spacing w:before="0" w:after="0"/>
              <w:ind w:left="0" w:right="0" w:hanging="0"/>
              <w:jc w:val="center"/>
              <w:rPr>
                <w:rFonts w:ascii="Times New Roman" w:hAnsi="Times New Roman"/>
                <w:sz w:val="14"/>
              </w:rPr>
            </w:pPr>
            <w:r>
              <w:rPr>
                <w:rFonts w:ascii="Arial;sans-serif" w:hAnsi="Arial;sans-serif"/>
                <w:b/>
                <w:sz w:val="14"/>
              </w:rPr>
              <w:t>Compensation Actually Paid to Mark P. Smith</w:t>
            </w:r>
            <w:r>
              <w:rPr>
                <w:rFonts w:ascii="Times New Roman;serif" w:hAnsi="Times New Roman;serif"/>
                <w:b/>
                <w:sz w:val="9"/>
              </w:rPr>
              <w:t xml:space="preserve">1,2,3 </w:t>
              <w:br/>
            </w:r>
            <w:r>
              <w:rPr>
                <w:rFonts w:ascii="Times New Roman;serif" w:hAnsi="Times New Roman;serif"/>
                <w:b/>
                <w:sz w:val="14"/>
              </w:rPr>
              <w:t>($)</w:t>
            </w:r>
          </w:p>
        </w:tc>
        <w:tc>
          <w:tcPr>
            <w:tcW w:w="146" w:type="dxa"/>
            <w:tcBorders/>
            <w:vAlign w:val="center"/>
          </w:tcPr>
          <w:p>
            <w:pPr>
              <w:pStyle w:val="TableContents"/>
              <w:bidi w:val="0"/>
              <w:spacing w:before="0" w:after="0"/>
              <w:ind w:left="0" w:right="0" w:hanging="0"/>
              <w:jc w:val="center"/>
              <w:rPr/>
            </w:pPr>
            <w:r>
              <w:rPr/>
              <w:t> </w:t>
            </w:r>
          </w:p>
        </w:tc>
        <w:tc>
          <w:tcPr>
            <w:tcW w:w="1006" w:type="dxa"/>
            <w:gridSpan w:val="2"/>
            <w:tcBorders/>
            <w:vAlign w:val="center"/>
          </w:tcPr>
          <w:p>
            <w:pPr>
              <w:pStyle w:val="TableContents"/>
              <w:bidi w:val="0"/>
              <w:spacing w:before="0" w:after="0"/>
              <w:ind w:left="0" w:right="0" w:hanging="0"/>
              <w:jc w:val="center"/>
              <w:rPr>
                <w:rFonts w:ascii="Times New Roman" w:hAnsi="Times New Roman"/>
                <w:sz w:val="14"/>
              </w:rPr>
            </w:pPr>
            <w:r>
              <w:rPr>
                <w:rFonts w:ascii="Arial;sans-serif" w:hAnsi="Arial;sans-serif"/>
                <w:b/>
                <w:sz w:val="14"/>
              </w:rPr>
              <w:t>Compensation Actually Paid to Brian D. Murphy</w:t>
            </w:r>
            <w:r>
              <w:rPr>
                <w:rFonts w:ascii="Times New Roman;serif" w:hAnsi="Times New Roman;serif"/>
                <w:b/>
                <w:sz w:val="9"/>
              </w:rPr>
              <w:t>1,2,3</w:t>
            </w:r>
            <w:r>
              <w:rPr>
                <w:rFonts w:ascii="Times New Roman" w:hAnsi="Times New Roman"/>
                <w:sz w:val="14"/>
              </w:rPr>
              <w:t> </w:t>
            </w:r>
            <w:r>
              <w:rPr>
                <w:rFonts w:ascii="Times New Roman;serif" w:hAnsi="Times New Roman;serif"/>
                <w:b/>
                <w:sz w:val="14"/>
              </w:rPr>
              <w:br/>
              <w:t>($)</w:t>
            </w:r>
          </w:p>
        </w:tc>
        <w:tc>
          <w:tcPr>
            <w:tcW w:w="146" w:type="dxa"/>
            <w:tcBorders/>
            <w:vAlign w:val="center"/>
          </w:tcPr>
          <w:p>
            <w:pPr>
              <w:pStyle w:val="TableContents"/>
              <w:bidi w:val="0"/>
              <w:spacing w:before="0" w:after="0"/>
              <w:ind w:left="0" w:right="0" w:hanging="0"/>
              <w:jc w:val="center"/>
              <w:rPr/>
            </w:pPr>
            <w:r>
              <w:rPr/>
              <w:t> </w:t>
            </w:r>
          </w:p>
        </w:tc>
        <w:tc>
          <w:tcPr>
            <w:tcW w:w="961" w:type="dxa"/>
            <w:gridSpan w:val="2"/>
            <w:tcBorders/>
            <w:vAlign w:val="center"/>
          </w:tcPr>
          <w:p>
            <w:pPr>
              <w:pStyle w:val="TableContents"/>
              <w:bidi w:val="0"/>
              <w:spacing w:before="0" w:after="0"/>
              <w:ind w:left="0" w:right="0" w:hanging="0"/>
              <w:jc w:val="center"/>
              <w:rPr>
                <w:rFonts w:ascii="Times New Roman" w:hAnsi="Times New Roman"/>
                <w:sz w:val="14"/>
              </w:rPr>
            </w:pPr>
            <w:r>
              <w:rPr>
                <w:rFonts w:ascii="Times New Roman;serif" w:hAnsi="Times New Roman;serif"/>
                <w:b/>
                <w:sz w:val="14"/>
              </w:rPr>
              <w:t>Average Summary Compensation Table Total for Non-PEO NEOs</w:t>
            </w:r>
            <w:r>
              <w:rPr>
                <w:rFonts w:ascii="Times New Roman;serif" w:hAnsi="Times New Roman;serif"/>
                <w:b/>
                <w:sz w:val="9"/>
              </w:rPr>
              <w:t>1</w:t>
            </w:r>
            <w:r>
              <w:rPr>
                <w:rFonts w:ascii="Times New Roman" w:hAnsi="Times New Roman"/>
                <w:sz w:val="14"/>
              </w:rPr>
              <w:t> </w:t>
            </w:r>
            <w:r>
              <w:rPr>
                <w:rFonts w:ascii="Times New Roman;serif" w:hAnsi="Times New Roman;serif"/>
                <w:b/>
                <w:sz w:val="14"/>
              </w:rPr>
              <w:br/>
              <w:t>($)</w:t>
            </w:r>
          </w:p>
        </w:tc>
        <w:tc>
          <w:tcPr>
            <w:tcW w:w="146" w:type="dxa"/>
            <w:tcBorders/>
            <w:vAlign w:val="center"/>
          </w:tcPr>
          <w:p>
            <w:pPr>
              <w:pStyle w:val="TableContents"/>
              <w:bidi w:val="0"/>
              <w:spacing w:before="0" w:after="0"/>
              <w:ind w:left="0" w:right="0" w:hanging="0"/>
              <w:jc w:val="center"/>
              <w:rPr/>
            </w:pPr>
            <w:r>
              <w:rPr/>
              <w:t> </w:t>
            </w:r>
          </w:p>
        </w:tc>
        <w:tc>
          <w:tcPr>
            <w:tcW w:w="1006" w:type="dxa"/>
            <w:gridSpan w:val="2"/>
            <w:tcBorders/>
            <w:vAlign w:val="center"/>
          </w:tcPr>
          <w:p>
            <w:pPr>
              <w:pStyle w:val="TableContents"/>
              <w:bidi w:val="0"/>
              <w:spacing w:before="0" w:after="0"/>
              <w:ind w:left="0" w:right="0" w:hanging="0"/>
              <w:jc w:val="center"/>
              <w:rPr>
                <w:rFonts w:ascii="Times New Roman" w:hAnsi="Times New Roman"/>
                <w:sz w:val="14"/>
              </w:rPr>
            </w:pPr>
            <w:r>
              <w:rPr>
                <w:rFonts w:ascii="Arial;sans-serif" w:hAnsi="Arial;sans-serif"/>
                <w:b/>
                <w:sz w:val="14"/>
              </w:rPr>
              <w:t>Average Compensation Actually Paid to Non-PEO NEOs</w:t>
            </w:r>
            <w:r>
              <w:rPr>
                <w:rFonts w:ascii="Times New Roman;serif" w:hAnsi="Times New Roman;serif"/>
                <w:b/>
                <w:sz w:val="9"/>
              </w:rPr>
              <w:t xml:space="preserve">1,2,3 </w:t>
              <w:br/>
            </w:r>
            <w:r>
              <w:rPr>
                <w:rFonts w:ascii="Times New Roman;serif" w:hAnsi="Times New Roman;serif"/>
                <w:b/>
                <w:sz w:val="14"/>
              </w:rPr>
              <w:t>($)</w:t>
            </w:r>
          </w:p>
        </w:tc>
        <w:tc>
          <w:tcPr>
            <w:tcW w:w="146" w:type="dxa"/>
            <w:tcBorders/>
            <w:vAlign w:val="center"/>
          </w:tcPr>
          <w:p>
            <w:pPr>
              <w:pStyle w:val="TableContents"/>
              <w:bidi w:val="0"/>
              <w:spacing w:before="0" w:after="0"/>
              <w:ind w:left="0" w:right="0" w:hanging="0"/>
              <w:jc w:val="center"/>
              <w:rPr/>
            </w:pPr>
            <w:r>
              <w:rPr/>
              <w:t> </w:t>
            </w:r>
          </w:p>
        </w:tc>
        <w:tc>
          <w:tcPr>
            <w:tcW w:w="1170" w:type="dxa"/>
            <w:gridSpan w:val="5"/>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4"/>
              </w:rPr>
            </w:pPr>
            <w:r>
              <w:rPr>
                <w:rFonts w:ascii="Arial;sans-serif" w:hAnsi="Arial;sans-serif"/>
                <w:b/>
                <w:sz w:val="14"/>
              </w:rPr>
              <w:t>Value of Initial Fixed $100 Investment based on:</w:t>
            </w:r>
            <w:r>
              <w:rPr>
                <w:rFonts w:ascii="Times New Roman;serif" w:hAnsi="Times New Roman;serif"/>
                <w:b/>
                <w:sz w:val="9"/>
              </w:rPr>
              <w:t>4</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46"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 xml:space="preserve">Net Income </w:t>
              <w:br/>
              <w:t>($ Thousands)</w:t>
            </w:r>
          </w:p>
        </w:tc>
        <w:tc>
          <w:tcPr>
            <w:tcW w:w="146" w:type="dxa"/>
            <w:tcBorders/>
            <w:vAlign w:val="center"/>
          </w:tcPr>
          <w:p>
            <w:pPr>
              <w:pStyle w:val="TableContents"/>
              <w:bidi w:val="0"/>
              <w:spacing w:before="0" w:after="0"/>
              <w:ind w:left="0" w:right="0" w:hanging="0"/>
              <w:jc w:val="center"/>
              <w:rPr/>
            </w:pPr>
            <w:r>
              <w:rPr/>
              <w:t> </w:t>
            </w:r>
          </w:p>
        </w:tc>
        <w:tc>
          <w:tcPr>
            <w:tcW w:w="781" w:type="dxa"/>
            <w:gridSpan w:val="2"/>
            <w:tcBorders/>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 xml:space="preserve">Adjusted EBITDAS </w:t>
              <w:br/>
              <w:t>($ Millions)⁵</w:t>
            </w:r>
          </w:p>
        </w:tc>
        <w:tc>
          <w:tcPr>
            <w:tcW w:w="191" w:type="dxa"/>
            <w:tcBorders/>
            <w:vAlign w:val="center"/>
          </w:tcPr>
          <w:p>
            <w:pPr>
              <w:pStyle w:val="TableContents"/>
              <w:bidi w:val="0"/>
              <w:spacing w:before="0" w:after="0"/>
              <w:ind w:left="0" w:right="0" w:hanging="0"/>
              <w:jc w:val="center"/>
              <w:rPr/>
            </w:pPr>
            <w:r>
              <w:rPr/>
              <w:t> </w:t>
            </w:r>
          </w:p>
        </w:tc>
      </w:tr>
      <w:tr>
        <w:trPr/>
        <w:tc>
          <w:tcPr>
            <w:tcW w:w="567"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06"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06"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06"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06"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61"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06"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12"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 xml:space="preserve">TSR </w:t>
              <w:br/>
              <w:t>($)</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12"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 xml:space="preserve">Peer Group TSR </w:t>
              <w:br/>
              <w:t>($)</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46"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1"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67" w:type="dxa"/>
            <w:gridSpan w:val="2"/>
            <w:tcBorders/>
            <w:vAlign w:val="center"/>
          </w:tcPr>
          <w:p>
            <w:pPr>
              <w:pStyle w:val="TableContents"/>
              <w:bidi w:val="0"/>
              <w:spacing w:before="0" w:after="0"/>
              <w:ind w:left="0" w:right="0" w:hanging="0"/>
              <w:jc w:val="center"/>
              <w:rPr>
                <w:rFonts w:ascii="Arial;sans-serif" w:hAnsi="Arial;sans-serif"/>
                <w:b w:val="false"/>
                <w:sz w:val="14"/>
              </w:rPr>
            </w:pPr>
            <w:r>
              <w:rPr>
                <w:rFonts w:ascii="Arial;sans-serif" w:hAnsi="Arial;sans-serif"/>
                <w:b w:val="false"/>
                <w:sz w:val="14"/>
              </w:rPr>
              <w:t>(a)</w:t>
            </w:r>
          </w:p>
        </w:tc>
        <w:tc>
          <w:tcPr>
            <w:tcW w:w="146" w:type="dxa"/>
            <w:tcBorders/>
            <w:vAlign w:val="center"/>
          </w:tcPr>
          <w:p>
            <w:pPr>
              <w:pStyle w:val="TableContents"/>
              <w:bidi w:val="0"/>
              <w:spacing w:before="0" w:after="0"/>
              <w:ind w:left="0" w:right="0" w:hanging="0"/>
              <w:jc w:val="center"/>
              <w:rPr/>
            </w:pPr>
            <w:r>
              <w:rPr/>
              <w:t> </w:t>
            </w:r>
          </w:p>
        </w:tc>
        <w:tc>
          <w:tcPr>
            <w:tcW w:w="1006" w:type="dxa"/>
            <w:gridSpan w:val="2"/>
            <w:tcBorders/>
            <w:vAlign w:val="center"/>
          </w:tcPr>
          <w:p>
            <w:pPr>
              <w:pStyle w:val="TableContents"/>
              <w:bidi w:val="0"/>
              <w:spacing w:before="0" w:after="0"/>
              <w:ind w:left="0" w:right="0" w:hanging="0"/>
              <w:jc w:val="center"/>
              <w:rPr>
                <w:rFonts w:ascii="Arial;sans-serif" w:hAnsi="Arial;sans-serif"/>
                <w:b w:val="false"/>
                <w:sz w:val="14"/>
              </w:rPr>
            </w:pPr>
            <w:r>
              <w:rPr>
                <w:rFonts w:ascii="Arial;sans-serif" w:hAnsi="Arial;sans-serif"/>
                <w:b w:val="false"/>
                <w:sz w:val="14"/>
              </w:rPr>
              <w:t>(b)</w:t>
            </w:r>
          </w:p>
        </w:tc>
        <w:tc>
          <w:tcPr>
            <w:tcW w:w="146" w:type="dxa"/>
            <w:tcBorders/>
            <w:vAlign w:val="center"/>
          </w:tcPr>
          <w:p>
            <w:pPr>
              <w:pStyle w:val="TableContents"/>
              <w:bidi w:val="0"/>
              <w:spacing w:before="0" w:after="0"/>
              <w:ind w:left="0" w:right="0" w:hanging="0"/>
              <w:jc w:val="center"/>
              <w:rPr/>
            </w:pPr>
            <w:r>
              <w:rPr/>
              <w:t> </w:t>
            </w:r>
          </w:p>
        </w:tc>
        <w:tc>
          <w:tcPr>
            <w:tcW w:w="1006" w:type="dxa"/>
            <w:gridSpan w:val="2"/>
            <w:tcBorders/>
            <w:vAlign w:val="center"/>
          </w:tcPr>
          <w:p>
            <w:pPr>
              <w:pStyle w:val="TableContents"/>
              <w:bidi w:val="0"/>
              <w:spacing w:before="0" w:after="0"/>
              <w:ind w:left="0" w:right="0" w:hanging="0"/>
              <w:jc w:val="center"/>
              <w:rPr>
                <w:rFonts w:ascii="Arial;sans-serif" w:hAnsi="Arial;sans-serif"/>
                <w:b w:val="false"/>
                <w:sz w:val="14"/>
              </w:rPr>
            </w:pPr>
            <w:r>
              <w:rPr>
                <w:rFonts w:ascii="Arial;sans-serif" w:hAnsi="Arial;sans-serif"/>
                <w:b w:val="false"/>
                <w:sz w:val="14"/>
              </w:rPr>
              <w:t>(b)</w:t>
            </w:r>
          </w:p>
        </w:tc>
        <w:tc>
          <w:tcPr>
            <w:tcW w:w="146" w:type="dxa"/>
            <w:tcBorders/>
            <w:vAlign w:val="center"/>
          </w:tcPr>
          <w:p>
            <w:pPr>
              <w:pStyle w:val="TableContents"/>
              <w:bidi w:val="0"/>
              <w:spacing w:before="0" w:after="0"/>
              <w:ind w:left="0" w:right="0" w:hanging="0"/>
              <w:jc w:val="center"/>
              <w:rPr/>
            </w:pPr>
            <w:r>
              <w:rPr/>
              <w:t> </w:t>
            </w:r>
          </w:p>
        </w:tc>
        <w:tc>
          <w:tcPr>
            <w:tcW w:w="1006" w:type="dxa"/>
            <w:gridSpan w:val="2"/>
            <w:tcBorders/>
            <w:vAlign w:val="center"/>
          </w:tcPr>
          <w:p>
            <w:pPr>
              <w:pStyle w:val="TableContents"/>
              <w:bidi w:val="0"/>
              <w:spacing w:before="0" w:after="0"/>
              <w:ind w:left="0" w:right="0" w:hanging="0"/>
              <w:jc w:val="center"/>
              <w:rPr>
                <w:rFonts w:ascii="Arial;sans-serif" w:hAnsi="Arial;sans-serif"/>
                <w:b w:val="false"/>
                <w:sz w:val="14"/>
              </w:rPr>
            </w:pPr>
            <w:r>
              <w:rPr>
                <w:rFonts w:ascii="Arial;sans-serif" w:hAnsi="Arial;sans-serif"/>
                <w:b w:val="false"/>
                <w:sz w:val="14"/>
              </w:rPr>
              <w:t>(c)</w:t>
            </w:r>
          </w:p>
        </w:tc>
        <w:tc>
          <w:tcPr>
            <w:tcW w:w="146" w:type="dxa"/>
            <w:tcBorders/>
            <w:vAlign w:val="center"/>
          </w:tcPr>
          <w:p>
            <w:pPr>
              <w:pStyle w:val="TableContents"/>
              <w:bidi w:val="0"/>
              <w:spacing w:before="0" w:after="0"/>
              <w:ind w:left="0" w:right="0" w:hanging="0"/>
              <w:jc w:val="center"/>
              <w:rPr/>
            </w:pPr>
            <w:r>
              <w:rPr/>
              <w:t> </w:t>
            </w:r>
          </w:p>
        </w:tc>
        <w:tc>
          <w:tcPr>
            <w:tcW w:w="1006" w:type="dxa"/>
            <w:gridSpan w:val="2"/>
            <w:tcBorders/>
            <w:vAlign w:val="center"/>
          </w:tcPr>
          <w:p>
            <w:pPr>
              <w:pStyle w:val="TableContents"/>
              <w:bidi w:val="0"/>
              <w:spacing w:before="0" w:after="0"/>
              <w:ind w:left="0" w:right="0" w:hanging="0"/>
              <w:jc w:val="center"/>
              <w:rPr>
                <w:rFonts w:ascii="Arial;sans-serif" w:hAnsi="Arial;sans-serif"/>
                <w:b w:val="false"/>
                <w:sz w:val="14"/>
              </w:rPr>
            </w:pPr>
            <w:r>
              <w:rPr>
                <w:rFonts w:ascii="Arial;sans-serif" w:hAnsi="Arial;sans-serif"/>
                <w:b w:val="false"/>
                <w:sz w:val="14"/>
              </w:rPr>
              <w:t>(c)</w:t>
            </w:r>
          </w:p>
        </w:tc>
        <w:tc>
          <w:tcPr>
            <w:tcW w:w="146" w:type="dxa"/>
            <w:tcBorders/>
            <w:vAlign w:val="center"/>
          </w:tcPr>
          <w:p>
            <w:pPr>
              <w:pStyle w:val="TableContents"/>
              <w:bidi w:val="0"/>
              <w:spacing w:before="0" w:after="0"/>
              <w:ind w:left="0" w:right="0" w:hanging="0"/>
              <w:jc w:val="center"/>
              <w:rPr/>
            </w:pPr>
            <w:r>
              <w:rPr/>
              <w:t> </w:t>
            </w:r>
          </w:p>
        </w:tc>
        <w:tc>
          <w:tcPr>
            <w:tcW w:w="961" w:type="dxa"/>
            <w:gridSpan w:val="2"/>
            <w:tcBorders/>
            <w:vAlign w:val="center"/>
          </w:tcPr>
          <w:p>
            <w:pPr>
              <w:pStyle w:val="TableContents"/>
              <w:bidi w:val="0"/>
              <w:spacing w:before="0" w:after="0"/>
              <w:ind w:left="0" w:right="0" w:hanging="0"/>
              <w:jc w:val="center"/>
              <w:rPr>
                <w:rFonts w:ascii="Arial;sans-serif" w:hAnsi="Arial;sans-serif"/>
                <w:b w:val="false"/>
                <w:sz w:val="14"/>
              </w:rPr>
            </w:pPr>
            <w:r>
              <w:rPr>
                <w:rFonts w:ascii="Arial;sans-serif" w:hAnsi="Arial;sans-serif"/>
                <w:b w:val="false"/>
                <w:sz w:val="14"/>
              </w:rPr>
              <w:t>(d)</w:t>
            </w:r>
          </w:p>
        </w:tc>
        <w:tc>
          <w:tcPr>
            <w:tcW w:w="146" w:type="dxa"/>
            <w:tcBorders/>
            <w:vAlign w:val="center"/>
          </w:tcPr>
          <w:p>
            <w:pPr>
              <w:pStyle w:val="TableContents"/>
              <w:bidi w:val="0"/>
              <w:spacing w:before="0" w:after="0"/>
              <w:ind w:left="0" w:right="0" w:hanging="0"/>
              <w:jc w:val="center"/>
              <w:rPr/>
            </w:pPr>
            <w:r>
              <w:rPr/>
              <w:t> </w:t>
            </w:r>
          </w:p>
        </w:tc>
        <w:tc>
          <w:tcPr>
            <w:tcW w:w="1006" w:type="dxa"/>
            <w:gridSpan w:val="2"/>
            <w:tcBorders/>
            <w:vAlign w:val="center"/>
          </w:tcPr>
          <w:p>
            <w:pPr>
              <w:pStyle w:val="TableContents"/>
              <w:bidi w:val="0"/>
              <w:spacing w:before="0" w:after="0"/>
              <w:ind w:left="0" w:right="0" w:hanging="0"/>
              <w:jc w:val="center"/>
              <w:rPr>
                <w:rFonts w:ascii="Arial;sans-serif" w:hAnsi="Arial;sans-serif"/>
                <w:b w:val="false"/>
                <w:sz w:val="14"/>
              </w:rPr>
            </w:pPr>
            <w:r>
              <w:rPr>
                <w:rFonts w:ascii="Arial;sans-serif" w:hAnsi="Arial;sans-serif"/>
                <w:b w:val="false"/>
                <w:sz w:val="14"/>
              </w:rPr>
              <w:t>(e)</w:t>
            </w:r>
          </w:p>
        </w:tc>
        <w:tc>
          <w:tcPr>
            <w:tcW w:w="146" w:type="dxa"/>
            <w:tcBorders/>
            <w:vAlign w:val="center"/>
          </w:tcPr>
          <w:p>
            <w:pPr>
              <w:pStyle w:val="TableContents"/>
              <w:bidi w:val="0"/>
              <w:spacing w:before="0" w:after="0"/>
              <w:ind w:left="0" w:right="0" w:hanging="0"/>
              <w:jc w:val="center"/>
              <w:rPr/>
            </w:pPr>
            <w:r>
              <w:rPr/>
              <w:t> </w:t>
            </w:r>
          </w:p>
        </w:tc>
        <w:tc>
          <w:tcPr>
            <w:tcW w:w="512" w:type="dxa"/>
            <w:gridSpan w:val="2"/>
            <w:tcBorders/>
            <w:vAlign w:val="center"/>
          </w:tcPr>
          <w:p>
            <w:pPr>
              <w:pStyle w:val="TableContents"/>
              <w:bidi w:val="0"/>
              <w:spacing w:before="0" w:after="0"/>
              <w:ind w:left="0" w:right="0" w:hanging="0"/>
              <w:jc w:val="center"/>
              <w:rPr>
                <w:rFonts w:ascii="Arial;sans-serif" w:hAnsi="Arial;sans-serif"/>
                <w:b w:val="false"/>
                <w:sz w:val="14"/>
              </w:rPr>
            </w:pPr>
            <w:r>
              <w:rPr>
                <w:rFonts w:ascii="Arial;sans-serif" w:hAnsi="Arial;sans-serif"/>
                <w:b w:val="false"/>
                <w:sz w:val="14"/>
              </w:rPr>
              <w:t>(f)</w:t>
            </w:r>
          </w:p>
        </w:tc>
        <w:tc>
          <w:tcPr>
            <w:tcW w:w="146" w:type="dxa"/>
            <w:tcBorders/>
            <w:vAlign w:val="center"/>
          </w:tcPr>
          <w:p>
            <w:pPr>
              <w:pStyle w:val="TableContents"/>
              <w:bidi w:val="0"/>
              <w:spacing w:before="0" w:after="0"/>
              <w:ind w:left="0" w:right="0" w:hanging="0"/>
              <w:jc w:val="center"/>
              <w:rPr/>
            </w:pPr>
            <w:r>
              <w:rPr/>
              <w:t> </w:t>
            </w:r>
          </w:p>
        </w:tc>
        <w:tc>
          <w:tcPr>
            <w:tcW w:w="512" w:type="dxa"/>
            <w:gridSpan w:val="2"/>
            <w:tcBorders/>
            <w:vAlign w:val="center"/>
          </w:tcPr>
          <w:p>
            <w:pPr>
              <w:pStyle w:val="TableContents"/>
              <w:bidi w:val="0"/>
              <w:spacing w:before="0" w:after="0"/>
              <w:ind w:left="0" w:right="0" w:hanging="0"/>
              <w:jc w:val="center"/>
              <w:rPr>
                <w:rFonts w:ascii="Arial;sans-serif" w:hAnsi="Arial;sans-serif"/>
                <w:b w:val="false"/>
                <w:sz w:val="14"/>
              </w:rPr>
            </w:pPr>
            <w:r>
              <w:rPr>
                <w:rFonts w:ascii="Arial;sans-serif" w:hAnsi="Arial;sans-serif"/>
                <w:b w:val="false"/>
                <w:sz w:val="14"/>
              </w:rPr>
              <w:t>(g)</w:t>
            </w:r>
          </w:p>
        </w:tc>
        <w:tc>
          <w:tcPr>
            <w:tcW w:w="146" w:type="dxa"/>
            <w:tcBorders/>
            <w:vAlign w:val="center"/>
          </w:tcPr>
          <w:p>
            <w:pPr>
              <w:pStyle w:val="TableContents"/>
              <w:bidi w:val="0"/>
              <w:spacing w:before="0" w:after="0"/>
              <w:ind w:left="0" w:right="0" w:hanging="0"/>
              <w:jc w:val="center"/>
              <w:rPr/>
            </w:pPr>
            <w:r>
              <w:rPr/>
              <w:t> </w:t>
            </w:r>
          </w:p>
        </w:tc>
        <w:tc>
          <w:tcPr>
            <w:tcW w:w="946" w:type="dxa"/>
            <w:gridSpan w:val="2"/>
            <w:tcBorders/>
            <w:vAlign w:val="center"/>
          </w:tcPr>
          <w:p>
            <w:pPr>
              <w:pStyle w:val="TableContents"/>
              <w:bidi w:val="0"/>
              <w:spacing w:before="0" w:after="0"/>
              <w:ind w:left="0" w:right="0" w:hanging="0"/>
              <w:jc w:val="center"/>
              <w:rPr>
                <w:rFonts w:ascii="Arial;sans-serif" w:hAnsi="Arial;sans-serif"/>
                <w:b w:val="false"/>
                <w:sz w:val="14"/>
              </w:rPr>
            </w:pPr>
            <w:r>
              <w:rPr>
                <w:rFonts w:ascii="Arial;sans-serif" w:hAnsi="Arial;sans-serif"/>
                <w:b w:val="false"/>
                <w:sz w:val="14"/>
              </w:rPr>
              <w:t>(h)</w:t>
            </w:r>
          </w:p>
        </w:tc>
        <w:tc>
          <w:tcPr>
            <w:tcW w:w="146" w:type="dxa"/>
            <w:tcBorders/>
            <w:vAlign w:val="center"/>
          </w:tcPr>
          <w:p>
            <w:pPr>
              <w:pStyle w:val="TableContents"/>
              <w:bidi w:val="0"/>
              <w:spacing w:before="0" w:after="0"/>
              <w:ind w:left="0" w:right="0" w:hanging="0"/>
              <w:jc w:val="center"/>
              <w:rPr/>
            </w:pPr>
            <w:r>
              <w:rPr/>
              <w:t> </w:t>
            </w:r>
          </w:p>
        </w:tc>
        <w:tc>
          <w:tcPr>
            <w:tcW w:w="781" w:type="dxa"/>
            <w:gridSpan w:val="2"/>
            <w:tcBorders/>
            <w:vAlign w:val="center"/>
          </w:tcPr>
          <w:p>
            <w:pPr>
              <w:pStyle w:val="TableContents"/>
              <w:bidi w:val="0"/>
              <w:spacing w:before="0" w:after="0"/>
              <w:ind w:left="0" w:right="0" w:hanging="0"/>
              <w:jc w:val="center"/>
              <w:rPr>
                <w:rFonts w:ascii="Arial;sans-serif" w:hAnsi="Arial;sans-serif"/>
                <w:b w:val="false"/>
                <w:sz w:val="14"/>
              </w:rPr>
            </w:pPr>
            <w:r>
              <w:rPr>
                <w:rFonts w:ascii="Arial;sans-serif" w:hAnsi="Arial;sans-serif"/>
                <w:b w:val="false"/>
                <w:sz w:val="14"/>
              </w:rPr>
              <w:t>(i)</w:t>
            </w:r>
          </w:p>
        </w:tc>
        <w:tc>
          <w:tcPr>
            <w:tcW w:w="191" w:type="dxa"/>
            <w:tcBorders/>
            <w:vAlign w:val="center"/>
          </w:tcPr>
          <w:p>
            <w:pPr>
              <w:pStyle w:val="TableContents"/>
              <w:bidi w:val="0"/>
              <w:spacing w:before="0" w:after="0"/>
              <w:ind w:left="0" w:right="0" w:hanging="0"/>
              <w:jc w:val="center"/>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2023</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805"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2,305,721</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77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805"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694,299</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80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739"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765,141</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805"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521,907</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33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167</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33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142</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728"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36,876</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558"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95.2</w:t>
            </w:r>
          </w:p>
        </w:tc>
        <w:tc>
          <w:tcPr>
            <w:tcW w:w="191"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2022</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805"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2,821,898</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77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805"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1,725,797</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80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739"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836,695</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805"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344,465</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33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183</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33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163</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728"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194,494</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558"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299.6</w:t>
            </w:r>
          </w:p>
        </w:tc>
        <w:tc>
          <w:tcPr>
            <w:tcW w:w="191"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2021</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805"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2,704,939</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774"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206,319</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805"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4,393,799</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805"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2,051,760</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739"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785,434</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805"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1,324,456</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33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229</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33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198</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728"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252,049</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558"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366.6</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240" w:after="240"/>
        <w:jc w:val="both"/>
        <w:rPr>
          <w:rFonts w:ascii="Times New Roman" w:hAnsi="Times New Roman"/>
          <w:sz w:val="20"/>
        </w:rPr>
      </w:pPr>
      <w:r>
        <w:rPr>
          <w:rFonts w:ascii="Arial;sans-serif" w:hAnsi="Arial;sans-serif"/>
          <w:b w:val="false"/>
          <w:sz w:val="16"/>
        </w:rPr>
        <w:t>1. Mark P. Smith</w:t>
      </w:r>
      <w:r>
        <w:rPr>
          <w:rFonts w:ascii="Times New Roman" w:hAnsi="Times New Roman"/>
          <w:sz w:val="20"/>
        </w:rPr>
        <w:t xml:space="preserve"> </w:t>
      </w:r>
      <w:r>
        <w:rPr>
          <w:rFonts w:ascii="Arial;sans-serif" w:hAnsi="Arial;sans-serif"/>
          <w:b w:val="false"/>
          <w:sz w:val="16"/>
        </w:rPr>
        <w:t>was our Co-President and Co-Chief Executive Officer from January 15, 2020 until August 23, 2020; he has served as our Chief Executive Officer since August 24, 2020. Brian D. Murphy</w:t>
      </w:r>
      <w:r>
        <w:rPr>
          <w:rFonts w:ascii="Times New Roman" w:hAnsi="Times New Roman"/>
          <w:sz w:val="20"/>
        </w:rPr>
        <w:t xml:space="preserve"> </w:t>
      </w:r>
      <w:r>
        <w:rPr>
          <w:rFonts w:ascii="Arial;sans-serif" w:hAnsi="Arial;sans-serif"/>
          <w:b w:val="false"/>
          <w:sz w:val="16"/>
        </w:rPr>
        <w:t>was our Co-President and Co-Chief Executive Officer from January 15, 2020, until his resignation on August 23, 2020 when he became the CEO of American Outdoor Brands, Inc., which we spun-off to our stockholders in August 2020. The individuals comprising the Non-PEO NEOs for each year presented are listed below.</w:t>
      </w:r>
    </w:p>
    <w:tbl>
      <w:tblPr>
        <w:tblW w:w="5013" w:type="dxa"/>
        <w:jc w:val="left"/>
        <w:tblInd w:w="0" w:type="dxa"/>
        <w:tblLayout w:type="fixed"/>
        <w:tblCellMar>
          <w:top w:w="28" w:type="dxa"/>
          <w:left w:w="28" w:type="dxa"/>
          <w:bottom w:w="28" w:type="dxa"/>
          <w:right w:w="28" w:type="dxa"/>
        </w:tblCellMar>
      </w:tblPr>
      <w:tblGrid>
        <w:gridCol w:w="1666"/>
        <w:gridCol w:w="1651"/>
        <w:gridCol w:w="1696"/>
      </w:tblGrid>
      <w:tr>
        <w:trPr/>
        <w:tc>
          <w:tcPr>
            <w:tcW w:w="166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2021</w:t>
            </w:r>
          </w:p>
        </w:tc>
        <w:tc>
          <w:tcPr>
            <w:tcW w:w="1651" w:type="dxa"/>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1696" w:type="dxa"/>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r>
      <w:tr>
        <w:trPr/>
        <w:tc>
          <w:tcPr>
            <w:tcW w:w="1666" w:type="dxa"/>
            <w:tcBorders/>
            <w:vAlign w:val="center"/>
          </w:tcPr>
          <w:p>
            <w:pPr>
              <w:pStyle w:val="TableContents"/>
              <w:bidi w:val="0"/>
              <w:spacing w:before="0" w:after="0"/>
              <w:ind w:left="0" w:right="0" w:hanging="0"/>
              <w:jc w:val="center"/>
              <w:rPr>
                <w:rFonts w:ascii="Arial;sans-serif" w:hAnsi="Arial;sans-serif"/>
                <w:b w:val="false"/>
                <w:sz w:val="16"/>
              </w:rPr>
            </w:pPr>
            <w:r>
              <w:rPr>
                <w:rFonts w:ascii="Arial;sans-serif" w:hAnsi="Arial;sans-serif"/>
                <w:b w:val="false"/>
                <w:sz w:val="16"/>
              </w:rPr>
              <w:t>Deana L. McPherson</w:t>
            </w:r>
          </w:p>
        </w:tc>
        <w:tc>
          <w:tcPr>
            <w:tcW w:w="1651" w:type="dxa"/>
            <w:tcBorders/>
            <w:vAlign w:val="center"/>
          </w:tcPr>
          <w:p>
            <w:pPr>
              <w:pStyle w:val="TableContents"/>
              <w:bidi w:val="0"/>
              <w:spacing w:before="0" w:after="0"/>
              <w:ind w:left="0" w:right="0" w:hanging="0"/>
              <w:jc w:val="center"/>
              <w:rPr>
                <w:rFonts w:ascii="Arial;sans-serif" w:hAnsi="Arial;sans-serif"/>
                <w:b w:val="false"/>
                <w:sz w:val="16"/>
              </w:rPr>
            </w:pPr>
            <w:r>
              <w:rPr>
                <w:rFonts w:ascii="Arial;sans-serif" w:hAnsi="Arial;sans-serif"/>
                <w:b w:val="false"/>
                <w:sz w:val="16"/>
              </w:rPr>
              <w:t>Deana L. McPherson</w:t>
            </w:r>
          </w:p>
        </w:tc>
        <w:tc>
          <w:tcPr>
            <w:tcW w:w="1696" w:type="dxa"/>
            <w:tcBorders/>
            <w:vAlign w:val="center"/>
          </w:tcPr>
          <w:p>
            <w:pPr>
              <w:pStyle w:val="TableContents"/>
              <w:bidi w:val="0"/>
              <w:spacing w:before="0" w:after="0"/>
              <w:ind w:left="0" w:right="0" w:hanging="0"/>
              <w:jc w:val="center"/>
              <w:rPr>
                <w:rFonts w:ascii="Arial;sans-serif" w:hAnsi="Arial;sans-serif"/>
                <w:b w:val="false"/>
                <w:sz w:val="16"/>
              </w:rPr>
            </w:pPr>
            <w:r>
              <w:rPr>
                <w:rFonts w:ascii="Arial;sans-serif" w:hAnsi="Arial;sans-serif"/>
                <w:b w:val="false"/>
                <w:sz w:val="16"/>
              </w:rPr>
              <w:t>Deana L. McPherson</w:t>
            </w:r>
          </w:p>
        </w:tc>
      </w:tr>
      <w:tr>
        <w:trPr/>
        <w:tc>
          <w:tcPr>
            <w:tcW w:w="1666" w:type="dxa"/>
            <w:tcBorders/>
            <w:vAlign w:val="center"/>
          </w:tcPr>
          <w:p>
            <w:pPr>
              <w:pStyle w:val="TableContents"/>
              <w:bidi w:val="0"/>
              <w:spacing w:before="0" w:after="0"/>
              <w:ind w:left="0" w:right="0" w:hanging="0"/>
              <w:jc w:val="center"/>
              <w:rPr>
                <w:rFonts w:ascii="Arial;sans-serif" w:hAnsi="Arial;sans-serif"/>
                <w:b w:val="false"/>
                <w:sz w:val="16"/>
              </w:rPr>
            </w:pPr>
            <w:r>
              <w:rPr>
                <w:rFonts w:ascii="Arial;sans-serif" w:hAnsi="Arial;sans-serif"/>
                <w:b w:val="false"/>
                <w:sz w:val="16"/>
              </w:rPr>
              <w:t>Jeffrey D. Buchanan</w:t>
            </w:r>
          </w:p>
        </w:tc>
        <w:tc>
          <w:tcPr>
            <w:tcW w:w="1651" w:type="dxa"/>
            <w:tcBorders/>
            <w:vAlign w:val="center"/>
          </w:tcPr>
          <w:p>
            <w:pPr>
              <w:pStyle w:val="TableContents"/>
              <w:bidi w:val="0"/>
              <w:spacing w:before="0" w:after="0"/>
              <w:ind w:left="0" w:right="0" w:hanging="0"/>
              <w:jc w:val="center"/>
              <w:rPr>
                <w:rFonts w:ascii="Arial;sans-serif" w:hAnsi="Arial;sans-serif"/>
                <w:b w:val="false"/>
                <w:sz w:val="16"/>
              </w:rPr>
            </w:pPr>
            <w:r>
              <w:rPr>
                <w:rFonts w:ascii="Arial;sans-serif" w:hAnsi="Arial;sans-serif"/>
                <w:b w:val="false"/>
                <w:sz w:val="16"/>
              </w:rPr>
              <w:t>Kevin A. Maxwell</w:t>
            </w:r>
          </w:p>
        </w:tc>
        <w:tc>
          <w:tcPr>
            <w:tcW w:w="1696" w:type="dxa"/>
            <w:tcBorders/>
            <w:vAlign w:val="center"/>
          </w:tcPr>
          <w:p>
            <w:pPr>
              <w:pStyle w:val="TableContents"/>
              <w:bidi w:val="0"/>
              <w:spacing w:before="0" w:after="0"/>
              <w:ind w:left="0" w:right="0" w:hanging="0"/>
              <w:jc w:val="center"/>
              <w:rPr>
                <w:rFonts w:ascii="Arial;sans-serif" w:hAnsi="Arial;sans-serif"/>
                <w:b w:val="false"/>
                <w:sz w:val="16"/>
              </w:rPr>
            </w:pPr>
            <w:r>
              <w:rPr>
                <w:rFonts w:ascii="Arial;sans-serif" w:hAnsi="Arial;sans-serif"/>
                <w:b w:val="false"/>
                <w:sz w:val="16"/>
              </w:rPr>
              <w:t>Kevin A. Maxwell</w:t>
            </w:r>
          </w:p>
        </w:tc>
      </w:tr>
      <w:tr>
        <w:trPr/>
        <w:tc>
          <w:tcPr>
            <w:tcW w:w="1666" w:type="dxa"/>
            <w:tcBorders/>
            <w:vAlign w:val="center"/>
          </w:tcPr>
          <w:p>
            <w:pPr>
              <w:pStyle w:val="TableContents"/>
              <w:bidi w:val="0"/>
              <w:spacing w:before="0" w:after="0"/>
              <w:ind w:left="0" w:right="0" w:hanging="0"/>
              <w:jc w:val="center"/>
              <w:rPr>
                <w:rFonts w:ascii="Arial;sans-serif" w:hAnsi="Arial;sans-serif"/>
                <w:b w:val="false"/>
                <w:sz w:val="16"/>
              </w:rPr>
            </w:pPr>
            <w:r>
              <w:rPr>
                <w:rFonts w:ascii="Arial;sans-serif" w:hAnsi="Arial;sans-serif"/>
                <w:b w:val="false"/>
                <w:sz w:val="16"/>
              </w:rPr>
              <w:t>Robert J. Cicero</w:t>
            </w:r>
          </w:p>
        </w:tc>
        <w:tc>
          <w:tcPr>
            <w:tcW w:w="1651" w:type="dxa"/>
            <w:tcBorders/>
            <w:vAlign w:val="center"/>
          </w:tcPr>
          <w:p>
            <w:pPr>
              <w:pStyle w:val="TableContents"/>
              <w:bidi w:val="0"/>
              <w:spacing w:before="0" w:after="0"/>
              <w:ind w:left="0" w:right="0" w:hanging="0"/>
              <w:jc w:val="center"/>
              <w:rPr>
                <w:rFonts w:ascii="Arial;sans-serif" w:hAnsi="Arial;sans-serif"/>
                <w:b w:val="false"/>
                <w:sz w:val="16"/>
              </w:rPr>
            </w:pPr>
            <w:r>
              <w:rPr>
                <w:rFonts w:ascii="Arial;sans-serif" w:hAnsi="Arial;sans-serif"/>
                <w:b w:val="false"/>
                <w:sz w:val="16"/>
              </w:rPr>
              <w:t>Susan J. Cupero</w:t>
            </w:r>
          </w:p>
        </w:tc>
        <w:tc>
          <w:tcPr>
            <w:tcW w:w="1696" w:type="dxa"/>
            <w:tcBorders/>
            <w:vAlign w:val="center"/>
          </w:tcPr>
          <w:p>
            <w:pPr>
              <w:pStyle w:val="TableContents"/>
              <w:bidi w:val="0"/>
              <w:spacing w:before="0" w:after="0"/>
              <w:ind w:left="0" w:right="0" w:hanging="0"/>
              <w:jc w:val="center"/>
              <w:rPr>
                <w:rFonts w:ascii="Arial;sans-serif" w:hAnsi="Arial;sans-serif"/>
                <w:b w:val="false"/>
                <w:sz w:val="16"/>
              </w:rPr>
            </w:pPr>
            <w:r>
              <w:rPr>
                <w:rFonts w:ascii="Arial;sans-serif" w:hAnsi="Arial;sans-serif"/>
                <w:b w:val="false"/>
                <w:sz w:val="16"/>
              </w:rPr>
              <w:t>Susan J. Cupero</w:t>
            </w:r>
          </w:p>
        </w:tc>
      </w:tr>
      <w:tr>
        <w:trPr/>
        <w:tc>
          <w:tcPr>
            <w:tcW w:w="1666" w:type="dxa"/>
            <w:tcBorders/>
            <w:vAlign w:val="center"/>
          </w:tcPr>
          <w:p>
            <w:pPr>
              <w:pStyle w:val="TableContents"/>
              <w:bidi w:val="0"/>
              <w:spacing w:before="0" w:after="0"/>
              <w:ind w:left="0" w:right="0" w:hanging="0"/>
              <w:jc w:val="center"/>
              <w:rPr>
                <w:rFonts w:ascii="Arial;sans-serif" w:hAnsi="Arial;sans-serif"/>
                <w:b w:val="false"/>
                <w:sz w:val="16"/>
              </w:rPr>
            </w:pPr>
            <w:r>
              <w:rPr>
                <w:rFonts w:ascii="Arial;sans-serif" w:hAnsi="Arial;sans-serif"/>
                <w:b w:val="false"/>
                <w:sz w:val="16"/>
              </w:rPr>
              <w:t>Susan J. Cupero</w:t>
            </w:r>
          </w:p>
        </w:tc>
        <w:tc>
          <w:tcPr>
            <w:tcW w:w="1651" w:type="dxa"/>
            <w:tcBorders/>
            <w:vAlign w:val="center"/>
          </w:tcPr>
          <w:p>
            <w:pPr>
              <w:pStyle w:val="TableContents"/>
              <w:bidi w:val="0"/>
              <w:spacing w:before="0" w:after="0"/>
              <w:ind w:left="0" w:right="0" w:hanging="0"/>
              <w:jc w:val="center"/>
              <w:rPr>
                <w:rFonts w:ascii="Arial;sans-serif" w:hAnsi="Arial;sans-serif"/>
                <w:b w:val="false"/>
                <w:sz w:val="16"/>
              </w:rPr>
            </w:pPr>
            <w:r>
              <w:rPr>
                <w:rFonts w:ascii="Arial;sans-serif" w:hAnsi="Arial;sans-serif"/>
                <w:b w:val="false"/>
                <w:sz w:val="16"/>
              </w:rPr>
              <w:t>Robert. J. Cicero</w:t>
            </w:r>
          </w:p>
        </w:tc>
        <w:tc>
          <w:tcPr>
            <w:tcW w:w="1696" w:type="dxa"/>
            <w:tcBorders/>
            <w:vAlign w:val="center"/>
          </w:tcPr>
          <w:p>
            <w:pPr>
              <w:pStyle w:val="TableContents"/>
              <w:bidi w:val="0"/>
              <w:spacing w:before="0" w:after="0"/>
              <w:ind w:left="0" w:right="0" w:hanging="0"/>
              <w:jc w:val="center"/>
              <w:rPr/>
            </w:pPr>
            <w:r>
              <w:rPr/>
              <w:t> </w:t>
            </w:r>
          </w:p>
        </w:tc>
      </w:tr>
      <w:tr>
        <w:trPr/>
        <w:tc>
          <w:tcPr>
            <w:tcW w:w="1666" w:type="dxa"/>
            <w:tcBorders/>
            <w:vAlign w:val="center"/>
          </w:tcPr>
          <w:p>
            <w:pPr>
              <w:pStyle w:val="TableContents"/>
              <w:bidi w:val="0"/>
              <w:spacing w:before="0" w:after="0"/>
              <w:ind w:left="0" w:right="0" w:hanging="0"/>
              <w:jc w:val="center"/>
              <w:rPr>
                <w:rFonts w:ascii="Arial;sans-serif" w:hAnsi="Arial;sans-serif"/>
                <w:b w:val="false"/>
                <w:sz w:val="16"/>
              </w:rPr>
            </w:pPr>
            <w:r>
              <w:rPr>
                <w:rFonts w:ascii="Arial;sans-serif" w:hAnsi="Arial;sans-serif"/>
                <w:b w:val="false"/>
                <w:sz w:val="16"/>
              </w:rPr>
              <w:t>Lane A. Tobiassen</w:t>
            </w:r>
          </w:p>
        </w:tc>
        <w:tc>
          <w:tcPr>
            <w:tcW w:w="1651" w:type="dxa"/>
            <w:tcBorders/>
            <w:vAlign w:val="center"/>
          </w:tcPr>
          <w:p>
            <w:pPr>
              <w:pStyle w:val="TableContents"/>
              <w:bidi w:val="0"/>
              <w:spacing w:before="0" w:after="0"/>
              <w:ind w:left="0" w:right="0" w:hanging="0"/>
              <w:jc w:val="center"/>
              <w:rPr/>
            </w:pPr>
            <w:r>
              <w:rPr/>
              <w:t> </w:t>
            </w:r>
          </w:p>
        </w:tc>
        <w:tc>
          <w:tcPr>
            <w:tcW w:w="1696" w:type="dxa"/>
            <w:tcBorders/>
            <w:vAlign w:val="center"/>
          </w:tcPr>
          <w:p>
            <w:pPr>
              <w:pStyle w:val="TableContents"/>
              <w:bidi w:val="0"/>
              <w:spacing w:before="0" w:after="0"/>
              <w:ind w:left="0" w:right="0" w:hanging="0"/>
              <w:jc w:val="center"/>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3762" w:type="dxa"/>
        <w:jc w:val="left"/>
        <w:tblInd w:w="0" w:type="dxa"/>
        <w:tblLayout w:type="fixed"/>
        <w:tblCellMar>
          <w:top w:w="28" w:type="dxa"/>
          <w:left w:w="28" w:type="dxa"/>
          <w:bottom w:w="28" w:type="dxa"/>
          <w:right w:w="28" w:type="dxa"/>
        </w:tblCellMar>
      </w:tblPr>
      <w:tblGrid>
        <w:gridCol w:w="2266"/>
        <w:gridCol w:w="1496"/>
      </w:tblGrid>
      <w:tr>
        <w:trPr/>
        <w:tc>
          <w:tcPr>
            <w:tcW w:w="226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37</w:t>
            </w:r>
            <w:r>
              <w:rPr>
                <w:rFonts w:ascii="Times New Roman" w:hAnsi="Times New Roman"/>
                <w:sz w:val="18"/>
              </w:rPr>
              <w:t> </w:t>
            </w:r>
            <w:r>
              <w:rPr>
                <w:rFonts w:ascii="Arial;sans-serif" w:hAnsi="Arial;sans-serif"/>
                <w:b w:val="false"/>
                <w:sz w:val="18"/>
              </w:rPr>
              <w:t>I 2023 Proxy Statement</w:t>
            </w:r>
          </w:p>
        </w:tc>
        <w:tc>
          <w:tcPr>
            <w:tcW w:w="1496" w:type="dxa"/>
            <w:tcBorders/>
            <w:vAlign w:val="center"/>
          </w:tcPr>
          <w:p>
            <w:pPr>
              <w:pStyle w:val="TableContents"/>
              <w:bidi w:val="0"/>
              <w:spacing w:before="0" w:after="0"/>
              <w:ind w:left="0" w:right="0" w:hanging="0"/>
              <w:jc w:val="right"/>
              <w:rPr/>
            </w:pPr>
            <w:r>
              <w:rPr/>
              <w:drawing>
                <wp:inline distT="0" distB="0" distL="0" distR="0">
                  <wp:extent cx="828675" cy="19050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828675" cy="190500"/>
                          </a:xfrm>
                          <a:prstGeom prst="rect">
                            <a:avLst/>
                          </a:prstGeom>
                        </pic:spPr>
                      </pic:pic>
                    </a:graphicData>
                  </a:graphic>
                </wp:inline>
              </w:drawing>
            </w: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2487" w:type="dxa"/>
        <w:jc w:val="left"/>
        <w:tblInd w:w="0" w:type="dxa"/>
        <w:tblLayout w:type="fixed"/>
        <w:tblCellMar>
          <w:top w:w="28" w:type="dxa"/>
          <w:left w:w="28" w:type="dxa"/>
          <w:bottom w:w="28" w:type="dxa"/>
          <w:right w:w="28" w:type="dxa"/>
        </w:tblCellMar>
      </w:tblPr>
      <w:tblGrid>
        <w:gridCol w:w="2296"/>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Executive Compensation</w:t>
            </w:r>
          </w:p>
        </w:tc>
        <w:tc>
          <w:tcPr>
            <w:tcW w:w="191" w:type="dxa"/>
            <w:tcBorders/>
            <w:vAlign w:val="center"/>
          </w:tcPr>
          <w:p>
            <w:pPr>
              <w:pStyle w:val="TableContents"/>
              <w:bidi w:val="0"/>
              <w:spacing w:before="0" w:after="0"/>
              <w:ind w:left="0" w:right="0" w:hanging="0"/>
              <w:jc w:val="left"/>
              <w:rPr/>
            </w:pPr>
            <w:r>
              <w:rPr/>
              <w:t> </w:t>
            </w:r>
          </w:p>
        </w:tc>
      </w:tr>
      <w:tr>
        <w:trPr/>
        <w:tc>
          <w:tcPr>
            <w:tcW w:w="229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240"/>
        <w:jc w:val="both"/>
        <w:rPr>
          <w:rFonts w:ascii="Arial;sans-serif" w:hAnsi="Arial;sans-serif"/>
          <w:b w:val="false"/>
          <w:sz w:val="16"/>
        </w:rPr>
      </w:pPr>
      <w:r>
        <w:rPr>
          <w:rFonts w:ascii="Arial;sans-serif" w:hAnsi="Arial;sans-serif"/>
          <w:b w:val="false"/>
          <w:sz w:val="16"/>
        </w:rPr>
        <w:t>2. The amounts shown for Compensation Actually Paid have been calculated in accordance with Item 402(v) of Regulation S-K and do not reflect compensation actually earned, realized, or received by our NEOs. These amounts reflect the Summary Compensation Table Total with certain adjustments as described in footnote 3 below.</w:t>
      </w:r>
    </w:p>
    <w:p>
      <w:pPr>
        <w:pStyle w:val="TextBody"/>
        <w:bidi w:val="0"/>
        <w:spacing w:before="240" w:after="240"/>
        <w:jc w:val="both"/>
        <w:rPr>
          <w:rFonts w:ascii="Arial;sans-serif" w:hAnsi="Arial;sans-serif"/>
          <w:b w:val="false"/>
          <w:sz w:val="16"/>
        </w:rPr>
      </w:pPr>
      <w:r>
        <w:rPr>
          <w:rFonts w:ascii="Arial;sans-serif" w:hAnsi="Arial;sans-serif"/>
          <w:b w:val="false"/>
          <w:sz w:val="16"/>
        </w:rPr>
        <w:t xml:space="preserve">3. Compensation Actually Paid reflects the exclusions and inclusions of certain amounts for the PEOs and the Non-PEO NEOs as set forth below. Equity values are calculated in accordance with FASB ASC Topic 718. Amounts in the Exclusion of Stock Awards column are the amounts from the Stock Awards columns set forth in the Summary Compensation Table. </w:t>
      </w:r>
    </w:p>
    <w:tbl>
      <w:tblPr>
        <w:tblW w:w="10205" w:type="dxa"/>
        <w:jc w:val="left"/>
        <w:tblInd w:w="0" w:type="dxa"/>
        <w:tblLayout w:type="fixed"/>
        <w:tblCellMar>
          <w:top w:w="28" w:type="dxa"/>
          <w:left w:w="28" w:type="dxa"/>
          <w:bottom w:w="28" w:type="dxa"/>
          <w:right w:w="28" w:type="dxa"/>
        </w:tblCellMar>
      </w:tblPr>
      <w:tblGrid>
        <w:gridCol w:w="161"/>
        <w:gridCol w:w="466"/>
        <w:gridCol w:w="146"/>
        <w:gridCol w:w="465"/>
        <w:gridCol w:w="1972"/>
        <w:gridCol w:w="146"/>
        <w:gridCol w:w="375"/>
        <w:gridCol w:w="1700"/>
        <w:gridCol w:w="166"/>
        <w:gridCol w:w="386"/>
        <w:gridCol w:w="1630"/>
        <w:gridCol w:w="166"/>
        <w:gridCol w:w="426"/>
        <w:gridCol w:w="1805"/>
        <w:gridCol w:w="195"/>
      </w:tblGrid>
      <w:tr>
        <w:trPr/>
        <w:tc>
          <w:tcPr>
            <w:tcW w:w="16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627"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Year</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37"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Summary Compensation Table Total for Mark P. Smith</w:t>
              <w:br/>
              <w:t>($)</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075"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Exclusion of Stock Awards for Mark P. Smith</w:t>
              <w:br/>
              <w:t>($)</w:t>
            </w:r>
          </w:p>
        </w:tc>
        <w:tc>
          <w:tcPr>
            <w:tcW w:w="1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016"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Inclusion of Equity Values for Mark P. Smith</w:t>
              <w:br/>
              <w:t>($)</w:t>
            </w:r>
          </w:p>
        </w:tc>
        <w:tc>
          <w:tcPr>
            <w:tcW w:w="1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231"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Compensation Actually Paid to Mark P. Smith</w:t>
              <w:br/>
              <w:t>($)</w:t>
            </w:r>
          </w:p>
        </w:tc>
        <w:tc>
          <w:tcPr>
            <w:tcW w:w="195"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2023</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972"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2,305,721</w:t>
            </w:r>
          </w:p>
        </w:tc>
        <w:tc>
          <w:tcPr>
            <w:tcW w:w="14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700"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(1,502,872</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38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630"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(108,550</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42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805"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694,299</w:t>
            </w:r>
          </w:p>
        </w:tc>
        <w:tc>
          <w:tcPr>
            <w:tcW w:w="195"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2022</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972"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2,821,898</w:t>
            </w:r>
          </w:p>
        </w:tc>
        <w:tc>
          <w:tcPr>
            <w:tcW w:w="14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700"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(1,371,850</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38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630"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275,749</w:t>
            </w:r>
          </w:p>
        </w:tc>
        <w:tc>
          <w:tcPr>
            <w:tcW w:w="166" w:type="dxa"/>
            <w:tcBorders/>
            <w:vAlign w:val="center"/>
          </w:tcPr>
          <w:p>
            <w:pPr>
              <w:pStyle w:val="TableContents"/>
              <w:bidi w:val="0"/>
              <w:spacing w:before="0" w:after="0"/>
              <w:ind w:left="0" w:right="0" w:hanging="0"/>
              <w:jc w:val="left"/>
              <w:rPr/>
            </w:pPr>
            <w:r>
              <w:rPr/>
              <w:t> </w:t>
            </w:r>
          </w:p>
        </w:tc>
        <w:tc>
          <w:tcPr>
            <w:tcW w:w="42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805"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1,725,797</w:t>
            </w:r>
          </w:p>
        </w:tc>
        <w:tc>
          <w:tcPr>
            <w:tcW w:w="195"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2021</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972"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2,704,939</w:t>
            </w:r>
          </w:p>
        </w:tc>
        <w:tc>
          <w:tcPr>
            <w:tcW w:w="14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700"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(1,068,599</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38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630"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2,757,459</w:t>
            </w:r>
          </w:p>
        </w:tc>
        <w:tc>
          <w:tcPr>
            <w:tcW w:w="166" w:type="dxa"/>
            <w:tcBorders/>
            <w:vAlign w:val="center"/>
          </w:tcPr>
          <w:p>
            <w:pPr>
              <w:pStyle w:val="TableContents"/>
              <w:bidi w:val="0"/>
              <w:spacing w:before="0" w:after="0"/>
              <w:ind w:left="0" w:right="0" w:hanging="0"/>
              <w:jc w:val="left"/>
              <w:rPr/>
            </w:pPr>
            <w:r>
              <w:rPr/>
              <w:t> </w:t>
            </w:r>
          </w:p>
        </w:tc>
        <w:tc>
          <w:tcPr>
            <w:tcW w:w="42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805"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4,393,799</w:t>
            </w:r>
          </w:p>
        </w:tc>
        <w:tc>
          <w:tcPr>
            <w:tcW w:w="195" w:type="dxa"/>
            <w:tcBorders/>
            <w:vAlign w:val="center"/>
          </w:tcPr>
          <w:p>
            <w:pPr>
              <w:pStyle w:val="TableContents"/>
              <w:bidi w:val="0"/>
              <w:spacing w:before="0" w:after="0"/>
              <w:ind w:left="0" w:right="0" w:hanging="0"/>
              <w:jc w:val="left"/>
              <w:rPr/>
            </w:pPr>
            <w:r>
              <w:rPr/>
              <w:t> </w:t>
            </w:r>
          </w:p>
        </w:tc>
      </w:tr>
      <w:tr>
        <w:trPr/>
        <w:tc>
          <w:tcPr>
            <w:tcW w:w="62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2016"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2231" w:type="dxa"/>
            <w:gridSpan w:val="2"/>
            <w:tcBorders/>
            <w:vAlign w:val="center"/>
          </w:tcPr>
          <w:p>
            <w:pPr>
              <w:pStyle w:val="TableContents"/>
              <w:bidi w:val="0"/>
              <w:spacing w:before="0" w:after="0"/>
              <w:ind w:left="0" w:right="0" w:hanging="0"/>
              <w:jc w:val="left"/>
              <w:rPr/>
            </w:pPr>
            <w:r>
              <w:rPr/>
              <w:t> </w:t>
            </w:r>
          </w:p>
        </w:tc>
        <w:tc>
          <w:tcPr>
            <w:tcW w:w="195" w:type="dxa"/>
            <w:tcBorders/>
            <w:vAlign w:val="center"/>
          </w:tcPr>
          <w:p>
            <w:pPr>
              <w:pStyle w:val="TableContents"/>
              <w:bidi w:val="0"/>
              <w:spacing w:before="0" w:after="0"/>
              <w:ind w:left="0" w:right="0" w:hanging="0"/>
              <w:jc w:val="left"/>
              <w:rPr/>
            </w:pPr>
            <w:r>
              <w:rPr/>
              <w:t> </w:t>
            </w:r>
          </w:p>
        </w:tc>
      </w:tr>
      <w:tr>
        <w:trPr/>
        <w:tc>
          <w:tcPr>
            <w:tcW w:w="627"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Year</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37"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Summary Compensation Table Total for Brian D. Murphy</w:t>
              <w:br/>
              <w:t>($)</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075"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Exclusion of Stock Awards for Brian D. Murphy</w:t>
              <w:br/>
              <w:t>($)</w:t>
            </w:r>
          </w:p>
        </w:tc>
        <w:tc>
          <w:tcPr>
            <w:tcW w:w="1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016"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Inclusion of Equity Values for Brian D. Murphy</w:t>
              <w:br/>
              <w:t>($)</w:t>
            </w:r>
          </w:p>
        </w:tc>
        <w:tc>
          <w:tcPr>
            <w:tcW w:w="1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231"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Compensation Actually Paid to Brian D. Murphy</w:t>
              <w:br/>
              <w:t>($)</w:t>
            </w:r>
          </w:p>
        </w:tc>
        <w:tc>
          <w:tcPr>
            <w:tcW w:w="195"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2021</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972"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206,319</w:t>
            </w:r>
          </w:p>
        </w:tc>
        <w:tc>
          <w:tcPr>
            <w:tcW w:w="14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70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38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630"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1,845,441</w:t>
            </w:r>
          </w:p>
        </w:tc>
        <w:tc>
          <w:tcPr>
            <w:tcW w:w="166" w:type="dxa"/>
            <w:tcBorders/>
            <w:vAlign w:val="center"/>
          </w:tcPr>
          <w:p>
            <w:pPr>
              <w:pStyle w:val="TableContents"/>
              <w:bidi w:val="0"/>
              <w:spacing w:before="0" w:after="0"/>
              <w:ind w:left="0" w:right="0" w:hanging="0"/>
              <w:jc w:val="left"/>
              <w:rPr/>
            </w:pPr>
            <w:r>
              <w:rPr/>
              <w:t> </w:t>
            </w:r>
          </w:p>
        </w:tc>
        <w:tc>
          <w:tcPr>
            <w:tcW w:w="42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805"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2,051,760</w:t>
            </w:r>
          </w:p>
        </w:tc>
        <w:tc>
          <w:tcPr>
            <w:tcW w:w="195" w:type="dxa"/>
            <w:tcBorders/>
            <w:vAlign w:val="center"/>
          </w:tcPr>
          <w:p>
            <w:pPr>
              <w:pStyle w:val="TableContents"/>
              <w:bidi w:val="0"/>
              <w:spacing w:before="0" w:after="0"/>
              <w:ind w:left="0" w:right="0" w:hanging="0"/>
              <w:jc w:val="left"/>
              <w:rPr/>
            </w:pPr>
            <w:r>
              <w:rPr/>
              <w:t> </w:t>
            </w:r>
          </w:p>
        </w:tc>
      </w:tr>
      <w:tr>
        <w:trPr/>
        <w:tc>
          <w:tcPr>
            <w:tcW w:w="62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2016"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2231" w:type="dxa"/>
            <w:gridSpan w:val="2"/>
            <w:tcBorders/>
            <w:vAlign w:val="center"/>
          </w:tcPr>
          <w:p>
            <w:pPr>
              <w:pStyle w:val="TableContents"/>
              <w:bidi w:val="0"/>
              <w:spacing w:before="0" w:after="0"/>
              <w:ind w:left="0" w:right="0" w:hanging="0"/>
              <w:jc w:val="left"/>
              <w:rPr/>
            </w:pPr>
            <w:r>
              <w:rPr/>
              <w:t> </w:t>
            </w:r>
          </w:p>
        </w:tc>
        <w:tc>
          <w:tcPr>
            <w:tcW w:w="195" w:type="dxa"/>
            <w:tcBorders/>
            <w:vAlign w:val="center"/>
          </w:tcPr>
          <w:p>
            <w:pPr>
              <w:pStyle w:val="TableContents"/>
              <w:bidi w:val="0"/>
              <w:spacing w:before="0" w:after="0"/>
              <w:ind w:left="0" w:right="0" w:hanging="0"/>
              <w:jc w:val="left"/>
              <w:rPr/>
            </w:pPr>
            <w:r>
              <w:rPr/>
              <w:t> </w:t>
            </w:r>
          </w:p>
        </w:tc>
      </w:tr>
      <w:tr>
        <w:trPr/>
        <w:tc>
          <w:tcPr>
            <w:tcW w:w="627"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Year</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37"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Average Summary Compensation Table Total for Non-PEO NEOs</w:t>
              <w:br/>
              <w:t>($)</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075"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Average Exclusion of Stock Awards for Non-PEO NEOs</w:t>
              <w:br/>
              <w:t>($)</w:t>
            </w:r>
          </w:p>
        </w:tc>
        <w:tc>
          <w:tcPr>
            <w:tcW w:w="1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016"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Average Inclusion of Equity Values for Non-PEO NEOs</w:t>
              <w:br/>
              <w:t>($)</w:t>
            </w:r>
          </w:p>
        </w:tc>
        <w:tc>
          <w:tcPr>
            <w:tcW w:w="1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231"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Average Compensation Actually Paid to Non-PEO NEOs</w:t>
              <w:br/>
              <w:t>($)</w:t>
            </w:r>
          </w:p>
        </w:tc>
        <w:tc>
          <w:tcPr>
            <w:tcW w:w="195"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2023</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972"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765,141</w:t>
            </w:r>
          </w:p>
        </w:tc>
        <w:tc>
          <w:tcPr>
            <w:tcW w:w="14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700"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(367,134</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38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630"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123,900</w:t>
            </w:r>
          </w:p>
        </w:tc>
        <w:tc>
          <w:tcPr>
            <w:tcW w:w="166" w:type="dxa"/>
            <w:tcBorders/>
            <w:vAlign w:val="center"/>
          </w:tcPr>
          <w:p>
            <w:pPr>
              <w:pStyle w:val="TableContents"/>
              <w:bidi w:val="0"/>
              <w:spacing w:before="0" w:after="0"/>
              <w:ind w:left="0" w:right="0" w:hanging="0"/>
              <w:jc w:val="left"/>
              <w:rPr/>
            </w:pPr>
            <w:r>
              <w:rPr/>
              <w:t> </w:t>
            </w:r>
          </w:p>
        </w:tc>
        <w:tc>
          <w:tcPr>
            <w:tcW w:w="42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805"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521,907</w:t>
            </w:r>
          </w:p>
        </w:tc>
        <w:tc>
          <w:tcPr>
            <w:tcW w:w="195"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2022</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972"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836,695</w:t>
            </w:r>
          </w:p>
        </w:tc>
        <w:tc>
          <w:tcPr>
            <w:tcW w:w="14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700"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(351,308</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38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630"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(140,922</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42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805"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344,465</w:t>
            </w:r>
          </w:p>
        </w:tc>
        <w:tc>
          <w:tcPr>
            <w:tcW w:w="195"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2021</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972"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785,434</w:t>
            </w:r>
          </w:p>
        </w:tc>
        <w:tc>
          <w:tcPr>
            <w:tcW w:w="14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700"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(164,012</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38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630"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703,034</w:t>
            </w:r>
          </w:p>
        </w:tc>
        <w:tc>
          <w:tcPr>
            <w:tcW w:w="166" w:type="dxa"/>
            <w:tcBorders/>
            <w:vAlign w:val="center"/>
          </w:tcPr>
          <w:p>
            <w:pPr>
              <w:pStyle w:val="TableContents"/>
              <w:bidi w:val="0"/>
              <w:spacing w:before="0" w:after="0"/>
              <w:ind w:left="0" w:right="0" w:hanging="0"/>
              <w:jc w:val="left"/>
              <w:rPr/>
            </w:pPr>
            <w:r>
              <w:rPr/>
              <w:t> </w:t>
            </w:r>
          </w:p>
        </w:tc>
        <w:tc>
          <w:tcPr>
            <w:tcW w:w="42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805"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1,324,456</w:t>
            </w:r>
          </w:p>
        </w:tc>
        <w:tc>
          <w:tcPr>
            <w:tcW w:w="195" w:type="dxa"/>
            <w:tcBorders/>
            <w:vAlign w:val="center"/>
          </w:tcPr>
          <w:p>
            <w:pPr>
              <w:pStyle w:val="TableContents"/>
              <w:bidi w:val="0"/>
              <w:spacing w:before="0" w:after="0"/>
              <w:ind w:left="0" w:right="0" w:hanging="0"/>
              <w:jc w:val="left"/>
              <w:rPr/>
            </w:pPr>
            <w:r>
              <w:rPr/>
              <w:t> </w:t>
            </w:r>
          </w:p>
        </w:tc>
      </w:tr>
    </w:tbl>
    <w:p>
      <w:pPr>
        <w:pStyle w:val="TextBody"/>
        <w:bidi w:val="0"/>
        <w:spacing w:before="240" w:after="240"/>
        <w:jc w:val="both"/>
        <w:rPr>
          <w:rFonts w:ascii="Arial;sans-serif" w:hAnsi="Arial;sans-serif"/>
          <w:b w:val="false"/>
          <w:sz w:val="20"/>
        </w:rPr>
      </w:pPr>
      <w:r>
        <w:rPr>
          <w:rFonts w:ascii="Arial;sans-serif" w:hAnsi="Arial;sans-serif"/>
          <w:b w:val="false"/>
          <w:sz w:val="20"/>
        </w:rPr>
        <w:t>The amounts in the Inclusion of Equity Values in the tables above are derived from the amounts set forth in the following tables:</w:t>
      </w:r>
    </w:p>
    <w:tbl>
      <w:tblPr>
        <w:tblW w:w="10205" w:type="dxa"/>
        <w:jc w:val="left"/>
        <w:tblInd w:w="0" w:type="dxa"/>
        <w:tblLayout w:type="fixed"/>
        <w:tblCellMar>
          <w:top w:w="28" w:type="dxa"/>
          <w:left w:w="28" w:type="dxa"/>
          <w:bottom w:w="28" w:type="dxa"/>
          <w:right w:w="28" w:type="dxa"/>
        </w:tblCellMar>
      </w:tblPr>
      <w:tblGrid>
        <w:gridCol w:w="161"/>
        <w:gridCol w:w="466"/>
        <w:gridCol w:w="146"/>
        <w:gridCol w:w="262"/>
        <w:gridCol w:w="1104"/>
        <w:gridCol w:w="146"/>
        <w:gridCol w:w="252"/>
        <w:gridCol w:w="1139"/>
        <w:gridCol w:w="166"/>
        <w:gridCol w:w="412"/>
        <w:gridCol w:w="791"/>
        <w:gridCol w:w="146"/>
        <w:gridCol w:w="280"/>
        <w:gridCol w:w="989"/>
        <w:gridCol w:w="166"/>
        <w:gridCol w:w="322"/>
        <w:gridCol w:w="617"/>
        <w:gridCol w:w="146"/>
        <w:gridCol w:w="361"/>
        <w:gridCol w:w="692"/>
        <w:gridCol w:w="146"/>
        <w:gridCol w:w="206"/>
        <w:gridCol w:w="870"/>
        <w:gridCol w:w="219"/>
      </w:tblGrid>
      <w:tr>
        <w:trPr/>
        <w:tc>
          <w:tcPr>
            <w:tcW w:w="16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627"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Year</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366"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Year-End Fair Value of Equity Awards Granted During Year That Remained Unvested as of Last Day of Year for Mark P. Smith</w:t>
              <w:br/>
              <w:t>($)</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391"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Change in Fair Value from Last Day of Prior Year to Last Day of Year of Unvested Equity Awards for Mark P. Smith</w:t>
              <w:br/>
              <w:t>($)</w:t>
            </w:r>
          </w:p>
        </w:tc>
        <w:tc>
          <w:tcPr>
            <w:tcW w:w="1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03"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Vesting-Date Fair Value of Equity Awards Granted During Year that Vested During Year for Mark P. Smith</w:t>
              <w:br/>
              <w:t>($)</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69"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Change in Fair Value from Last Day of Prior Year to Vesting Date of Unvested Equity Awards that Vested During Year for Mark P. Smith</w:t>
              <w:br/>
              <w:t>($)</w:t>
            </w:r>
          </w:p>
        </w:tc>
        <w:tc>
          <w:tcPr>
            <w:tcW w:w="1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39"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Fair Value at Last Day of Prior Year of Equity Awards Forfeited During Year for Mark P. Smith</w:t>
              <w:br/>
              <w:t>($)</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53"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Value of Dividends or Other Earnings Paid on Equity Awards Not Otherwise Included for Mark P. Smith</w:t>
              <w:br/>
              <w:t>($)</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76"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Total - Inclusion of</w:t>
              <w:br/>
              <w:t>Equity Values for Mark P. Smith</w:t>
              <w:br/>
              <w:t>($)</w:t>
            </w:r>
          </w:p>
        </w:tc>
        <w:tc>
          <w:tcPr>
            <w:tcW w:w="219"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2023</w:t>
            </w:r>
          </w:p>
        </w:tc>
        <w:tc>
          <w:tcPr>
            <w:tcW w:w="146" w:type="dxa"/>
            <w:tcBorders/>
            <w:vAlign w:val="center"/>
          </w:tcPr>
          <w:p>
            <w:pPr>
              <w:pStyle w:val="TableContents"/>
              <w:bidi w:val="0"/>
              <w:spacing w:before="0" w:after="0"/>
              <w:ind w:left="0" w:right="0" w:hanging="0"/>
              <w:jc w:val="left"/>
              <w:rPr/>
            </w:pPr>
            <w:r>
              <w:rPr/>
              <w:t> </w:t>
            </w:r>
          </w:p>
        </w:tc>
        <w:tc>
          <w:tcPr>
            <w:tcW w:w="262"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104"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1,154,226</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13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(1,258,255</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412"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7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80"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98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(4,521</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322"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61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69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70"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(108,550</w:t>
            </w:r>
          </w:p>
        </w:tc>
        <w:tc>
          <w:tcPr>
            <w:tcW w:w="219"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r>
      <w:tr>
        <w:trPr/>
        <w:tc>
          <w:tcPr>
            <w:tcW w:w="16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2022</w:t>
            </w:r>
          </w:p>
        </w:tc>
        <w:tc>
          <w:tcPr>
            <w:tcW w:w="146" w:type="dxa"/>
            <w:tcBorders/>
            <w:vAlign w:val="center"/>
          </w:tcPr>
          <w:p>
            <w:pPr>
              <w:pStyle w:val="TableContents"/>
              <w:bidi w:val="0"/>
              <w:spacing w:before="0" w:after="0"/>
              <w:ind w:left="0" w:right="0" w:hanging="0"/>
              <w:jc w:val="left"/>
              <w:rPr/>
            </w:pPr>
            <w:r>
              <w:rPr/>
              <w:t> </w:t>
            </w:r>
          </w:p>
        </w:tc>
        <w:tc>
          <w:tcPr>
            <w:tcW w:w="262"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104"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835,528</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13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(562,497</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412"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7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80"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98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2,718</w:t>
            </w:r>
          </w:p>
        </w:tc>
        <w:tc>
          <w:tcPr>
            <w:tcW w:w="166" w:type="dxa"/>
            <w:tcBorders/>
            <w:vAlign w:val="center"/>
          </w:tcPr>
          <w:p>
            <w:pPr>
              <w:pStyle w:val="TableContents"/>
              <w:bidi w:val="0"/>
              <w:spacing w:before="0" w:after="0"/>
              <w:ind w:left="0" w:right="0" w:hanging="0"/>
              <w:jc w:val="left"/>
              <w:rPr/>
            </w:pPr>
            <w:r>
              <w:rPr/>
              <w:t> </w:t>
            </w:r>
          </w:p>
        </w:tc>
        <w:tc>
          <w:tcPr>
            <w:tcW w:w="322"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61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69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70"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275,749</w:t>
            </w:r>
          </w:p>
        </w:tc>
        <w:tc>
          <w:tcPr>
            <w:tcW w:w="219"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2021</w:t>
            </w:r>
          </w:p>
        </w:tc>
        <w:tc>
          <w:tcPr>
            <w:tcW w:w="146" w:type="dxa"/>
            <w:tcBorders/>
            <w:vAlign w:val="center"/>
          </w:tcPr>
          <w:p>
            <w:pPr>
              <w:pStyle w:val="TableContents"/>
              <w:bidi w:val="0"/>
              <w:spacing w:before="0" w:after="0"/>
              <w:ind w:left="0" w:right="0" w:hanging="0"/>
              <w:jc w:val="left"/>
              <w:rPr/>
            </w:pPr>
            <w:r>
              <w:rPr/>
              <w:t> </w:t>
            </w:r>
          </w:p>
        </w:tc>
        <w:tc>
          <w:tcPr>
            <w:tcW w:w="262"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104"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943,468</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13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1,695,528</w:t>
            </w:r>
          </w:p>
        </w:tc>
        <w:tc>
          <w:tcPr>
            <w:tcW w:w="166" w:type="dxa"/>
            <w:tcBorders/>
            <w:vAlign w:val="center"/>
          </w:tcPr>
          <w:p>
            <w:pPr>
              <w:pStyle w:val="TableContents"/>
              <w:bidi w:val="0"/>
              <w:spacing w:before="0" w:after="0"/>
              <w:ind w:left="0" w:right="0" w:hanging="0"/>
              <w:jc w:val="left"/>
              <w:rPr/>
            </w:pPr>
            <w:r>
              <w:rPr/>
              <w:t> </w:t>
            </w:r>
          </w:p>
        </w:tc>
        <w:tc>
          <w:tcPr>
            <w:tcW w:w="412"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7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80"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98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118,463</w:t>
            </w:r>
          </w:p>
        </w:tc>
        <w:tc>
          <w:tcPr>
            <w:tcW w:w="166" w:type="dxa"/>
            <w:tcBorders/>
            <w:vAlign w:val="center"/>
          </w:tcPr>
          <w:p>
            <w:pPr>
              <w:pStyle w:val="TableContents"/>
              <w:bidi w:val="0"/>
              <w:spacing w:before="0" w:after="0"/>
              <w:ind w:left="0" w:right="0" w:hanging="0"/>
              <w:jc w:val="left"/>
              <w:rPr/>
            </w:pPr>
            <w:r>
              <w:rPr/>
              <w:t> </w:t>
            </w:r>
          </w:p>
        </w:tc>
        <w:tc>
          <w:tcPr>
            <w:tcW w:w="322"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61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69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70"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2,757,459</w:t>
            </w:r>
          </w:p>
        </w:tc>
        <w:tc>
          <w:tcPr>
            <w:tcW w:w="219" w:type="dxa"/>
            <w:tcBorders/>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left"/>
        <w:rPr/>
      </w:pPr>
      <w:r>
        <w:rPr/>
        <w:t> </w:t>
      </w:r>
    </w:p>
    <w:tbl>
      <w:tblPr>
        <w:tblW w:w="3762" w:type="dxa"/>
        <w:jc w:val="left"/>
        <w:tblInd w:w="0" w:type="dxa"/>
        <w:tblLayout w:type="fixed"/>
        <w:tblCellMar>
          <w:top w:w="28" w:type="dxa"/>
          <w:left w:w="28" w:type="dxa"/>
          <w:bottom w:w="28" w:type="dxa"/>
          <w:right w:w="28" w:type="dxa"/>
        </w:tblCellMar>
      </w:tblPr>
      <w:tblGrid>
        <w:gridCol w:w="2266"/>
        <w:gridCol w:w="1496"/>
      </w:tblGrid>
      <w:tr>
        <w:trPr/>
        <w:tc>
          <w:tcPr>
            <w:tcW w:w="226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38</w:t>
            </w:r>
            <w:r>
              <w:rPr>
                <w:rFonts w:ascii="Times New Roman" w:hAnsi="Times New Roman"/>
                <w:sz w:val="18"/>
              </w:rPr>
              <w:t> </w:t>
            </w:r>
            <w:r>
              <w:rPr>
                <w:rFonts w:ascii="Arial;sans-serif" w:hAnsi="Arial;sans-serif"/>
                <w:b w:val="false"/>
                <w:sz w:val="18"/>
              </w:rPr>
              <w:t>I 2023 Proxy Statement</w:t>
            </w:r>
          </w:p>
        </w:tc>
        <w:tc>
          <w:tcPr>
            <w:tcW w:w="1496" w:type="dxa"/>
            <w:tcBorders/>
            <w:vAlign w:val="center"/>
          </w:tcPr>
          <w:p>
            <w:pPr>
              <w:pStyle w:val="TableContents"/>
              <w:bidi w:val="0"/>
              <w:spacing w:before="0" w:after="0"/>
              <w:ind w:left="0" w:right="0" w:hanging="0"/>
              <w:jc w:val="right"/>
              <w:rPr/>
            </w:pPr>
            <w:r>
              <w:rPr/>
              <w:drawing>
                <wp:inline distT="0" distB="0" distL="0" distR="0">
                  <wp:extent cx="828675" cy="19050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828675" cy="190500"/>
                          </a:xfrm>
                          <a:prstGeom prst="rect">
                            <a:avLst/>
                          </a:prstGeom>
                        </pic:spPr>
                      </pic:pic>
                    </a:graphicData>
                  </a:graphic>
                </wp:inline>
              </w:drawing>
            </w: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2487" w:type="dxa"/>
        <w:jc w:val="left"/>
        <w:tblInd w:w="0" w:type="dxa"/>
        <w:tblLayout w:type="fixed"/>
        <w:tblCellMar>
          <w:top w:w="28" w:type="dxa"/>
          <w:left w:w="28" w:type="dxa"/>
          <w:bottom w:w="28" w:type="dxa"/>
          <w:right w:w="28" w:type="dxa"/>
        </w:tblCellMar>
      </w:tblPr>
      <w:tblGrid>
        <w:gridCol w:w="2296"/>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Executive Compensation</w:t>
            </w:r>
          </w:p>
        </w:tc>
        <w:tc>
          <w:tcPr>
            <w:tcW w:w="191" w:type="dxa"/>
            <w:tcBorders/>
            <w:vAlign w:val="center"/>
          </w:tcPr>
          <w:p>
            <w:pPr>
              <w:pStyle w:val="TableContents"/>
              <w:bidi w:val="0"/>
              <w:spacing w:before="0" w:after="0"/>
              <w:ind w:left="0" w:right="0" w:hanging="0"/>
              <w:jc w:val="left"/>
              <w:rPr/>
            </w:pPr>
            <w:r>
              <w:rPr/>
              <w:t> </w:t>
            </w:r>
          </w:p>
        </w:tc>
      </w:tr>
      <w:tr>
        <w:trPr/>
        <w:tc>
          <w:tcPr>
            <w:tcW w:w="229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466"/>
        <w:gridCol w:w="146"/>
        <w:gridCol w:w="269"/>
        <w:gridCol w:w="949"/>
        <w:gridCol w:w="146"/>
        <w:gridCol w:w="253"/>
        <w:gridCol w:w="1066"/>
        <w:gridCol w:w="166"/>
        <w:gridCol w:w="292"/>
        <w:gridCol w:w="899"/>
        <w:gridCol w:w="146"/>
        <w:gridCol w:w="275"/>
        <w:gridCol w:w="970"/>
        <w:gridCol w:w="166"/>
        <w:gridCol w:w="246"/>
        <w:gridCol w:w="945"/>
        <w:gridCol w:w="166"/>
        <w:gridCol w:w="357"/>
        <w:gridCol w:w="684"/>
        <w:gridCol w:w="146"/>
        <w:gridCol w:w="206"/>
        <w:gridCol w:w="869"/>
        <w:gridCol w:w="216"/>
      </w:tblGrid>
      <w:tr>
        <w:trPr/>
        <w:tc>
          <w:tcPr>
            <w:tcW w:w="16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627"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Year</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18"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Year-End Fair Value of Equity Awards Granted During Year That Remained Unvested as of Last Day of Year for Brian D. Murphy</w:t>
              <w:br/>
              <w:t>($)</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319"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Change in Fair Value from Last Day of Prior Year to Last Day of Year of Unvested Equity Awards for Brian D. Murphy</w:t>
              <w:br/>
              <w:t>($)</w:t>
            </w:r>
          </w:p>
        </w:tc>
        <w:tc>
          <w:tcPr>
            <w:tcW w:w="1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91"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Vesting-Date Fair Value of Equity Awards Granted During Year that Vested During Year for Brian D. Murphy</w:t>
              <w:br/>
              <w:t>($)</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45"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Change in Fair Value from Last Day of Prior Year to Vesting Date of Unvested Equity Awards that Vested During Year for Brian D. Murphy</w:t>
              <w:br/>
              <w:t>($)</w:t>
            </w:r>
          </w:p>
        </w:tc>
        <w:tc>
          <w:tcPr>
            <w:tcW w:w="1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91"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Fair Value at Last Day of Prior Year of Equity Awards Forfeited During Year for Brian D. Murphy</w:t>
              <w:br/>
              <w:t>($)</w:t>
            </w:r>
          </w:p>
        </w:tc>
        <w:tc>
          <w:tcPr>
            <w:tcW w:w="1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41"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Value of Dividends or Other Earnings Paid on Equity Awards Not Otherwise Included for Brian D. Murphy</w:t>
              <w:br/>
              <w:t>($)</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75"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Total - Inclusion of</w:t>
              <w:br/>
              <w:t>Equity Values for Brian D. Murphy</w:t>
              <w:br/>
              <w:t>($)</w:t>
            </w:r>
          </w:p>
        </w:tc>
        <w:tc>
          <w:tcPr>
            <w:tcW w:w="21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2021</w:t>
            </w:r>
          </w:p>
        </w:tc>
        <w:tc>
          <w:tcPr>
            <w:tcW w:w="146" w:type="dxa"/>
            <w:tcBorders/>
            <w:vAlign w:val="center"/>
          </w:tcPr>
          <w:p>
            <w:pPr>
              <w:pStyle w:val="TableContents"/>
              <w:bidi w:val="0"/>
              <w:spacing w:before="0" w:after="0"/>
              <w:ind w:left="0" w:right="0" w:hanging="0"/>
              <w:jc w:val="left"/>
              <w:rPr/>
            </w:pPr>
            <w:r>
              <w:rPr/>
              <w:t> </w:t>
            </w:r>
          </w:p>
        </w:tc>
        <w:tc>
          <w:tcPr>
            <w:tcW w:w="269"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94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06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1,668,625</w:t>
            </w:r>
          </w:p>
        </w:tc>
        <w:tc>
          <w:tcPr>
            <w:tcW w:w="16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89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970"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176,816</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94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68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6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1,845,441</w:t>
            </w:r>
          </w:p>
        </w:tc>
        <w:tc>
          <w:tcPr>
            <w:tcW w:w="216" w:type="dxa"/>
            <w:tcBorders/>
            <w:vAlign w:val="center"/>
          </w:tcPr>
          <w:p>
            <w:pPr>
              <w:pStyle w:val="TableContents"/>
              <w:bidi w:val="0"/>
              <w:spacing w:before="0" w:after="0"/>
              <w:ind w:left="0" w:right="0" w:hanging="0"/>
              <w:jc w:val="left"/>
              <w:rPr/>
            </w:pPr>
            <w:r>
              <w:rPr/>
              <w:t> </w:t>
            </w:r>
          </w:p>
        </w:tc>
      </w:tr>
      <w:tr>
        <w:trPr/>
        <w:tc>
          <w:tcPr>
            <w:tcW w:w="62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18"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19"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19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191"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04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5" w:type="dxa"/>
            <w:gridSpan w:val="2"/>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r>
      <w:tr>
        <w:trPr/>
        <w:tc>
          <w:tcPr>
            <w:tcW w:w="627"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Year</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18"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Average Year-End Fair Value of Equity Awards Granted During Year That Remained Unvested as of Last Day of Year for Non-PEO NEOs</w:t>
              <w:br/>
              <w:t>($)</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319"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Average Change in Fair Value from Last Day of Prior Year to Last Day of Year of Unvested Equity Awards for Non-PEO NEOs</w:t>
              <w:br/>
              <w:t>($)</w:t>
            </w:r>
          </w:p>
        </w:tc>
        <w:tc>
          <w:tcPr>
            <w:tcW w:w="1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91"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Average Vesting-Date Fair Value of Equity Awards Granted During Year that Vested During Year for Non-PEO NEOs</w:t>
              <w:br/>
              <w:t>($)</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45"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Average Change in Fair Value from Last Day of Prior Year to Vesting Date of Unvested Equity Awards that Vested During Year for Non-PEO NEOs</w:t>
              <w:br/>
              <w:t>($)</w:t>
            </w:r>
          </w:p>
        </w:tc>
        <w:tc>
          <w:tcPr>
            <w:tcW w:w="1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91"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Average Fair Value at Last Day of Prior Year of Equity Awards Forfeited During Year for Non-PEO NEOs</w:t>
              <w:br/>
              <w:t>($)</w:t>
            </w:r>
          </w:p>
        </w:tc>
        <w:tc>
          <w:tcPr>
            <w:tcW w:w="1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41"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Average Value of Dividends or Other Earnings Paid on Equity Awards Not Otherwise Included for Non-PEO NEOs</w:t>
              <w:br/>
              <w:t>($)</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75"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Total - Average Inclusion of</w:t>
              <w:br/>
              <w:t>Equity Values for Non-PEO NEOs</w:t>
              <w:br/>
              <w:t>($)</w:t>
            </w:r>
          </w:p>
        </w:tc>
        <w:tc>
          <w:tcPr>
            <w:tcW w:w="21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2023</w:t>
            </w:r>
          </w:p>
        </w:tc>
        <w:tc>
          <w:tcPr>
            <w:tcW w:w="146" w:type="dxa"/>
            <w:tcBorders/>
            <w:vAlign w:val="center"/>
          </w:tcPr>
          <w:p>
            <w:pPr>
              <w:pStyle w:val="TableContents"/>
              <w:bidi w:val="0"/>
              <w:spacing w:before="0" w:after="0"/>
              <w:ind w:left="0" w:right="0" w:hanging="0"/>
              <w:jc w:val="left"/>
              <w:rPr/>
            </w:pPr>
            <w:r>
              <w:rPr/>
              <w:t> </w:t>
            </w:r>
          </w:p>
        </w:tc>
        <w:tc>
          <w:tcPr>
            <w:tcW w:w="269"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94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281,965</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06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(154,040</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292"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89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970"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(4,025</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246"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94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68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6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123,900</w:t>
            </w:r>
          </w:p>
        </w:tc>
        <w:tc>
          <w:tcPr>
            <w:tcW w:w="216"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2022</w:t>
            </w:r>
          </w:p>
        </w:tc>
        <w:tc>
          <w:tcPr>
            <w:tcW w:w="146" w:type="dxa"/>
            <w:tcBorders/>
            <w:vAlign w:val="center"/>
          </w:tcPr>
          <w:p>
            <w:pPr>
              <w:pStyle w:val="TableContents"/>
              <w:bidi w:val="0"/>
              <w:spacing w:before="0" w:after="0"/>
              <w:ind w:left="0" w:right="0" w:hanging="0"/>
              <w:jc w:val="left"/>
              <w:rPr/>
            </w:pPr>
            <w:r>
              <w:rPr/>
              <w:t> </w:t>
            </w:r>
          </w:p>
        </w:tc>
        <w:tc>
          <w:tcPr>
            <w:tcW w:w="269"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94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161,687</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06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(54,762</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292"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89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970"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29,853</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945"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(277,700</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357"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68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6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(140,922</w:t>
            </w:r>
          </w:p>
        </w:tc>
        <w:tc>
          <w:tcPr>
            <w:tcW w:w="21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r>
      <w:tr>
        <w:trPr/>
        <w:tc>
          <w:tcPr>
            <w:tcW w:w="16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2021</w:t>
            </w:r>
          </w:p>
        </w:tc>
        <w:tc>
          <w:tcPr>
            <w:tcW w:w="146" w:type="dxa"/>
            <w:tcBorders/>
            <w:vAlign w:val="center"/>
          </w:tcPr>
          <w:p>
            <w:pPr>
              <w:pStyle w:val="TableContents"/>
              <w:bidi w:val="0"/>
              <w:spacing w:before="0" w:after="0"/>
              <w:ind w:left="0" w:right="0" w:hanging="0"/>
              <w:jc w:val="left"/>
              <w:rPr/>
            </w:pPr>
            <w:r>
              <w:rPr/>
              <w:t> </w:t>
            </w:r>
          </w:p>
        </w:tc>
        <w:tc>
          <w:tcPr>
            <w:tcW w:w="269"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94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155,563</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06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322,806</w:t>
            </w:r>
          </w:p>
        </w:tc>
        <w:tc>
          <w:tcPr>
            <w:tcW w:w="16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9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15,616</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970"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296,420</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945"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(87,371</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357"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68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6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703,034</w:t>
            </w:r>
          </w:p>
        </w:tc>
        <w:tc>
          <w:tcPr>
            <w:tcW w:w="216" w:type="dxa"/>
            <w:tcBorders/>
            <w:vAlign w:val="center"/>
          </w:tcPr>
          <w:p>
            <w:pPr>
              <w:pStyle w:val="TableContents"/>
              <w:bidi w:val="0"/>
              <w:spacing w:before="0" w:after="0"/>
              <w:ind w:left="0" w:right="0" w:hanging="0"/>
              <w:jc w:val="left"/>
              <w:rPr/>
            </w:pPr>
            <w:r>
              <w:rPr/>
              <w:t> </w:t>
            </w:r>
          </w:p>
        </w:tc>
      </w:tr>
    </w:tbl>
    <w:p>
      <w:pPr>
        <w:pStyle w:val="TextBody"/>
        <w:bidi w:val="0"/>
        <w:spacing w:before="240" w:after="240"/>
        <w:jc w:val="both"/>
        <w:rPr>
          <w:rFonts w:ascii="Arial;sans-serif" w:hAnsi="Arial;sans-serif"/>
          <w:b w:val="false"/>
          <w:sz w:val="16"/>
        </w:rPr>
      </w:pPr>
      <w:r>
        <w:rPr>
          <w:rFonts w:ascii="Arial;sans-serif" w:hAnsi="Arial;sans-serif"/>
          <w:b w:val="false"/>
          <w:sz w:val="16"/>
        </w:rPr>
        <w:t>4. The Peer Group TSR set forth in this table utilizes the Russell 1500 Leisure Products Index, which we also utilize in the stock performance graph required by Item 201(e) of Regulation S-K included in our Annual Report for the year ended April 30, 2023. The comparison assumes $100 was invested for the period starting April 30, 2020 through the end of the listed year in the Company and in the Russell 1500 Leisure Products Index, respectively. Historical stock performance is not necessarily indicative of future stock performance.</w:t>
      </w:r>
    </w:p>
    <w:p>
      <w:pPr>
        <w:pStyle w:val="TextBody"/>
        <w:bidi w:val="0"/>
        <w:spacing w:before="240" w:after="240"/>
        <w:jc w:val="both"/>
        <w:rPr>
          <w:rFonts w:ascii="Times New Roman" w:hAnsi="Times New Roman"/>
          <w:sz w:val="20"/>
        </w:rPr>
      </w:pPr>
      <w:r>
        <w:rPr>
          <w:rFonts w:ascii="Arial;sans-serif" w:hAnsi="Arial;sans-serif"/>
          <w:b w:val="false"/>
          <w:sz w:val="16"/>
        </w:rPr>
        <w:t>5. We determined Adjusted EBITDAS</w:t>
      </w:r>
      <w:r>
        <w:rPr>
          <w:rFonts w:ascii="Arial;sans-serif" w:hAnsi="Arial;sans-serif"/>
          <w:sz w:val="16"/>
        </w:rPr>
        <w:t xml:space="preserve"> </w:t>
      </w:r>
      <w:r>
        <w:rPr>
          <w:rFonts w:ascii="Arial;sans-serif" w:hAnsi="Arial;sans-serif"/>
          <w:b w:val="false"/>
          <w:sz w:val="16"/>
        </w:rPr>
        <w:t>to be the most important financial performance measure used to link our performance to Compensation Actually Paid to our PEOs and Non-PEO NEOs in fiscal year 2023. More information on Adjusted EBITDAS can be found in the Annual Performance-Based Cash Incentive Compensation section of the Compensation Discussion and Analysis of this Proxy Statement. This performance measure may not have been the most important financial performance measure for fiscal years 2022 and 2021, and we may determine a different financial performance measure to be the most important financial performance measure in future years.</w:t>
      </w:r>
    </w:p>
    <w:p>
      <w:pPr>
        <w:pStyle w:val="TextBody"/>
        <w:bidi w:val="0"/>
        <w:spacing w:before="240" w:after="240"/>
        <w:jc w:val="both"/>
        <w:rPr>
          <w:rFonts w:ascii="Arial;sans-serif" w:hAnsi="Arial;sans-serif"/>
          <w:b w:val="false"/>
          <w:sz w:val="24"/>
          <w:u w:val="single"/>
        </w:rPr>
      </w:pPr>
      <w:r>
        <w:rPr>
          <w:rFonts w:ascii="Arial;sans-serif" w:hAnsi="Arial;sans-serif"/>
          <w:b w:val="false"/>
          <w:sz w:val="24"/>
          <w:u w:val="single"/>
        </w:rPr>
        <w:t>Description of Relationship Between PEO and Non-PEO NEO Compensation Actually Paid and Company Total Shareholder Return (“TSR”)</w:t>
      </w:r>
    </w:p>
    <w:p>
      <w:pPr>
        <w:pStyle w:val="TextBody"/>
        <w:bidi w:val="0"/>
        <w:spacing w:before="240" w:after="240"/>
        <w:jc w:val="both"/>
        <w:rPr>
          <w:rFonts w:ascii="Times New Roman" w:hAnsi="Times New Roman"/>
          <w:sz w:val="20"/>
        </w:rPr>
      </w:pPr>
      <w:r>
        <w:rPr>
          <w:rFonts w:ascii="Arial;sans-serif" w:hAnsi="Arial;sans-serif"/>
          <w:b w:val="false"/>
          <w:sz w:val="20"/>
        </w:rPr>
        <w:t>The following chart sets forth the relationship between Compensation Actually Paid to our PEOs, the average of Compensation Actually Paid to our Non-PEO NEOs, and the Company’s cumulative TSR over the three most recently completed fiscal years</w:t>
      </w:r>
      <w:r>
        <w:rPr>
          <w:rFonts w:ascii="Times New Roman;serif" w:hAnsi="Times New Roman;serif"/>
          <w:b w:val="false"/>
          <w:sz w:val="24"/>
        </w:rPr>
        <w:t>.</w:t>
      </w:r>
    </w:p>
    <w:p>
      <w:pPr>
        <w:pStyle w:val="TextBody"/>
        <w:bidi w:val="0"/>
        <w:spacing w:before="0" w:after="0"/>
        <w:jc w:val="left"/>
        <w:rPr/>
      </w:pPr>
      <w:r>
        <w:rPr/>
        <w:t> </w:t>
      </w:r>
    </w:p>
    <w:p>
      <w:pPr>
        <w:pStyle w:val="TextBody"/>
        <w:bidi w:val="0"/>
        <w:spacing w:before="0" w:after="0"/>
        <w:jc w:val="left"/>
        <w:rPr/>
      </w:pPr>
      <w:r>
        <w:rPr/>
        <w:t> </w:t>
      </w:r>
    </w:p>
    <w:tbl>
      <w:tblPr>
        <w:tblW w:w="3762" w:type="dxa"/>
        <w:jc w:val="left"/>
        <w:tblInd w:w="0" w:type="dxa"/>
        <w:tblLayout w:type="fixed"/>
        <w:tblCellMar>
          <w:top w:w="28" w:type="dxa"/>
          <w:left w:w="28" w:type="dxa"/>
          <w:bottom w:w="28" w:type="dxa"/>
          <w:right w:w="28" w:type="dxa"/>
        </w:tblCellMar>
      </w:tblPr>
      <w:tblGrid>
        <w:gridCol w:w="2266"/>
        <w:gridCol w:w="1496"/>
      </w:tblGrid>
      <w:tr>
        <w:trPr/>
        <w:tc>
          <w:tcPr>
            <w:tcW w:w="226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39</w:t>
            </w:r>
            <w:r>
              <w:rPr>
                <w:rFonts w:ascii="Times New Roman" w:hAnsi="Times New Roman"/>
                <w:sz w:val="18"/>
              </w:rPr>
              <w:t> </w:t>
            </w:r>
            <w:r>
              <w:rPr>
                <w:rFonts w:ascii="Arial;sans-serif" w:hAnsi="Arial;sans-serif"/>
                <w:b w:val="false"/>
                <w:sz w:val="18"/>
              </w:rPr>
              <w:t>I 2023 Proxy Statement</w:t>
            </w:r>
          </w:p>
        </w:tc>
        <w:tc>
          <w:tcPr>
            <w:tcW w:w="1496" w:type="dxa"/>
            <w:tcBorders/>
            <w:vAlign w:val="center"/>
          </w:tcPr>
          <w:p>
            <w:pPr>
              <w:pStyle w:val="TableContents"/>
              <w:bidi w:val="0"/>
              <w:spacing w:before="0" w:after="0"/>
              <w:ind w:left="0" w:right="0" w:hanging="0"/>
              <w:jc w:val="right"/>
              <w:rPr/>
            </w:pPr>
            <w:r>
              <w:rPr/>
              <w:drawing>
                <wp:inline distT="0" distB="0" distL="0" distR="0">
                  <wp:extent cx="828675" cy="19050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828675" cy="190500"/>
                          </a:xfrm>
                          <a:prstGeom prst="rect">
                            <a:avLst/>
                          </a:prstGeom>
                        </pic:spPr>
                      </pic:pic>
                    </a:graphicData>
                  </a:graphic>
                </wp:inline>
              </w:drawing>
            </w: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2487" w:type="dxa"/>
        <w:jc w:val="left"/>
        <w:tblInd w:w="0" w:type="dxa"/>
        <w:tblLayout w:type="fixed"/>
        <w:tblCellMar>
          <w:top w:w="28" w:type="dxa"/>
          <w:left w:w="28" w:type="dxa"/>
          <w:bottom w:w="28" w:type="dxa"/>
          <w:right w:w="28" w:type="dxa"/>
        </w:tblCellMar>
      </w:tblPr>
      <w:tblGrid>
        <w:gridCol w:w="2296"/>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Executive Compensation</w:t>
            </w:r>
          </w:p>
        </w:tc>
        <w:tc>
          <w:tcPr>
            <w:tcW w:w="191" w:type="dxa"/>
            <w:tcBorders/>
            <w:vAlign w:val="center"/>
          </w:tcPr>
          <w:p>
            <w:pPr>
              <w:pStyle w:val="TableContents"/>
              <w:bidi w:val="0"/>
              <w:spacing w:before="0" w:after="0"/>
              <w:ind w:left="0" w:right="0" w:hanging="0"/>
              <w:jc w:val="left"/>
              <w:rPr/>
            </w:pPr>
            <w:r>
              <w:rPr/>
              <w:t> </w:t>
            </w:r>
          </w:p>
        </w:tc>
      </w:tr>
      <w:tr>
        <w:trPr/>
        <w:tc>
          <w:tcPr>
            <w:tcW w:w="229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drawing>
          <wp:inline distT="0" distB="0" distL="0" distR="0">
            <wp:extent cx="5943600" cy="332422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5943600" cy="3324225"/>
                    </a:xfrm>
                    <a:prstGeom prst="rect">
                      <a:avLst/>
                    </a:prstGeom>
                  </pic:spPr>
                </pic:pic>
              </a:graphicData>
            </a:graphic>
          </wp:inline>
        </w:drawing>
      </w:r>
      <w:r>
        <w:rPr/>
        <w:t> </w:t>
      </w:r>
    </w:p>
    <w:p>
      <w:pPr>
        <w:pStyle w:val="TextBody"/>
        <w:bidi w:val="0"/>
        <w:spacing w:before="0" w:after="0"/>
        <w:jc w:val="left"/>
        <w:rPr/>
      </w:pPr>
      <w:r>
        <w:rPr/>
        <w:t> </w:t>
      </w:r>
    </w:p>
    <w:p>
      <w:pPr>
        <w:pStyle w:val="TextBody"/>
        <w:bidi w:val="0"/>
        <w:spacing w:before="240" w:after="240"/>
        <w:jc w:val="both"/>
        <w:rPr>
          <w:rFonts w:ascii="Arial;sans-serif" w:hAnsi="Arial;sans-serif"/>
          <w:b w:val="false"/>
          <w:sz w:val="24"/>
          <w:u w:val="single"/>
        </w:rPr>
      </w:pPr>
      <w:r>
        <w:rPr>
          <w:rFonts w:ascii="Arial;sans-serif" w:hAnsi="Arial;sans-serif"/>
          <w:b w:val="false"/>
          <w:sz w:val="24"/>
          <w:u w:val="single"/>
        </w:rPr>
        <w:t>Description of Relationship Between PEO and Non-PEO NEO Compensation Actually Paid and Net Income</w:t>
      </w:r>
    </w:p>
    <w:p>
      <w:pPr>
        <w:pStyle w:val="TextBody"/>
        <w:bidi w:val="0"/>
        <w:spacing w:before="240" w:after="240"/>
        <w:jc w:val="both"/>
        <w:rPr>
          <w:rFonts w:ascii="Arial;sans-serif" w:hAnsi="Arial;sans-serif"/>
          <w:b w:val="false"/>
          <w:sz w:val="20"/>
        </w:rPr>
      </w:pPr>
      <w:r>
        <w:rPr>
          <w:rFonts w:ascii="Arial;sans-serif" w:hAnsi="Arial;sans-serif"/>
          <w:b w:val="false"/>
          <w:sz w:val="20"/>
        </w:rPr>
        <w:t>The following chart sets forth the relationship between Compensation Actually Paid to our PEOs, the average of Compensation Actually Paid to our Non-PEO NEOs, and our Net Income during the three most recently completed fiscal years.</w:t>
      </w:r>
    </w:p>
    <w:p>
      <w:pPr>
        <w:pStyle w:val="TextBody"/>
        <w:bidi w:val="0"/>
        <w:spacing w:before="0" w:after="0"/>
        <w:jc w:val="left"/>
        <w:rPr/>
      </w:pPr>
      <w:r>
        <w:rPr/>
        <w:t> </w:t>
      </w:r>
    </w:p>
    <w:p>
      <w:pPr>
        <w:pStyle w:val="TextBody"/>
        <w:bidi w:val="0"/>
        <w:spacing w:before="0" w:after="0"/>
        <w:jc w:val="left"/>
        <w:rPr/>
      </w:pPr>
      <w:r>
        <w:rPr/>
        <w:t> </w:t>
      </w:r>
    </w:p>
    <w:tbl>
      <w:tblPr>
        <w:tblW w:w="3762" w:type="dxa"/>
        <w:jc w:val="left"/>
        <w:tblInd w:w="0" w:type="dxa"/>
        <w:tblLayout w:type="fixed"/>
        <w:tblCellMar>
          <w:top w:w="28" w:type="dxa"/>
          <w:left w:w="28" w:type="dxa"/>
          <w:bottom w:w="28" w:type="dxa"/>
          <w:right w:w="28" w:type="dxa"/>
        </w:tblCellMar>
      </w:tblPr>
      <w:tblGrid>
        <w:gridCol w:w="2266"/>
        <w:gridCol w:w="1496"/>
      </w:tblGrid>
      <w:tr>
        <w:trPr/>
        <w:tc>
          <w:tcPr>
            <w:tcW w:w="226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40</w:t>
            </w:r>
            <w:r>
              <w:rPr>
                <w:rFonts w:ascii="Times New Roman" w:hAnsi="Times New Roman"/>
                <w:sz w:val="18"/>
              </w:rPr>
              <w:t> </w:t>
            </w:r>
            <w:r>
              <w:rPr>
                <w:rFonts w:ascii="Arial;sans-serif" w:hAnsi="Arial;sans-serif"/>
                <w:b w:val="false"/>
                <w:sz w:val="18"/>
              </w:rPr>
              <w:t>I 2023 Proxy Statement</w:t>
            </w:r>
          </w:p>
        </w:tc>
        <w:tc>
          <w:tcPr>
            <w:tcW w:w="1496" w:type="dxa"/>
            <w:tcBorders/>
            <w:vAlign w:val="center"/>
          </w:tcPr>
          <w:p>
            <w:pPr>
              <w:pStyle w:val="TableContents"/>
              <w:bidi w:val="0"/>
              <w:spacing w:before="0" w:after="0"/>
              <w:ind w:left="0" w:right="0" w:hanging="0"/>
              <w:jc w:val="right"/>
              <w:rPr/>
            </w:pPr>
            <w:r>
              <w:rPr/>
              <w:drawing>
                <wp:inline distT="0" distB="0" distL="0" distR="0">
                  <wp:extent cx="828675" cy="19050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828675" cy="190500"/>
                          </a:xfrm>
                          <a:prstGeom prst="rect">
                            <a:avLst/>
                          </a:prstGeom>
                        </pic:spPr>
                      </pic:pic>
                    </a:graphicData>
                  </a:graphic>
                </wp:inline>
              </w:drawing>
            </w: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2487" w:type="dxa"/>
        <w:jc w:val="left"/>
        <w:tblInd w:w="0" w:type="dxa"/>
        <w:tblLayout w:type="fixed"/>
        <w:tblCellMar>
          <w:top w:w="28" w:type="dxa"/>
          <w:left w:w="28" w:type="dxa"/>
          <w:bottom w:w="28" w:type="dxa"/>
          <w:right w:w="28" w:type="dxa"/>
        </w:tblCellMar>
      </w:tblPr>
      <w:tblGrid>
        <w:gridCol w:w="2296"/>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Executive Compensation</w:t>
            </w:r>
          </w:p>
        </w:tc>
        <w:tc>
          <w:tcPr>
            <w:tcW w:w="191" w:type="dxa"/>
            <w:tcBorders/>
            <w:vAlign w:val="center"/>
          </w:tcPr>
          <w:p>
            <w:pPr>
              <w:pStyle w:val="TableContents"/>
              <w:bidi w:val="0"/>
              <w:spacing w:before="0" w:after="0"/>
              <w:ind w:left="0" w:right="0" w:hanging="0"/>
              <w:jc w:val="left"/>
              <w:rPr/>
            </w:pPr>
            <w:r>
              <w:rPr/>
              <w:t> </w:t>
            </w:r>
          </w:p>
        </w:tc>
      </w:tr>
      <w:tr>
        <w:trPr/>
        <w:tc>
          <w:tcPr>
            <w:tcW w:w="229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drawing>
          <wp:inline distT="0" distB="0" distL="0" distR="0">
            <wp:extent cx="5943600" cy="332422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5943600" cy="3324225"/>
                    </a:xfrm>
                    <a:prstGeom prst="rect">
                      <a:avLst/>
                    </a:prstGeom>
                  </pic:spPr>
                </pic:pic>
              </a:graphicData>
            </a:graphic>
          </wp:inline>
        </w:drawing>
      </w:r>
      <w:r>
        <w:rPr/>
        <w:t> </w:t>
      </w:r>
    </w:p>
    <w:p>
      <w:pPr>
        <w:pStyle w:val="TextBody"/>
        <w:bidi w:val="0"/>
        <w:spacing w:before="0" w:after="0"/>
        <w:jc w:val="left"/>
        <w:rPr/>
      </w:pPr>
      <w:r>
        <w:rPr/>
        <w:t> </w:t>
      </w:r>
    </w:p>
    <w:p>
      <w:pPr>
        <w:pStyle w:val="TextBody"/>
        <w:bidi w:val="0"/>
        <w:spacing w:before="240" w:after="240"/>
        <w:jc w:val="both"/>
        <w:rPr>
          <w:rFonts w:ascii="Arial;sans-serif" w:hAnsi="Arial;sans-serif"/>
          <w:b w:val="false"/>
          <w:sz w:val="24"/>
          <w:u w:val="single"/>
        </w:rPr>
      </w:pPr>
      <w:r>
        <w:rPr>
          <w:rFonts w:ascii="Arial;sans-serif" w:hAnsi="Arial;sans-serif"/>
          <w:b w:val="false"/>
          <w:sz w:val="24"/>
          <w:u w:val="single"/>
        </w:rPr>
        <w:t>Description of Relationship Between PEO and Non-PEO NEO Compensation Actually Paid and Company-Selected Measure</w:t>
      </w:r>
    </w:p>
    <w:p>
      <w:pPr>
        <w:pStyle w:val="TextBody"/>
        <w:bidi w:val="0"/>
        <w:spacing w:before="240" w:after="240"/>
        <w:jc w:val="both"/>
        <w:rPr>
          <w:rFonts w:ascii="Times New Roman" w:hAnsi="Times New Roman"/>
          <w:sz w:val="20"/>
        </w:rPr>
      </w:pPr>
      <w:r>
        <w:rPr>
          <w:rFonts w:ascii="Arial;sans-serif" w:hAnsi="Arial;sans-serif"/>
          <w:b w:val="false"/>
          <w:sz w:val="20"/>
        </w:rPr>
        <w:t>The following chart sets forth the relationship between Compensation Actually Paid to our PEOs, the average of Compensation Actually Paid to our Non-PEO NEOs, and our Adjusted EBITDAS during the three most recently completed fiscal years</w:t>
      </w:r>
      <w:r>
        <w:rPr>
          <w:rFonts w:ascii="Times New Roman;serif" w:hAnsi="Times New Roman;serif"/>
          <w:b w:val="false"/>
          <w:sz w:val="24"/>
        </w:rPr>
        <w:t>.</w:t>
      </w:r>
    </w:p>
    <w:p>
      <w:pPr>
        <w:pStyle w:val="TextBody"/>
        <w:bidi w:val="0"/>
        <w:spacing w:before="0" w:after="0"/>
        <w:jc w:val="left"/>
        <w:rPr/>
      </w:pPr>
      <w:r>
        <w:rPr/>
        <w:t> </w:t>
      </w:r>
    </w:p>
    <w:p>
      <w:pPr>
        <w:pStyle w:val="TextBody"/>
        <w:bidi w:val="0"/>
        <w:spacing w:before="0" w:after="0"/>
        <w:jc w:val="left"/>
        <w:rPr/>
      </w:pPr>
      <w:r>
        <w:rPr/>
        <w:t> </w:t>
      </w:r>
    </w:p>
    <w:tbl>
      <w:tblPr>
        <w:tblW w:w="3762" w:type="dxa"/>
        <w:jc w:val="left"/>
        <w:tblInd w:w="0" w:type="dxa"/>
        <w:tblLayout w:type="fixed"/>
        <w:tblCellMar>
          <w:top w:w="28" w:type="dxa"/>
          <w:left w:w="28" w:type="dxa"/>
          <w:bottom w:w="28" w:type="dxa"/>
          <w:right w:w="28" w:type="dxa"/>
        </w:tblCellMar>
      </w:tblPr>
      <w:tblGrid>
        <w:gridCol w:w="2266"/>
        <w:gridCol w:w="1496"/>
      </w:tblGrid>
      <w:tr>
        <w:trPr/>
        <w:tc>
          <w:tcPr>
            <w:tcW w:w="226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41</w:t>
            </w:r>
            <w:r>
              <w:rPr>
                <w:rFonts w:ascii="Times New Roman" w:hAnsi="Times New Roman"/>
                <w:sz w:val="18"/>
              </w:rPr>
              <w:t> </w:t>
            </w:r>
            <w:r>
              <w:rPr>
                <w:rFonts w:ascii="Arial;sans-serif" w:hAnsi="Arial;sans-serif"/>
                <w:b w:val="false"/>
                <w:sz w:val="18"/>
              </w:rPr>
              <w:t>I 2023 Proxy Statement</w:t>
            </w:r>
          </w:p>
        </w:tc>
        <w:tc>
          <w:tcPr>
            <w:tcW w:w="1496" w:type="dxa"/>
            <w:tcBorders/>
            <w:vAlign w:val="center"/>
          </w:tcPr>
          <w:p>
            <w:pPr>
              <w:pStyle w:val="TableContents"/>
              <w:bidi w:val="0"/>
              <w:spacing w:before="0" w:after="0"/>
              <w:ind w:left="0" w:right="0" w:hanging="0"/>
              <w:jc w:val="right"/>
              <w:rPr/>
            </w:pPr>
            <w:r>
              <w:rPr/>
              <w:drawing>
                <wp:inline distT="0" distB="0" distL="0" distR="0">
                  <wp:extent cx="828675" cy="19050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828675" cy="190500"/>
                          </a:xfrm>
                          <a:prstGeom prst="rect">
                            <a:avLst/>
                          </a:prstGeom>
                        </pic:spPr>
                      </pic:pic>
                    </a:graphicData>
                  </a:graphic>
                </wp:inline>
              </w:drawing>
            </w: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2487" w:type="dxa"/>
        <w:jc w:val="left"/>
        <w:tblInd w:w="0" w:type="dxa"/>
        <w:tblLayout w:type="fixed"/>
        <w:tblCellMar>
          <w:top w:w="28" w:type="dxa"/>
          <w:left w:w="28" w:type="dxa"/>
          <w:bottom w:w="28" w:type="dxa"/>
          <w:right w:w="28" w:type="dxa"/>
        </w:tblCellMar>
      </w:tblPr>
      <w:tblGrid>
        <w:gridCol w:w="2296"/>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Executive Compensation</w:t>
            </w:r>
          </w:p>
        </w:tc>
        <w:tc>
          <w:tcPr>
            <w:tcW w:w="191" w:type="dxa"/>
            <w:tcBorders/>
            <w:vAlign w:val="center"/>
          </w:tcPr>
          <w:p>
            <w:pPr>
              <w:pStyle w:val="TableContents"/>
              <w:bidi w:val="0"/>
              <w:spacing w:before="0" w:after="0"/>
              <w:ind w:left="0" w:right="0" w:hanging="0"/>
              <w:jc w:val="left"/>
              <w:rPr/>
            </w:pPr>
            <w:r>
              <w:rPr/>
              <w:t> </w:t>
            </w:r>
          </w:p>
        </w:tc>
      </w:tr>
      <w:tr>
        <w:trPr/>
        <w:tc>
          <w:tcPr>
            <w:tcW w:w="229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drawing>
          <wp:inline distT="0" distB="0" distL="0" distR="0">
            <wp:extent cx="5943600" cy="332422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5943600" cy="3324225"/>
                    </a:xfrm>
                    <a:prstGeom prst="rect">
                      <a:avLst/>
                    </a:prstGeom>
                  </pic:spPr>
                </pic:pic>
              </a:graphicData>
            </a:graphic>
          </wp:inline>
        </w:drawing>
      </w:r>
      <w:r>
        <w:rPr/>
        <w:t> </w:t>
      </w:r>
    </w:p>
    <w:p>
      <w:pPr>
        <w:pStyle w:val="TextBody"/>
        <w:bidi w:val="0"/>
        <w:spacing w:before="0" w:after="0"/>
        <w:jc w:val="left"/>
        <w:rPr/>
      </w:pPr>
      <w:r>
        <w:rPr/>
        <w:t> </w:t>
      </w:r>
    </w:p>
    <w:p>
      <w:pPr>
        <w:pStyle w:val="TextBody"/>
        <w:bidi w:val="0"/>
        <w:spacing w:before="240" w:after="240"/>
        <w:jc w:val="both"/>
        <w:rPr>
          <w:rFonts w:ascii="Arial;sans-serif" w:hAnsi="Arial;sans-serif"/>
          <w:b w:val="false"/>
          <w:sz w:val="24"/>
          <w:u w:val="single"/>
        </w:rPr>
      </w:pPr>
      <w:r>
        <w:rPr>
          <w:rFonts w:ascii="Arial;sans-serif" w:hAnsi="Arial;sans-serif"/>
          <w:b w:val="false"/>
          <w:sz w:val="24"/>
          <w:u w:val="single"/>
        </w:rPr>
        <w:t>Description of Relationship Between Company TSR and Peer Group TSR</w:t>
      </w:r>
    </w:p>
    <w:p>
      <w:pPr>
        <w:pStyle w:val="TextBody"/>
        <w:bidi w:val="0"/>
        <w:spacing w:before="240" w:after="240"/>
        <w:jc w:val="both"/>
        <w:rPr>
          <w:rFonts w:ascii="Arial;sans-serif" w:hAnsi="Arial;sans-serif"/>
          <w:b w:val="false"/>
          <w:sz w:val="20"/>
        </w:rPr>
      </w:pPr>
      <w:r>
        <w:rPr>
          <w:rFonts w:ascii="Arial;sans-serif" w:hAnsi="Arial;sans-serif"/>
          <w:b w:val="false"/>
          <w:sz w:val="20"/>
        </w:rPr>
        <w:t>The following chart compares our cumulative TSR over the three most recently completed fiscal years to that of the Russell 1500 Leisure Products Index over the same period.</w:t>
      </w:r>
    </w:p>
    <w:p>
      <w:pPr>
        <w:pStyle w:val="TextBody"/>
        <w:bidi w:val="0"/>
        <w:spacing w:before="0" w:after="0"/>
        <w:jc w:val="left"/>
        <w:rPr/>
      </w:pPr>
      <w:r>
        <w:rPr/>
        <w:t> </w:t>
      </w:r>
    </w:p>
    <w:p>
      <w:pPr>
        <w:pStyle w:val="TextBody"/>
        <w:bidi w:val="0"/>
        <w:spacing w:before="0" w:after="0"/>
        <w:jc w:val="left"/>
        <w:rPr/>
      </w:pPr>
      <w:r>
        <w:rPr/>
        <w:drawing>
          <wp:inline distT="0" distB="0" distL="0" distR="0">
            <wp:extent cx="5943600" cy="333375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5943600" cy="3333750"/>
                    </a:xfrm>
                    <a:prstGeom prst="rect">
                      <a:avLst/>
                    </a:prstGeom>
                  </pic:spPr>
                </pic:pic>
              </a:graphicData>
            </a:graphic>
          </wp:inline>
        </w:drawing>
      </w:r>
      <w:r>
        <w:rPr/>
        <w:t> </w:t>
      </w:r>
    </w:p>
    <w:p>
      <w:pPr>
        <w:pStyle w:val="TextBody"/>
        <w:bidi w:val="0"/>
        <w:spacing w:before="0" w:after="0"/>
        <w:jc w:val="left"/>
        <w:rPr/>
      </w:pPr>
      <w:r>
        <w:rPr/>
        <w:t> </w:t>
      </w:r>
    </w:p>
    <w:p>
      <w:pPr>
        <w:pStyle w:val="TextBody"/>
        <w:bidi w:val="0"/>
        <w:spacing w:before="0" w:after="0"/>
        <w:jc w:val="left"/>
        <w:rPr/>
      </w:pPr>
      <w:r>
        <w:rPr/>
        <w:t> </w:t>
      </w:r>
    </w:p>
    <w:tbl>
      <w:tblPr>
        <w:tblW w:w="3762" w:type="dxa"/>
        <w:jc w:val="left"/>
        <w:tblInd w:w="0" w:type="dxa"/>
        <w:tblLayout w:type="fixed"/>
        <w:tblCellMar>
          <w:top w:w="28" w:type="dxa"/>
          <w:left w:w="28" w:type="dxa"/>
          <w:bottom w:w="28" w:type="dxa"/>
          <w:right w:w="28" w:type="dxa"/>
        </w:tblCellMar>
      </w:tblPr>
      <w:tblGrid>
        <w:gridCol w:w="2266"/>
        <w:gridCol w:w="1496"/>
      </w:tblGrid>
      <w:tr>
        <w:trPr/>
        <w:tc>
          <w:tcPr>
            <w:tcW w:w="226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42</w:t>
            </w:r>
            <w:r>
              <w:rPr>
                <w:rFonts w:ascii="Times New Roman" w:hAnsi="Times New Roman"/>
                <w:sz w:val="18"/>
              </w:rPr>
              <w:t> </w:t>
            </w:r>
            <w:r>
              <w:rPr>
                <w:rFonts w:ascii="Arial;sans-serif" w:hAnsi="Arial;sans-serif"/>
                <w:b w:val="false"/>
                <w:sz w:val="18"/>
              </w:rPr>
              <w:t>I 2023 Proxy Statement</w:t>
            </w:r>
          </w:p>
        </w:tc>
        <w:tc>
          <w:tcPr>
            <w:tcW w:w="1496" w:type="dxa"/>
            <w:tcBorders/>
            <w:vAlign w:val="center"/>
          </w:tcPr>
          <w:p>
            <w:pPr>
              <w:pStyle w:val="TableContents"/>
              <w:bidi w:val="0"/>
              <w:spacing w:before="0" w:after="0"/>
              <w:ind w:left="0" w:right="0" w:hanging="0"/>
              <w:jc w:val="right"/>
              <w:rPr/>
            </w:pPr>
            <w:r>
              <w:rPr/>
              <w:drawing>
                <wp:inline distT="0" distB="0" distL="0" distR="0">
                  <wp:extent cx="828675" cy="19050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828675" cy="190500"/>
                          </a:xfrm>
                          <a:prstGeom prst="rect">
                            <a:avLst/>
                          </a:prstGeom>
                        </pic:spPr>
                      </pic:pic>
                    </a:graphicData>
                  </a:graphic>
                </wp:inline>
              </w:drawing>
            </w: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2487" w:type="dxa"/>
        <w:jc w:val="left"/>
        <w:tblInd w:w="0" w:type="dxa"/>
        <w:tblLayout w:type="fixed"/>
        <w:tblCellMar>
          <w:top w:w="28" w:type="dxa"/>
          <w:left w:w="28" w:type="dxa"/>
          <w:bottom w:w="28" w:type="dxa"/>
          <w:right w:w="28" w:type="dxa"/>
        </w:tblCellMar>
      </w:tblPr>
      <w:tblGrid>
        <w:gridCol w:w="2296"/>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Executive Compensation</w:t>
            </w:r>
          </w:p>
        </w:tc>
        <w:tc>
          <w:tcPr>
            <w:tcW w:w="191" w:type="dxa"/>
            <w:tcBorders/>
            <w:vAlign w:val="center"/>
          </w:tcPr>
          <w:p>
            <w:pPr>
              <w:pStyle w:val="TableContents"/>
              <w:bidi w:val="0"/>
              <w:spacing w:before="0" w:after="0"/>
              <w:ind w:left="0" w:right="0" w:hanging="0"/>
              <w:jc w:val="left"/>
              <w:rPr/>
            </w:pPr>
            <w:r>
              <w:rPr/>
              <w:t> </w:t>
            </w:r>
          </w:p>
        </w:tc>
      </w:tr>
      <w:tr>
        <w:trPr/>
        <w:tc>
          <w:tcPr>
            <w:tcW w:w="229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240"/>
        <w:jc w:val="both"/>
        <w:rPr>
          <w:rFonts w:ascii="Times New Roman" w:hAnsi="Times New Roman"/>
          <w:sz w:val="20"/>
        </w:rPr>
      </w:pPr>
      <w:r>
        <w:rPr>
          <w:rFonts w:ascii="Arial;sans-serif" w:hAnsi="Arial;sans-serif"/>
          <w:b w:val="false"/>
          <w:sz w:val="24"/>
          <w:u w:val="single"/>
        </w:rPr>
        <w:t>Tabular List of Most Important Financial [and Non-Financial] Performance Measures</w:t>
      </w:r>
      <w:r>
        <w:rPr>
          <w:rFonts w:ascii="Times New Roman" w:hAnsi="Times New Roman"/>
          <w:sz w:val="20"/>
        </w:rPr>
        <w:t xml:space="preserve"> </w:t>
      </w:r>
    </w:p>
    <w:p>
      <w:pPr>
        <w:pStyle w:val="TextBody"/>
        <w:bidi w:val="0"/>
        <w:spacing w:before="240" w:after="240"/>
        <w:jc w:val="both"/>
        <w:rPr>
          <w:rFonts w:ascii="Arial;sans-serif" w:hAnsi="Arial;sans-serif"/>
          <w:b w:val="false"/>
          <w:sz w:val="20"/>
        </w:rPr>
      </w:pPr>
      <w:r>
        <w:rPr>
          <w:rFonts w:ascii="Arial;sans-serif" w:hAnsi="Arial;sans-serif"/>
          <w:b w:val="false"/>
          <w:sz w:val="20"/>
        </w:rPr>
        <w:t>The following table presents the financial performance measures that we consider to have been the most important in linking Compensation Actually Paid to our PEOs and Non-PEO NEOs for fiscal 2023 to our performance. The measures in this table are not ranked.</w:t>
      </w:r>
    </w:p>
    <w:tbl>
      <w:tblPr>
        <w:tblW w:w="1846" w:type="dxa"/>
        <w:jc w:val="left"/>
        <w:tblInd w:w="0" w:type="dxa"/>
        <w:tblLayout w:type="fixed"/>
        <w:tblCellMar>
          <w:top w:w="28" w:type="dxa"/>
          <w:left w:w="28" w:type="dxa"/>
          <w:bottom w:w="28" w:type="dxa"/>
          <w:right w:w="28" w:type="dxa"/>
        </w:tblCellMar>
      </w:tblPr>
      <w:tblGrid>
        <w:gridCol w:w="1846"/>
      </w:tblGrid>
      <w:tr>
        <w:trPr/>
        <w:tc>
          <w:tcPr>
            <w:tcW w:w="1846" w:type="dxa"/>
            <w:tcBorders/>
            <w:vAlign w:val="center"/>
          </w:tcPr>
          <w:p>
            <w:pPr>
              <w:pStyle w:val="TableContents"/>
              <w:bidi w:val="0"/>
              <w:spacing w:before="0" w:after="283"/>
              <w:jc w:val="left"/>
              <w:rPr>
                <w:sz w:val="4"/>
                <w:szCs w:val="4"/>
              </w:rPr>
            </w:pPr>
            <w:r>
              <w:rPr>
                <w:sz w:val="4"/>
                <w:szCs w:val="4"/>
              </w:rPr>
            </w:r>
          </w:p>
        </w:tc>
      </w:tr>
      <w:tr>
        <w:trPr/>
        <w:tc>
          <w:tcPr>
            <w:tcW w:w="1846" w:type="dxa"/>
            <w:tcBorders>
              <w:top w:val="single" w:sz="4" w:space="0" w:color="000000"/>
              <w:left w:val="single" w:sz="4" w:space="0" w:color="000000"/>
              <w:right w:val="single" w:sz="4" w:space="0" w:color="000000"/>
            </w:tcBorders>
            <w:tcMar>
              <w:left w:w="115" w:type="dxa"/>
              <w:bottom w:w="0" w:type="dxa"/>
              <w:right w:w="115" w:type="dxa"/>
            </w:tcMar>
            <w:vAlign w:val="center"/>
          </w:tcPr>
          <w:p>
            <w:pPr>
              <w:pStyle w:val="TableContents"/>
              <w:bidi w:val="0"/>
              <w:spacing w:before="0" w:after="283"/>
              <w:ind w:left="0" w:right="0" w:hanging="0"/>
              <w:jc w:val="left"/>
              <w:rPr>
                <w:sz w:val="4"/>
                <w:szCs w:val="4"/>
              </w:rPr>
            </w:pPr>
            <w:r>
              <w:rPr>
                <w:sz w:val="4"/>
                <w:szCs w:val="4"/>
              </w:rPr>
            </w:r>
          </w:p>
        </w:tc>
      </w:tr>
      <w:tr>
        <w:trPr/>
        <w:tc>
          <w:tcPr>
            <w:tcW w:w="1846" w:type="dxa"/>
            <w:tcBorders>
              <w:left w:val="single" w:sz="4" w:space="0" w:color="000000"/>
              <w:right w:val="single" w:sz="4" w:space="0" w:color="000000"/>
            </w:tcBorders>
            <w:tcMar>
              <w:top w:w="0" w:type="dxa"/>
              <w:left w:w="115" w:type="dxa"/>
              <w:bottom w:w="0" w:type="dxa"/>
              <w:right w:w="115" w:type="dxa"/>
            </w:tcMar>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Adjusted EBITDAS</w:t>
            </w:r>
          </w:p>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Net Sales</w:t>
            </w:r>
          </w:p>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TSR</w:t>
            </w:r>
          </w:p>
        </w:tc>
      </w:tr>
      <w:tr>
        <w:trPr/>
        <w:tc>
          <w:tcPr>
            <w:tcW w:w="1846" w:type="dxa"/>
            <w:tcBorders>
              <w:left w:val="single" w:sz="4" w:space="0" w:color="000000"/>
              <w:right w:val="single" w:sz="4" w:space="0" w:color="000000"/>
            </w:tcBorders>
            <w:tcMar>
              <w:top w:w="0" w:type="dxa"/>
              <w:left w:w="115" w:type="dxa"/>
              <w:bottom w:w="0" w:type="dxa"/>
              <w:right w:w="115" w:type="dxa"/>
            </w:tcMar>
            <w:vAlign w:val="center"/>
          </w:tcPr>
          <w:p>
            <w:pPr>
              <w:pStyle w:val="TableContents"/>
              <w:bidi w:val="0"/>
              <w:spacing w:before="0" w:after="283"/>
              <w:ind w:left="0" w:right="0" w:hanging="0"/>
              <w:jc w:val="left"/>
              <w:rPr>
                <w:sz w:val="4"/>
                <w:szCs w:val="4"/>
              </w:rPr>
            </w:pPr>
            <w:r>
              <w:rPr>
                <w:sz w:val="4"/>
                <w:szCs w:val="4"/>
              </w:rPr>
            </w:r>
          </w:p>
        </w:tc>
      </w:tr>
      <w:tr>
        <w:trPr/>
        <w:tc>
          <w:tcPr>
            <w:tcW w:w="184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ind w:left="0" w:right="0" w:hanging="0"/>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tbl>
      <w:tblPr>
        <w:tblW w:w="3762" w:type="dxa"/>
        <w:jc w:val="left"/>
        <w:tblInd w:w="0" w:type="dxa"/>
        <w:tblLayout w:type="fixed"/>
        <w:tblCellMar>
          <w:top w:w="28" w:type="dxa"/>
          <w:left w:w="28" w:type="dxa"/>
          <w:bottom w:w="28" w:type="dxa"/>
          <w:right w:w="28" w:type="dxa"/>
        </w:tblCellMar>
      </w:tblPr>
      <w:tblGrid>
        <w:gridCol w:w="2266"/>
        <w:gridCol w:w="1496"/>
      </w:tblGrid>
      <w:tr>
        <w:trPr/>
        <w:tc>
          <w:tcPr>
            <w:tcW w:w="226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43</w:t>
            </w:r>
            <w:r>
              <w:rPr>
                <w:rFonts w:ascii="Times New Roman" w:hAnsi="Times New Roman"/>
                <w:sz w:val="18"/>
              </w:rPr>
              <w:t> </w:t>
            </w:r>
            <w:r>
              <w:rPr>
                <w:rFonts w:ascii="Arial;sans-serif" w:hAnsi="Arial;sans-serif"/>
                <w:b w:val="false"/>
                <w:sz w:val="18"/>
              </w:rPr>
              <w:t>I 2023 Proxy Statement</w:t>
            </w:r>
          </w:p>
        </w:tc>
        <w:tc>
          <w:tcPr>
            <w:tcW w:w="1496" w:type="dxa"/>
            <w:tcBorders/>
            <w:vAlign w:val="center"/>
          </w:tcPr>
          <w:p>
            <w:pPr>
              <w:pStyle w:val="TableContents"/>
              <w:bidi w:val="0"/>
              <w:spacing w:before="0" w:after="0"/>
              <w:ind w:left="0" w:right="0" w:hanging="0"/>
              <w:jc w:val="right"/>
              <w:rPr/>
            </w:pPr>
            <w:r>
              <w:rPr/>
              <w:drawing>
                <wp:inline distT="0" distB="0" distL="0" distR="0">
                  <wp:extent cx="828675" cy="19050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828675" cy="190500"/>
                          </a:xfrm>
                          <a:prstGeom prst="rect">
                            <a:avLst/>
                          </a:prstGeom>
                        </pic:spPr>
                      </pic:pic>
                    </a:graphicData>
                  </a:graphic>
                </wp:inline>
              </w:drawing>
            </w: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00"/>
        <w:jc w:val="both"/>
        <w:rPr>
          <w:rFonts w:ascii="Arial;sans-serif" w:hAnsi="Arial;sans-serif"/>
          <w:b/>
          <w:caps/>
          <w:sz w:val="44"/>
        </w:rPr>
      </w:pPr>
      <w:bookmarkStart w:id="9" w:name="audit_matters"/>
      <w:bookmarkEnd w:id="9"/>
      <w:r>
        <w:rPr>
          <w:rFonts w:ascii="Arial;sans-serif" w:hAnsi="Arial;sans-serif"/>
          <w:b/>
          <w:caps/>
          <w:sz w:val="44"/>
        </w:rPr>
        <w:t>AUDIT MATTERS</w:t>
      </w:r>
    </w:p>
    <w:tbl>
      <w:tblPr>
        <w:tblW w:w="10205" w:type="dxa"/>
        <w:jc w:val="left"/>
        <w:tblInd w:w="0" w:type="dxa"/>
        <w:tblLayout w:type="fixed"/>
        <w:tblCellMar>
          <w:top w:w="28" w:type="dxa"/>
          <w:left w:w="28" w:type="dxa"/>
          <w:bottom w:w="28" w:type="dxa"/>
          <w:right w:w="28" w:type="dxa"/>
        </w:tblCellMar>
      </w:tblPr>
      <w:tblGrid>
        <w:gridCol w:w="161"/>
        <w:gridCol w:w="146"/>
        <w:gridCol w:w="9744"/>
        <w:gridCol w:w="154"/>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4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0"/>
              <w:ind w:left="0" w:right="0" w:hanging="0"/>
              <w:jc w:val="both"/>
              <w:rPr/>
            </w:pPr>
            <w:r>
              <w:rPr/>
              <w:t> </w:t>
            </w:r>
          </w:p>
        </w:tc>
        <w:tc>
          <w:tcPr>
            <w:tcW w:w="9744" w:type="dxa"/>
            <w:tcBorders/>
            <w:vAlign w:val="center"/>
          </w:tcPr>
          <w:p>
            <w:pPr>
              <w:pStyle w:val="TableContents"/>
              <w:bidi w:val="0"/>
              <w:spacing w:before="240" w:after="120"/>
              <w:ind w:left="0" w:right="0" w:hanging="0"/>
              <w:jc w:val="left"/>
              <w:rPr>
                <w:rFonts w:ascii="Arial;sans-serif" w:hAnsi="Arial;sans-serif"/>
                <w:b/>
                <w:caps/>
                <w:sz w:val="28"/>
              </w:rPr>
            </w:pPr>
            <w:bookmarkStart w:id="10" w:name="proposal_four_ratification_appointment_i"/>
            <w:bookmarkEnd w:id="10"/>
            <w:r>
              <w:rPr>
                <w:rFonts w:ascii="Arial;sans-serif" w:hAnsi="Arial;sans-serif"/>
                <w:b/>
                <w:caps/>
                <w:sz w:val="28"/>
              </w:rPr>
              <w:t>PROPOSAL FOUR – RATIFICATION OF APPOINTMENT OF INDEPENDENT REGISTERED PUBLIC ACCOUNTANT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744" w:type="dxa"/>
            <w:tcBorders/>
            <w:vAlign w:val="center"/>
          </w:tcPr>
          <w:p>
            <w:pPr>
              <w:pStyle w:val="TableContents"/>
              <w:bidi w:val="0"/>
              <w:spacing w:before="0" w:after="0"/>
              <w:ind w:left="0" w:right="0" w:hanging="0"/>
              <w:jc w:val="both"/>
              <w:rPr>
                <w:rFonts w:ascii="Times New Roman" w:hAnsi="Times New Roman"/>
                <w:sz w:val="20"/>
              </w:rPr>
            </w:pPr>
            <w:r>
              <w:rPr>
                <w:rFonts w:ascii="Arial;sans-serif" w:hAnsi="Arial;sans-serif"/>
                <w:b/>
                <w:sz w:val="20"/>
              </w:rPr>
              <w:t>What Am I Voting On?</w:t>
            </w:r>
            <w:r>
              <w:rPr>
                <w:rFonts w:ascii="Times New Roman" w:hAnsi="Times New Roman"/>
                <w:sz w:val="20"/>
              </w:rPr>
              <w:t> </w:t>
            </w:r>
            <w:r>
              <w:rPr>
                <w:rFonts w:ascii="Arial;sans-serif" w:hAnsi="Arial;sans-serif"/>
                <w:b w:val="false"/>
                <w:sz w:val="20"/>
              </w:rPr>
              <w:t>The Board is asking our stockholders to ratify the Audit Committee’s selection of Deloitte &amp; Touche LLP as our independent registered public accounting firm for fiscal 2024</w:t>
            </w:r>
          </w:p>
          <w:p>
            <w:pPr>
              <w:pStyle w:val="TableContents"/>
              <w:bidi w:val="0"/>
              <w:spacing w:before="0" w:after="0"/>
              <w:ind w:left="0" w:right="0" w:hanging="0"/>
              <w:jc w:val="both"/>
              <w:rPr/>
            </w:pPr>
            <w:r>
              <w:rPr/>
              <w:t> </w:t>
            </w:r>
          </w:p>
          <w:p>
            <w:pPr>
              <w:pStyle w:val="TableContents"/>
              <w:bidi w:val="0"/>
              <w:spacing w:before="0" w:after="0"/>
              <w:ind w:left="0" w:right="0" w:hanging="0"/>
              <w:jc w:val="both"/>
              <w:rPr>
                <w:rFonts w:ascii="Times New Roman" w:hAnsi="Times New Roman"/>
                <w:sz w:val="20"/>
              </w:rPr>
            </w:pPr>
            <w:r>
              <w:rPr>
                <w:rFonts w:ascii="Arial;sans-serif" w:hAnsi="Arial;sans-serif"/>
                <w:b/>
                <w:sz w:val="20"/>
              </w:rPr>
              <w:t>Voting Recommendation:</w:t>
            </w:r>
            <w:r>
              <w:rPr>
                <w:rFonts w:ascii="Times New Roman" w:hAnsi="Times New Roman"/>
                <w:sz w:val="20"/>
              </w:rPr>
              <w:t xml:space="preserve"> </w:t>
            </w:r>
            <w:r>
              <w:rPr>
                <w:rFonts w:ascii="Arial;sans-serif" w:hAnsi="Arial;sans-serif"/>
                <w:b w:val="false"/>
                <w:sz w:val="20"/>
              </w:rPr>
              <w:t>FOR</w:t>
            </w:r>
            <w:r>
              <w:rPr>
                <w:rFonts w:ascii="Times New Roman" w:hAnsi="Times New Roman"/>
                <w:sz w:val="20"/>
              </w:rPr>
              <w:t xml:space="preserve"> </w:t>
            </w:r>
            <w:r>
              <w:rPr>
                <w:rFonts w:ascii="Arial;sans-serif" w:hAnsi="Arial;sans-serif"/>
                <w:b w:val="false"/>
                <w:sz w:val="20"/>
              </w:rPr>
              <w:t>the ratification of our independent registered public accounting firm</w:t>
            </w:r>
          </w:p>
          <w:p>
            <w:pPr>
              <w:pStyle w:val="TableContents"/>
              <w:bidi w:val="0"/>
              <w:spacing w:before="0" w:after="0"/>
              <w:ind w:left="0" w:right="0" w:hanging="0"/>
              <w:jc w:val="both"/>
              <w:rPr/>
            </w:pPr>
            <w:r>
              <w:rPr/>
              <w:t> </w:t>
            </w:r>
          </w:p>
          <w:p>
            <w:pPr>
              <w:pStyle w:val="TableContents"/>
              <w:bidi w:val="0"/>
              <w:spacing w:before="0" w:after="0"/>
              <w:ind w:left="0" w:right="0" w:hanging="0"/>
              <w:jc w:val="both"/>
              <w:rPr>
                <w:rFonts w:ascii="Times New Roman" w:hAnsi="Times New Roman"/>
                <w:sz w:val="20"/>
              </w:rPr>
            </w:pPr>
            <w:r>
              <w:rPr>
                <w:rFonts w:ascii="Arial;sans-serif" w:hAnsi="Arial;sans-serif"/>
                <w:b/>
                <w:sz w:val="20"/>
              </w:rPr>
              <w:t>Vote Required:</w:t>
            </w:r>
            <w:r>
              <w:rPr>
                <w:rFonts w:ascii="Times New Roman" w:hAnsi="Times New Roman"/>
                <w:sz w:val="20"/>
              </w:rPr>
              <w:t> </w:t>
            </w:r>
            <w:r>
              <w:rPr>
                <w:rFonts w:ascii="Arial;sans-serif" w:hAnsi="Arial;sans-serif"/>
                <w:b w:val="false"/>
                <w:sz w:val="20"/>
              </w:rPr>
              <w:t>The affirmative vote of a majority of the votes cast is required to approve the proposal</w:t>
            </w:r>
          </w:p>
          <w:p>
            <w:pPr>
              <w:pStyle w:val="TableContents"/>
              <w:bidi w:val="0"/>
              <w:spacing w:before="0" w:after="0"/>
              <w:ind w:left="0" w:right="0" w:hanging="0"/>
              <w:jc w:val="both"/>
              <w:rPr/>
            </w:pPr>
            <w:r>
              <w:rPr/>
              <w:t> </w:t>
            </w:r>
          </w:p>
          <w:p>
            <w:pPr>
              <w:pStyle w:val="TableContents"/>
              <w:bidi w:val="0"/>
              <w:spacing w:before="0" w:after="0"/>
              <w:ind w:left="0" w:right="0" w:hanging="0"/>
              <w:jc w:val="both"/>
              <w:rPr>
                <w:rFonts w:ascii="Times New Roman" w:hAnsi="Times New Roman"/>
                <w:sz w:val="20"/>
              </w:rPr>
            </w:pPr>
            <w:r>
              <w:rPr>
                <w:rFonts w:ascii="Arial;sans-serif" w:hAnsi="Arial;sans-serif"/>
                <w:b/>
                <w:sz w:val="20"/>
              </w:rPr>
              <w:t>Broker Discretionary Voting Allowed?</w:t>
            </w:r>
            <w:r>
              <w:rPr>
                <w:rFonts w:ascii="Times New Roman" w:hAnsi="Times New Roman"/>
                <w:sz w:val="20"/>
              </w:rPr>
              <w:t> </w:t>
            </w:r>
            <w:r>
              <w:rPr>
                <w:rFonts w:ascii="Arial;sans-serif" w:hAnsi="Arial;sans-serif"/>
                <w:b w:val="false"/>
                <w:sz w:val="20"/>
              </w:rPr>
              <w:t>Yes. Organizations holding shares of beneficial owners may vote in their discretion</w:t>
            </w:r>
          </w:p>
          <w:p>
            <w:pPr>
              <w:pStyle w:val="TableContents"/>
              <w:bidi w:val="0"/>
              <w:spacing w:before="0" w:after="0"/>
              <w:ind w:left="0" w:right="0" w:hanging="0"/>
              <w:jc w:val="both"/>
              <w:rPr/>
            </w:pPr>
            <w:r>
              <w:rPr/>
              <w:t> </w:t>
            </w:r>
          </w:p>
          <w:p>
            <w:pPr>
              <w:pStyle w:val="TableContents"/>
              <w:bidi w:val="0"/>
              <w:spacing w:before="0" w:after="240"/>
              <w:ind w:left="0" w:right="0" w:hanging="0"/>
              <w:jc w:val="both"/>
              <w:rPr>
                <w:rFonts w:ascii="Times New Roman" w:hAnsi="Times New Roman"/>
                <w:sz w:val="20"/>
              </w:rPr>
            </w:pPr>
            <w:r>
              <w:rPr>
                <w:rFonts w:ascii="Arial;sans-serif" w:hAnsi="Arial;sans-serif"/>
                <w:b/>
                <w:sz w:val="20"/>
              </w:rPr>
              <w:t>Abstentions:</w:t>
            </w:r>
            <w:r>
              <w:rPr>
                <w:rFonts w:ascii="Times New Roman" w:hAnsi="Times New Roman"/>
                <w:sz w:val="20"/>
              </w:rPr>
              <w:t> </w:t>
            </w:r>
            <w:r>
              <w:rPr>
                <w:rFonts w:ascii="Arial;sans-serif" w:hAnsi="Arial;sans-serif"/>
                <w:b w:val="false"/>
                <w:sz w:val="20"/>
              </w:rPr>
              <w:t>No effect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bl>
    <w:p>
      <w:pPr>
        <w:pStyle w:val="TextBody"/>
        <w:bidi w:val="0"/>
        <w:spacing w:before="240" w:after="0"/>
        <w:jc w:val="both"/>
        <w:rPr>
          <w:rFonts w:ascii="Arial;sans-serif" w:hAnsi="Arial;sans-serif"/>
          <w:b/>
          <w:sz w:val="28"/>
        </w:rPr>
      </w:pPr>
      <w:r>
        <w:rPr>
          <w:rFonts w:ascii="Arial;sans-serif" w:hAnsi="Arial;sans-serif"/>
          <w:b/>
          <w:sz w:val="28"/>
        </w:rPr>
        <w:t>REPORT OF THE AUDIT COMMITTEE</w:t>
      </w:r>
    </w:p>
    <w:p>
      <w:pPr>
        <w:pStyle w:val="TextBody"/>
        <w:bidi w:val="0"/>
        <w:spacing w:before="0" w:after="0"/>
        <w:jc w:val="both"/>
        <w:rPr>
          <w:rFonts w:ascii="Times New Roman" w:hAnsi="Times New Roman"/>
          <w:sz w:val="20"/>
        </w:rPr>
      </w:pPr>
      <w:r>
        <w:rPr>
          <w:rFonts w:ascii="Arial;sans-serif" w:hAnsi="Arial;sans-serif"/>
          <w:b w:val="false"/>
          <w:sz w:val="20"/>
        </w:rPr>
        <w:t>The Board has appointed an Audit Committee, consisting of four independent directors, each of whom is “independent” as independence is defined in applicable Nasdaq and SEC rules.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The purpose of the Audit Committee is to assist the oversight of the Board in the integrity of our financial statements, our compliance with legal and regulatory matters, our policies and practices related to information security, the independent registered public accountant’s qualifications and independence, and the performance of our independent registered public accountant. The primary responsibilities of the Audit Committee include overseeing our accounting and financial reporting process and audits of our financial statements on behalf of the Board.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Management has the primary responsibility for the financial statements and the reporting process, including the systems of internal controls. The independent registered public accountant is responsible for auditing the financial statements and expressing an opinion on the conformity of those audited financial statements with generally accepted accounting principles.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In fulfilling its oversight responsibilities, the Audit Committee reviewed the audited financial statements with management and the independent registered public accountant. The Audit Committee discussed with the independent registered public accountant the matters required to be discussed by the Public Company Accounting Oversight Board, including a discussion of the independent registered public accountant’s judgments as to the quality of our accounting principles and such other matters as are required to be discussed under generally accepted auditing standards. In addition, the Audit Committee received from the independent registered public accountant written disclosures and the letter required by applicable requirements of the Public Company Accounting Oversight Board regarding the independent registered public accountant’s communications with the Audit Committee concerning independence. The Audit Committee also discussed with the independent registered public accountant its independence from management and us, including the matters covered by the written disclosures and letter provided by the independent registered public accountant.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The Audit Committee discussed with the independent registered public accountant the overall scope and plans for its audit. The Audit Committee met with the independent registered public accountant, with and without management present, to discuss the results of the examinations, its evaluations of us, the internal controls, and the overall quality of the financial reporting.</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Based on the reviews and discussions referred to above, the Audit Committee recommended to the Board, and the Board approved, that the audited financial statements be included in the Form 10-K.</w:t>
      </w:r>
    </w:p>
    <w:p>
      <w:pPr>
        <w:pStyle w:val="TextBody"/>
        <w:bidi w:val="0"/>
        <w:spacing w:before="240" w:after="0"/>
        <w:jc w:val="both"/>
        <w:rPr>
          <w:rFonts w:ascii="Times New Roman" w:hAnsi="Times New Roman"/>
          <w:sz w:val="20"/>
        </w:rPr>
      </w:pPr>
      <w:r>
        <w:rPr>
          <w:rFonts w:ascii="Arial;sans-serif" w:hAnsi="Arial;sans-serif"/>
          <w:b/>
          <w:i/>
          <w:sz w:val="20"/>
        </w:rPr>
        <w:t xml:space="preserve">Audit Committee: </w:t>
      </w:r>
      <w:r>
        <w:rPr>
          <w:rFonts w:ascii="Arial;sans-serif" w:hAnsi="Arial;sans-serif"/>
          <w:b w:val="false"/>
          <w:sz w:val="20"/>
        </w:rPr>
        <w:t>Anita D. Britt; Chairman; John B. Furman; Robert L. Scott; and Denis G. Suggs.</w:t>
      </w:r>
    </w:p>
    <w:p>
      <w:pPr>
        <w:pStyle w:val="TextBody"/>
        <w:bidi w:val="0"/>
        <w:spacing w:before="0" w:after="0"/>
        <w:jc w:val="both"/>
        <w:rPr/>
      </w:pPr>
      <w:r>
        <w:rPr/>
        <w:t> </w:t>
      </w:r>
    </w:p>
    <w:p>
      <w:pPr>
        <w:pStyle w:val="TextBody"/>
        <w:bidi w:val="0"/>
        <w:spacing w:before="0" w:after="0"/>
        <w:jc w:val="left"/>
        <w:rPr/>
      </w:pPr>
      <w:r>
        <w:rPr/>
        <w:t> </w:t>
      </w:r>
    </w:p>
    <w:tbl>
      <w:tblPr>
        <w:tblW w:w="3762" w:type="dxa"/>
        <w:jc w:val="left"/>
        <w:tblInd w:w="0" w:type="dxa"/>
        <w:tblLayout w:type="fixed"/>
        <w:tblCellMar>
          <w:top w:w="28" w:type="dxa"/>
          <w:left w:w="28" w:type="dxa"/>
          <w:bottom w:w="28" w:type="dxa"/>
          <w:right w:w="28" w:type="dxa"/>
        </w:tblCellMar>
      </w:tblPr>
      <w:tblGrid>
        <w:gridCol w:w="1466"/>
        <w:gridCol w:w="2296"/>
      </w:tblGrid>
      <w:tr>
        <w:trPr/>
        <w:tc>
          <w:tcPr>
            <w:tcW w:w="146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r>
      <w:tr>
        <w:trPr/>
        <w:tc>
          <w:tcPr>
            <w:tcW w:w="1466" w:type="dxa"/>
            <w:tcBorders/>
            <w:vAlign w:val="center"/>
          </w:tcPr>
          <w:p>
            <w:pPr>
              <w:pStyle w:val="TableContents"/>
              <w:bidi w:val="0"/>
              <w:spacing w:before="0" w:after="0"/>
              <w:ind w:left="0" w:right="0" w:hanging="0"/>
              <w:jc w:val="left"/>
              <w:rPr/>
            </w:pPr>
            <w:r>
              <w:rPr/>
              <w:drawing>
                <wp:inline distT="0" distB="0" distL="0" distR="0">
                  <wp:extent cx="828675" cy="19050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828675" cy="190500"/>
                          </a:xfrm>
                          <a:prstGeom prst="rect">
                            <a:avLst/>
                          </a:prstGeom>
                        </pic:spPr>
                      </pic:pic>
                    </a:graphicData>
                  </a:graphic>
                </wp:inline>
              </w:drawing>
            </w:r>
            <w:r>
              <w:rPr/>
              <w:t> </w:t>
            </w:r>
          </w:p>
        </w:tc>
        <w:tc>
          <w:tcPr>
            <w:tcW w:w="229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2023 Proxy Statement I 44</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482" w:type="dxa"/>
        <w:jc w:val="left"/>
        <w:tblInd w:w="0" w:type="dxa"/>
        <w:tblLayout w:type="fixed"/>
        <w:tblCellMar>
          <w:top w:w="28" w:type="dxa"/>
          <w:left w:w="28" w:type="dxa"/>
          <w:bottom w:w="28" w:type="dxa"/>
          <w:right w:w="28" w:type="dxa"/>
        </w:tblCellMar>
      </w:tblPr>
      <w:tblGrid>
        <w:gridCol w:w="1291"/>
        <w:gridCol w:w="191"/>
      </w:tblGrid>
      <w:tr>
        <w:trPr/>
        <w:tc>
          <w:tcPr>
            <w:tcW w:w="12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Audit Matters</w:t>
            </w:r>
          </w:p>
        </w:tc>
        <w:tc>
          <w:tcPr>
            <w:tcW w:w="191" w:type="dxa"/>
            <w:tcBorders/>
            <w:vAlign w:val="center"/>
          </w:tcPr>
          <w:p>
            <w:pPr>
              <w:pStyle w:val="TableContents"/>
              <w:bidi w:val="0"/>
              <w:spacing w:before="0" w:after="0"/>
              <w:ind w:left="0" w:right="0" w:hanging="0"/>
              <w:jc w:val="left"/>
              <w:rPr/>
            </w:pPr>
            <w:r>
              <w:rPr/>
              <w:t> </w:t>
            </w:r>
          </w:p>
        </w:tc>
      </w:tr>
      <w:tr>
        <w:trPr/>
        <w:tc>
          <w:tcPr>
            <w:tcW w:w="12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both"/>
        <w:rPr>
          <w:rFonts w:ascii="Arial;sans-serif" w:hAnsi="Arial;sans-serif"/>
          <w:b w:val="false"/>
          <w:sz w:val="24"/>
          <w:u w:val="single"/>
        </w:rPr>
      </w:pPr>
      <w:r>
        <w:rPr>
          <w:rFonts w:ascii="Arial;sans-serif" w:hAnsi="Arial;sans-serif"/>
          <w:b w:val="false"/>
          <w:sz w:val="24"/>
          <w:u w:val="single"/>
        </w:rPr>
        <w:t>Independent Registered Public Accounting Firm</w:t>
      </w:r>
    </w:p>
    <w:p>
      <w:pPr>
        <w:pStyle w:val="TextBody"/>
        <w:bidi w:val="0"/>
        <w:spacing w:before="0" w:after="0"/>
        <w:jc w:val="both"/>
        <w:rPr>
          <w:rFonts w:ascii="Arial;sans-serif" w:hAnsi="Arial;sans-serif"/>
          <w:b w:val="false"/>
          <w:sz w:val="20"/>
        </w:rPr>
      </w:pPr>
      <w:r>
        <w:rPr>
          <w:rFonts w:ascii="Arial;sans-serif" w:hAnsi="Arial;sans-serif"/>
          <w:b w:val="false"/>
          <w:sz w:val="20"/>
        </w:rPr>
        <w:t>The Audit Committee has appointed Deloitte &amp; Touche LLP to audit our consolidated financial statements for fiscal 2024 and recommends that stockholders vote in favor of the ratification of such appointment. In the event of a negative vote on such ratification, the Audit Committee will reconsider its selection. We anticipate that representatives of Deloitte &amp; Touche LLP will be present at the 2023 Annual Meeting, will have the opportunity to make a statement if they desire, and will be available to respond to appropriate questions. The Audit Committee first appointed Deloitte &amp; Touche LLP to audit our consolidated financial statements in 2014.</w:t>
      </w:r>
    </w:p>
    <w:p>
      <w:pPr>
        <w:pStyle w:val="TextBody"/>
        <w:bidi w:val="0"/>
        <w:spacing w:before="240" w:after="0"/>
        <w:jc w:val="both"/>
        <w:rPr>
          <w:rFonts w:ascii="Arial;sans-serif" w:hAnsi="Arial;sans-serif"/>
          <w:b w:val="false"/>
          <w:sz w:val="20"/>
        </w:rPr>
      </w:pPr>
      <w:r>
        <w:rPr>
          <w:rFonts w:ascii="Arial;sans-serif" w:hAnsi="Arial;sans-serif"/>
          <w:b w:val="false"/>
          <w:sz w:val="20"/>
        </w:rPr>
        <w:t>The Audit Committee has considered whether the provision of non-audit services by our independent registered public accountant is compatible with maintaining their independence and has determined that Deloitte &amp; Touche LLP’s independence is not compromised by providing such services.</w:t>
      </w:r>
    </w:p>
    <w:p>
      <w:pPr>
        <w:pStyle w:val="TextBody"/>
        <w:bidi w:val="0"/>
        <w:spacing w:before="240" w:after="0"/>
        <w:jc w:val="both"/>
        <w:rPr>
          <w:rFonts w:ascii="Arial;sans-serif" w:hAnsi="Arial;sans-serif"/>
          <w:b w:val="false"/>
          <w:sz w:val="24"/>
          <w:u w:val="single"/>
        </w:rPr>
      </w:pPr>
      <w:r>
        <w:rPr>
          <w:rFonts w:ascii="Arial;sans-serif" w:hAnsi="Arial;sans-serif"/>
          <w:b w:val="false"/>
          <w:sz w:val="24"/>
          <w:u w:val="single"/>
        </w:rPr>
        <w:t>Audit Fees and Audit-Related Fees</w:t>
      </w:r>
    </w:p>
    <w:p>
      <w:pPr>
        <w:pStyle w:val="TextBody"/>
        <w:bidi w:val="0"/>
        <w:spacing w:before="0" w:after="0"/>
        <w:jc w:val="both"/>
        <w:rPr>
          <w:rFonts w:ascii="Times New Roman" w:hAnsi="Times New Roman"/>
          <w:sz w:val="20"/>
        </w:rPr>
      </w:pPr>
      <w:r>
        <w:rPr>
          <w:rFonts w:ascii="Arial;sans-serif" w:hAnsi="Arial;sans-serif"/>
          <w:b w:val="false"/>
          <w:sz w:val="20"/>
        </w:rPr>
        <w:t>The aggregate fees billed to us by Deloitte &amp; Touche LLP for fiscal 2023 and 2022 are as follows:</w:t>
      </w:r>
      <w:r>
        <w:rPr>
          <w:rFonts w:ascii="Times New Roman" w:hAnsi="Times New Roman"/>
          <w:sz w:val="20"/>
        </w:rPr>
        <w:t xml:space="preserve"> </w:t>
      </w:r>
    </w:p>
    <w:p>
      <w:pPr>
        <w:pStyle w:val="TextBody"/>
        <w:bidi w:val="0"/>
        <w:spacing w:before="0" w:after="0"/>
        <w:jc w:val="both"/>
        <w:rPr/>
      </w:pPr>
      <w:r>
        <w:rPr/>
        <w:t> </w:t>
      </w:r>
    </w:p>
    <w:tbl>
      <w:tblPr>
        <w:tblW w:w="4265" w:type="dxa"/>
        <w:jc w:val="left"/>
        <w:tblInd w:w="0" w:type="dxa"/>
        <w:tblLayout w:type="fixed"/>
        <w:tblCellMar>
          <w:top w:w="28" w:type="dxa"/>
          <w:left w:w="28" w:type="dxa"/>
          <w:bottom w:w="28" w:type="dxa"/>
          <w:right w:w="28" w:type="dxa"/>
        </w:tblCellMar>
      </w:tblPr>
      <w:tblGrid>
        <w:gridCol w:w="1516"/>
        <w:gridCol w:w="146"/>
        <w:gridCol w:w="196"/>
        <w:gridCol w:w="691"/>
        <w:gridCol w:w="146"/>
        <w:gridCol w:w="146"/>
        <w:gridCol w:w="146"/>
        <w:gridCol w:w="196"/>
        <w:gridCol w:w="691"/>
        <w:gridCol w:w="3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1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7"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7"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39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1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Audit Fees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973,720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916,485</w:t>
            </w:r>
          </w:p>
        </w:tc>
        <w:tc>
          <w:tcPr>
            <w:tcW w:w="391" w:type="dxa"/>
            <w:tcBorders/>
            <w:vAlign w:val="center"/>
          </w:tcPr>
          <w:p>
            <w:pPr>
              <w:pStyle w:val="TableContents"/>
              <w:bidi w:val="0"/>
              <w:spacing w:before="0" w:after="0"/>
              <w:ind w:left="0" w:right="0" w:hanging="0"/>
              <w:jc w:val="left"/>
              <w:rPr/>
            </w:pPr>
            <w:r>
              <w:rPr/>
              <w:t> </w:t>
            </w:r>
          </w:p>
        </w:tc>
      </w:tr>
      <w:tr>
        <w:trPr/>
        <w:tc>
          <w:tcPr>
            <w:tcW w:w="151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Audit-Related Fees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 </w:t>
            </w:r>
          </w:p>
        </w:tc>
      </w:tr>
      <w:tr>
        <w:trPr/>
        <w:tc>
          <w:tcPr>
            <w:tcW w:w="151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Tax Fees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 </w:t>
            </w:r>
          </w:p>
        </w:tc>
      </w:tr>
      <w:tr>
        <w:trPr/>
        <w:tc>
          <w:tcPr>
            <w:tcW w:w="151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All Other Fees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1516" w:type="dxa"/>
            <w:tcBorders/>
            <w:vAlign w:val="center"/>
          </w:tcPr>
          <w:p>
            <w:pPr>
              <w:pStyle w:val="TableContents"/>
              <w:bidi w:val="0"/>
              <w:spacing w:before="0" w:after="0"/>
              <w:ind w:left="200" w:right="0" w:hanging="0"/>
              <w:jc w:val="left"/>
              <w:rPr>
                <w:rFonts w:ascii="Arial;sans-serif" w:hAnsi="Arial;sans-serif"/>
                <w:b w:val="false"/>
                <w:sz w:val="16"/>
              </w:rPr>
            </w:pPr>
            <w:r>
              <w:rPr>
                <w:rFonts w:ascii="Arial;sans-serif" w:hAnsi="Arial;sans-serif"/>
                <w:b w:val="false"/>
                <w:sz w:val="16"/>
              </w:rPr>
              <w:t>Total</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973,720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916,485</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1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7"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7"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40" w:after="0"/>
        <w:jc w:val="both"/>
        <w:rPr>
          <w:rFonts w:ascii="Times New Roman" w:hAnsi="Times New Roman"/>
          <w:sz w:val="20"/>
        </w:rPr>
      </w:pPr>
      <w:r>
        <w:rPr>
          <w:rFonts w:ascii="Arial;sans-serif" w:hAnsi="Arial;sans-serif"/>
          <w:b w:val="false"/>
          <w:sz w:val="20"/>
        </w:rPr>
        <w:t>Audit services for fiscal 2023 and 2022 consisted of the audit of our consolidated financial statements, the audit of our internal controls in accordance with Section 404 of the Sarbanes-Oxley Act, the review of our quarterly financial statements, fees related to the consent on Form S-8 filed in fiscal 2023, and fees related to our response to an SEC comment letter.</w:t>
      </w:r>
      <w:r>
        <w:rPr>
          <w:rFonts w:ascii="Times New Roman" w:hAnsi="Times New Roman"/>
          <w:sz w:val="20"/>
        </w:rPr>
        <w:t xml:space="preserve"> </w:t>
      </w:r>
    </w:p>
    <w:p>
      <w:pPr>
        <w:pStyle w:val="TextBody"/>
        <w:bidi w:val="0"/>
        <w:spacing w:before="240" w:after="0"/>
        <w:jc w:val="both"/>
        <w:rPr>
          <w:rFonts w:ascii="Arial;sans-serif" w:hAnsi="Arial;sans-serif"/>
          <w:b w:val="false"/>
          <w:sz w:val="24"/>
          <w:u w:val="single"/>
        </w:rPr>
      </w:pPr>
      <w:r>
        <w:rPr>
          <w:rFonts w:ascii="Arial;sans-serif" w:hAnsi="Arial;sans-serif"/>
          <w:b w:val="false"/>
          <w:sz w:val="24"/>
          <w:u w:val="single"/>
        </w:rPr>
        <w:t>Audit Committee Pre-Approval Policies</w:t>
      </w:r>
    </w:p>
    <w:p>
      <w:pPr>
        <w:pStyle w:val="TextBody"/>
        <w:bidi w:val="0"/>
        <w:spacing w:before="0" w:after="0"/>
        <w:jc w:val="both"/>
        <w:rPr>
          <w:rFonts w:ascii="Times New Roman" w:hAnsi="Times New Roman"/>
          <w:sz w:val="20"/>
        </w:rPr>
      </w:pPr>
      <w:r>
        <w:rPr>
          <w:rFonts w:ascii="Arial;sans-serif" w:hAnsi="Arial;sans-serif"/>
          <w:b w:val="false"/>
          <w:sz w:val="20"/>
        </w:rPr>
        <w:t>The Audit Committee charter provides that the duties and responsibilities of the Audit Committee include the pre-approval of all audits, audit-related, tax, and other services permitted by law or applicable SEC regulations (including fee and cost ranges) to be performed by our independent registered public accountant. Any pre-approved services that will involve fees or costs exceeding pre-approved levels also require specific pre-approval by the Audit Committee. Unless otherwise specified by the Audit Committee in pre-approving a service, the pre-approval is effective for the 12-month period following pre-approval. The Audit Committee will not approve any non-audit services prohibited by applicable SEC regulations or any services in connection with a transaction initially recommended by the independent registered public accountant, the purpose of which may be tax avoidance and the tax treatment of which may not be supported by the Code and related regulations.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To the extent deemed appropriate, the Audit Committee may delegate pre-approval authority to the Chair of the Audit Committee or any one or more other members of the Audit Committee provided that any member of the Audit Committee who has exercised any such delegation must report any such pre-approval decision to the Audit Committee at its next scheduled meeting. The Audit Committee will not delegate the pre-approval of services to be performed by the independent registered public accountant to management.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The Audit Committee requires that the independent registered public accountant, in conjunction with our CFO, be responsible for seeking pre-approval for providing services to us and that any request for pre-approval must inform the Audit Committee about each service to be provided and must provide detail as to the particular service to be provided.</w:t>
      </w:r>
      <w:r>
        <w:rPr>
          <w:rFonts w:ascii="Times New Roman" w:hAnsi="Times New Roman"/>
          <w:sz w:val="20"/>
        </w:rPr>
        <w:t xml:space="preserve"> </w:t>
      </w:r>
    </w:p>
    <w:p>
      <w:pPr>
        <w:pStyle w:val="TextBody"/>
        <w:bidi w:val="0"/>
        <w:spacing w:before="0" w:after="0"/>
        <w:jc w:val="left"/>
        <w:rPr/>
      </w:pPr>
      <w:r>
        <w:rPr/>
        <w:t> </w:t>
      </w:r>
    </w:p>
    <w:tbl>
      <w:tblPr>
        <w:tblW w:w="3762" w:type="dxa"/>
        <w:jc w:val="left"/>
        <w:tblInd w:w="0" w:type="dxa"/>
        <w:tblLayout w:type="fixed"/>
        <w:tblCellMar>
          <w:top w:w="28" w:type="dxa"/>
          <w:left w:w="28" w:type="dxa"/>
          <w:bottom w:w="28" w:type="dxa"/>
          <w:right w:w="28" w:type="dxa"/>
        </w:tblCellMar>
      </w:tblPr>
      <w:tblGrid>
        <w:gridCol w:w="2266"/>
        <w:gridCol w:w="1496"/>
      </w:tblGrid>
      <w:tr>
        <w:trPr/>
        <w:tc>
          <w:tcPr>
            <w:tcW w:w="226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45</w:t>
            </w:r>
            <w:r>
              <w:rPr>
                <w:rFonts w:ascii="Times New Roman" w:hAnsi="Times New Roman"/>
                <w:sz w:val="18"/>
              </w:rPr>
              <w:t> </w:t>
            </w:r>
            <w:r>
              <w:rPr>
                <w:rFonts w:ascii="Arial;sans-serif" w:hAnsi="Arial;sans-serif"/>
                <w:b w:val="false"/>
                <w:sz w:val="18"/>
              </w:rPr>
              <w:t>I 2023 Proxy Statement</w:t>
            </w:r>
          </w:p>
        </w:tc>
        <w:tc>
          <w:tcPr>
            <w:tcW w:w="1496" w:type="dxa"/>
            <w:tcBorders/>
            <w:vAlign w:val="center"/>
          </w:tcPr>
          <w:p>
            <w:pPr>
              <w:pStyle w:val="TableContents"/>
              <w:bidi w:val="0"/>
              <w:spacing w:before="0" w:after="0"/>
              <w:ind w:left="0" w:right="0" w:hanging="0"/>
              <w:jc w:val="right"/>
              <w:rPr/>
            </w:pPr>
            <w:r>
              <w:rPr/>
              <w:drawing>
                <wp:inline distT="0" distB="0" distL="0" distR="0">
                  <wp:extent cx="828675" cy="19050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828675" cy="190500"/>
                          </a:xfrm>
                          <a:prstGeom prst="rect">
                            <a:avLst/>
                          </a:prstGeom>
                        </pic:spPr>
                      </pic:pic>
                    </a:graphicData>
                  </a:graphic>
                </wp:inline>
              </w:drawing>
            </w: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00"/>
        <w:jc w:val="both"/>
        <w:rPr>
          <w:rFonts w:ascii="Arial;sans-serif" w:hAnsi="Arial;sans-serif"/>
          <w:b/>
          <w:caps/>
          <w:sz w:val="40"/>
        </w:rPr>
      </w:pPr>
      <w:bookmarkStart w:id="11" w:name="management_proposal"/>
      <w:bookmarkEnd w:id="11"/>
      <w:r>
        <w:rPr>
          <w:rFonts w:ascii="Arial;sans-serif" w:hAnsi="Arial;sans-serif"/>
          <w:b/>
          <w:caps/>
          <w:sz w:val="40"/>
        </w:rPr>
        <w:t>MANAGEMENT PROPOSALs</w:t>
      </w:r>
    </w:p>
    <w:tbl>
      <w:tblPr>
        <w:tblW w:w="10205" w:type="dxa"/>
        <w:jc w:val="left"/>
        <w:tblInd w:w="0" w:type="dxa"/>
        <w:tblLayout w:type="fixed"/>
        <w:tblCellMar>
          <w:top w:w="28" w:type="dxa"/>
          <w:left w:w="28" w:type="dxa"/>
          <w:bottom w:w="28" w:type="dxa"/>
          <w:right w:w="28" w:type="dxa"/>
        </w:tblCellMar>
      </w:tblPr>
      <w:tblGrid>
        <w:gridCol w:w="161"/>
        <w:gridCol w:w="146"/>
        <w:gridCol w:w="9744"/>
        <w:gridCol w:w="154"/>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4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0"/>
              <w:ind w:left="0" w:right="0" w:hanging="0"/>
              <w:jc w:val="both"/>
              <w:rPr/>
            </w:pPr>
            <w:r>
              <w:rPr/>
              <w:t> </w:t>
            </w:r>
          </w:p>
        </w:tc>
        <w:tc>
          <w:tcPr>
            <w:tcW w:w="9744" w:type="dxa"/>
            <w:tcBorders/>
            <w:vAlign w:val="center"/>
          </w:tcPr>
          <w:p>
            <w:pPr>
              <w:pStyle w:val="TableContents"/>
              <w:bidi w:val="0"/>
              <w:spacing w:before="240" w:after="120"/>
              <w:ind w:left="0" w:right="0" w:hanging="0"/>
              <w:jc w:val="left"/>
              <w:rPr>
                <w:rFonts w:ascii="Arial;sans-serif" w:hAnsi="Arial;sans-serif"/>
                <w:b/>
                <w:sz w:val="28"/>
              </w:rPr>
            </w:pPr>
            <w:bookmarkStart w:id="12" w:name="proposal_5"/>
            <w:bookmarkEnd w:id="12"/>
            <w:r>
              <w:rPr>
                <w:rFonts w:ascii="Arial;sans-serif" w:hAnsi="Arial;sans-serif"/>
                <w:b/>
                <w:sz w:val="28"/>
              </w:rPr>
              <w:t>PROPOSAL FIVE - ADVISORY VOTE TO CALL SPECIAL STOCKHOLDER MEETING</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744" w:type="dxa"/>
            <w:tcBorders/>
            <w:vAlign w:val="center"/>
          </w:tcPr>
          <w:p>
            <w:pPr>
              <w:pStyle w:val="TableContents"/>
              <w:bidi w:val="0"/>
              <w:spacing w:before="120" w:after="0"/>
              <w:ind w:left="0" w:right="0" w:hanging="0"/>
              <w:jc w:val="both"/>
              <w:rPr>
                <w:rFonts w:ascii="Times New Roman" w:hAnsi="Times New Roman"/>
                <w:sz w:val="20"/>
              </w:rPr>
            </w:pPr>
            <w:r>
              <w:rPr>
                <w:rFonts w:ascii="Arial;sans-serif" w:hAnsi="Arial;sans-serif"/>
                <w:b/>
                <w:sz w:val="20"/>
              </w:rPr>
              <w:t>What Am I Voting On?</w:t>
            </w:r>
            <w:r>
              <w:rPr>
                <w:rFonts w:ascii="Times New Roman" w:hAnsi="Times New Roman"/>
                <w:sz w:val="20"/>
              </w:rPr>
              <w:t> </w:t>
            </w:r>
            <w:r>
              <w:rPr>
                <w:rFonts w:ascii="Arial;sans-serif" w:hAnsi="Arial;sans-serif"/>
                <w:b w:val="false"/>
                <w:sz w:val="20"/>
              </w:rPr>
              <w:t>The Board is asking our stockholders to vote on the resolution listed below</w:t>
            </w:r>
          </w:p>
          <w:p>
            <w:pPr>
              <w:pStyle w:val="TableContents"/>
              <w:bidi w:val="0"/>
              <w:spacing w:before="120" w:after="0"/>
              <w:ind w:left="0" w:right="0" w:hanging="0"/>
              <w:jc w:val="both"/>
              <w:rPr>
                <w:rFonts w:ascii="Times New Roman" w:hAnsi="Times New Roman"/>
                <w:sz w:val="20"/>
              </w:rPr>
            </w:pPr>
            <w:r>
              <w:rPr>
                <w:rFonts w:ascii="Arial;sans-serif" w:hAnsi="Arial;sans-serif"/>
                <w:b/>
                <w:sz w:val="20"/>
              </w:rPr>
              <w:t>Voting Recommendation of the Board:</w:t>
            </w:r>
            <w:r>
              <w:rPr>
                <w:rFonts w:ascii="Times New Roman" w:hAnsi="Times New Roman"/>
                <w:sz w:val="20"/>
              </w:rPr>
              <w:t xml:space="preserve"> </w:t>
            </w:r>
            <w:r>
              <w:rPr>
                <w:rFonts w:ascii="Arial;sans-serif" w:hAnsi="Arial;sans-serif"/>
                <w:b w:val="false"/>
                <w:sz w:val="20"/>
              </w:rPr>
              <w:t>FOR the proposal</w:t>
            </w:r>
          </w:p>
          <w:p>
            <w:pPr>
              <w:pStyle w:val="TableContents"/>
              <w:bidi w:val="0"/>
              <w:spacing w:before="120" w:after="0"/>
              <w:ind w:left="0" w:right="0" w:hanging="0"/>
              <w:jc w:val="both"/>
              <w:rPr>
                <w:rFonts w:ascii="Times New Roman" w:hAnsi="Times New Roman"/>
                <w:sz w:val="20"/>
              </w:rPr>
            </w:pPr>
            <w:r>
              <w:rPr>
                <w:rFonts w:ascii="Arial;sans-serif" w:hAnsi="Arial;sans-serif"/>
                <w:b/>
                <w:sz w:val="20"/>
              </w:rPr>
              <w:t>Vote Required:</w:t>
            </w:r>
            <w:r>
              <w:rPr>
                <w:rFonts w:ascii="Times New Roman" w:hAnsi="Times New Roman"/>
                <w:sz w:val="20"/>
              </w:rPr>
              <w:t> </w:t>
            </w:r>
            <w:r>
              <w:rPr>
                <w:rFonts w:ascii="Arial;sans-serif" w:hAnsi="Arial;sans-serif"/>
                <w:b w:val="false"/>
                <w:sz w:val="20"/>
              </w:rPr>
              <w:t>The affirmative vote of a majority of the votes cast is required to approve the proposal</w:t>
            </w:r>
          </w:p>
          <w:p>
            <w:pPr>
              <w:pStyle w:val="TableContents"/>
              <w:bidi w:val="0"/>
              <w:spacing w:before="120" w:after="0"/>
              <w:ind w:left="0" w:right="0" w:hanging="0"/>
              <w:jc w:val="both"/>
              <w:rPr>
                <w:rFonts w:ascii="Times New Roman" w:hAnsi="Times New Roman"/>
                <w:sz w:val="20"/>
              </w:rPr>
            </w:pPr>
            <w:r>
              <w:rPr>
                <w:rFonts w:ascii="Arial;sans-serif" w:hAnsi="Arial;sans-serif"/>
                <w:b/>
                <w:sz w:val="20"/>
              </w:rPr>
              <w:t>Broker Discretionary Voting Allowed?</w:t>
            </w:r>
            <w:r>
              <w:rPr>
                <w:rFonts w:ascii="Times New Roman" w:hAnsi="Times New Roman"/>
                <w:sz w:val="20"/>
              </w:rPr>
              <w:t> </w:t>
            </w:r>
            <w:r>
              <w:rPr>
                <w:rFonts w:ascii="Arial;sans-serif" w:hAnsi="Arial;sans-serif"/>
                <w:b w:val="false"/>
                <w:sz w:val="20"/>
              </w:rPr>
              <w:t>No – broker non-votes have no effect</w:t>
            </w:r>
          </w:p>
          <w:p>
            <w:pPr>
              <w:pStyle w:val="TableContents"/>
              <w:bidi w:val="0"/>
              <w:spacing w:before="120" w:after="0"/>
              <w:ind w:left="0" w:right="0" w:hanging="0"/>
              <w:jc w:val="both"/>
              <w:rPr>
                <w:rFonts w:ascii="Times New Roman" w:hAnsi="Times New Roman"/>
                <w:sz w:val="20"/>
              </w:rPr>
            </w:pPr>
            <w:r>
              <w:rPr>
                <w:rFonts w:ascii="Arial;sans-serif" w:hAnsi="Arial;sans-serif"/>
                <w:b/>
                <w:sz w:val="20"/>
              </w:rPr>
              <w:t>Abstentions:</w:t>
            </w:r>
            <w:r>
              <w:rPr>
                <w:rFonts w:ascii="Times New Roman" w:hAnsi="Times New Roman"/>
                <w:sz w:val="20"/>
              </w:rPr>
              <w:t> </w:t>
            </w:r>
            <w:r>
              <w:rPr>
                <w:rFonts w:ascii="Arial;sans-serif" w:hAnsi="Arial;sans-serif"/>
                <w:b w:val="false"/>
                <w:sz w:val="20"/>
              </w:rPr>
              <w:t>No effect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bl>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sz w:val="20"/>
        </w:rPr>
        <w:t>Resolution and Supporting Statement</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left"/>
        <w:rPr>
          <w:rFonts w:ascii="Arial;sans-serif" w:hAnsi="Arial;sans-serif"/>
          <w:b w:val="false"/>
          <w:i/>
          <w:sz w:val="20"/>
        </w:rPr>
      </w:pPr>
      <w:r>
        <w:rPr>
          <w:rFonts w:ascii="Arial;sans-serif" w:hAnsi="Arial;sans-serif"/>
          <w:b w:val="false"/>
          <w:i/>
          <w:sz w:val="20"/>
        </w:rPr>
        <w:t>RESOLVED, that stockholders approve the Board of Directors taking steps necessary to amend the appropriate governing documents of the Company to give owners of a combined 25% of the Company’s outstanding shares who satisfy certain other procedures and requirements to be determined by the Board in the future the power to call a special meeting of stockholders.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i/>
          <w:sz w:val="20"/>
        </w:rPr>
        <w:t>Overview</w:t>
      </w:r>
      <w:r>
        <w:rPr>
          <w:rFonts w:ascii="Arial;sans-serif" w:hAnsi="Arial;sans-serif"/>
          <w:b w:val="false"/>
          <w:sz w:val="20"/>
        </w:rPr>
        <w:t>. We are providing stockholders with the opportunity to vote on an advisory resolution considering approval of amendment of our Bylaws to provide stockholders with the right to call a special meeting of stockholders (a “</w:t>
      </w:r>
      <w:r>
        <w:rPr>
          <w:rFonts w:ascii="Arial;sans-serif" w:hAnsi="Arial;sans-serif"/>
          <w:b/>
          <w:sz w:val="20"/>
        </w:rPr>
        <w:t>special meeting</w:t>
      </w:r>
      <w:r>
        <w:rPr>
          <w:rFonts w:ascii="Times New Roman" w:hAnsi="Times New Roman"/>
          <w:sz w:val="20"/>
        </w:rPr>
        <w:t>”</w:t>
      </w:r>
      <w:r>
        <w:rPr>
          <w:rFonts w:ascii="Arial;sans-serif" w:hAnsi="Arial;sans-serif"/>
          <w:b w:val="false"/>
          <w:sz w:val="20"/>
        </w:rPr>
        <w:t>). Our stockholders do not currently have the right to require us to call a special meeting. This proposal (the “</w:t>
      </w:r>
      <w:r>
        <w:rPr>
          <w:rFonts w:ascii="Arial;sans-serif" w:hAnsi="Arial;sans-serif"/>
          <w:b/>
          <w:sz w:val="20"/>
        </w:rPr>
        <w:t>Board’s Special Meeting Proposal</w:t>
      </w:r>
      <w:r>
        <w:rPr>
          <w:rFonts w:ascii="Times New Roman" w:hAnsi="Times New Roman"/>
          <w:sz w:val="20"/>
        </w:rPr>
        <w:t>”</w:t>
      </w:r>
      <w:r>
        <w:rPr>
          <w:rFonts w:ascii="Arial;sans-serif" w:hAnsi="Arial;sans-serif"/>
          <w:b w:val="false"/>
          <w:sz w:val="20"/>
        </w:rPr>
        <w:t>) is the product of the Board’s ongoing review of our corporate governance principles, feedback from our stockholders, and the Board’s consideration of the advisory stockholder special meeting proposal outlined in Proposal 7 (the “</w:t>
      </w:r>
      <w:r>
        <w:rPr>
          <w:rFonts w:ascii="Arial;sans-serif" w:hAnsi="Arial;sans-serif"/>
          <w:b/>
          <w:sz w:val="20"/>
        </w:rPr>
        <w:t>Stockholder Special Meeting Proposal</w:t>
      </w:r>
      <w:r>
        <w:rPr>
          <w:rFonts w:ascii="Times New Roman" w:hAnsi="Times New Roman"/>
          <w:sz w:val="20"/>
        </w:rPr>
        <w:t>”</w:t>
      </w:r>
      <w:r>
        <w:rPr>
          <w:rFonts w:ascii="Arial;sans-serif" w:hAnsi="Arial;sans-serif"/>
          <w:b w:val="false"/>
          <w:sz w:val="20"/>
        </w:rPr>
        <w:t>). After due consideration and a balancing of the interests discussed below, the Board has determined that stockholders should be provided the opportunity to consider this alternative proposal regarding the right to call a special meeting. Specifically, the Board asks our stockholders to vote to approve the Board’s Special Meeting Proposal to allow stockholders who own at least 25% of our outstanding shares of common stock, and satisfy certain other procedures and requirements to be determined by the Board in the future, to require us to call a special meeting.</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i/>
          <w:sz w:val="20"/>
        </w:rPr>
        <w:t>The Board’s Special Meeting Proposal</w:t>
      </w:r>
      <w:r>
        <w:rPr>
          <w:rFonts w:ascii="Arial;sans-serif" w:hAnsi="Arial;sans-serif"/>
          <w:b w:val="false"/>
          <w:sz w:val="20"/>
        </w:rPr>
        <w:t>. The Board recognizes that some stockholders believe that the right of stockholders to call a special meeting is a helpful governance mechanism. Through this proposal, the Board intends to strike an appropriate balance between enhancing stockholder rights and protecting the long-term interests of the Company and its stockholders.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The Board believes special meetings should be extraordinary events, held only if a significant number of stockholders agree that a special meeting is necessary to discuss critical, time-sensitive issues. In consideration of this Proposal 5, the Board considered the disruption special meetings cause and the substantial costs they entail; specifically, the Board, the Company’s management, and our employees must devote significant time and attention to preparing for a special meeting, which takes their time and attention away from their primary focus of overseeing and operating our business. In addition, with each special meeting, we must incur significant expenses in order to prepare the disclosures required for such meeting, print and distribute materials, solicit proxies, and tabulate votes. Moreover, a 25% threshold serves the best interests of our stockholders as a whole by avoiding the potential for abuse of the right by one or a small minority of stockholders that may pursue special interests.</w:t>
      </w:r>
    </w:p>
    <w:p>
      <w:pPr>
        <w:pStyle w:val="TextBody"/>
        <w:bidi w:val="0"/>
        <w:spacing w:before="0" w:after="0"/>
        <w:jc w:val="left"/>
        <w:rPr/>
      </w:pPr>
      <w:r>
        <w:rPr/>
        <w:t> </w:t>
      </w:r>
    </w:p>
    <w:p>
      <w:pPr>
        <w:pStyle w:val="TextBody"/>
        <w:bidi w:val="0"/>
        <w:spacing w:before="0" w:after="0"/>
        <w:jc w:val="left"/>
        <w:rPr/>
      </w:pPr>
      <w:r>
        <w:rPr/>
        <w:t> </w:t>
      </w:r>
    </w:p>
    <w:tbl>
      <w:tblPr>
        <w:tblW w:w="3762" w:type="dxa"/>
        <w:jc w:val="left"/>
        <w:tblInd w:w="0" w:type="dxa"/>
        <w:tblLayout w:type="fixed"/>
        <w:tblCellMar>
          <w:top w:w="28" w:type="dxa"/>
          <w:left w:w="28" w:type="dxa"/>
          <w:bottom w:w="28" w:type="dxa"/>
          <w:right w:w="28" w:type="dxa"/>
        </w:tblCellMar>
      </w:tblPr>
      <w:tblGrid>
        <w:gridCol w:w="1466"/>
        <w:gridCol w:w="2296"/>
      </w:tblGrid>
      <w:tr>
        <w:trPr/>
        <w:tc>
          <w:tcPr>
            <w:tcW w:w="146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r>
      <w:tr>
        <w:trPr/>
        <w:tc>
          <w:tcPr>
            <w:tcW w:w="1466" w:type="dxa"/>
            <w:tcBorders/>
            <w:vAlign w:val="center"/>
          </w:tcPr>
          <w:p>
            <w:pPr>
              <w:pStyle w:val="TableContents"/>
              <w:bidi w:val="0"/>
              <w:spacing w:before="0" w:after="0"/>
              <w:ind w:left="0" w:right="0" w:hanging="0"/>
              <w:jc w:val="left"/>
              <w:rPr/>
            </w:pPr>
            <w:r>
              <w:rPr/>
              <w:drawing>
                <wp:inline distT="0" distB="0" distL="0" distR="0">
                  <wp:extent cx="828675" cy="19050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828675" cy="190500"/>
                          </a:xfrm>
                          <a:prstGeom prst="rect">
                            <a:avLst/>
                          </a:prstGeom>
                        </pic:spPr>
                      </pic:pic>
                    </a:graphicData>
                  </a:graphic>
                </wp:inline>
              </w:drawing>
            </w:r>
            <w:r>
              <w:rPr/>
              <w:t> </w:t>
            </w:r>
          </w:p>
        </w:tc>
        <w:tc>
          <w:tcPr>
            <w:tcW w:w="229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2023 Proxy Statement I 46</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2367" w:type="dxa"/>
        <w:jc w:val="left"/>
        <w:tblInd w:w="0" w:type="dxa"/>
        <w:tblLayout w:type="fixed"/>
        <w:tblCellMar>
          <w:top w:w="28" w:type="dxa"/>
          <w:left w:w="28" w:type="dxa"/>
          <w:bottom w:w="28" w:type="dxa"/>
          <w:right w:w="28" w:type="dxa"/>
        </w:tblCellMar>
      </w:tblPr>
      <w:tblGrid>
        <w:gridCol w:w="2176"/>
        <w:gridCol w:w="191"/>
      </w:tblGrid>
      <w:tr>
        <w:trPr/>
        <w:tc>
          <w:tcPr>
            <w:tcW w:w="21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Management Proposals</w:t>
            </w:r>
          </w:p>
        </w:tc>
        <w:tc>
          <w:tcPr>
            <w:tcW w:w="191" w:type="dxa"/>
            <w:tcBorders/>
            <w:vAlign w:val="center"/>
          </w:tcPr>
          <w:p>
            <w:pPr>
              <w:pStyle w:val="TableContents"/>
              <w:bidi w:val="0"/>
              <w:spacing w:before="0" w:after="0"/>
              <w:ind w:left="0" w:right="0" w:hanging="0"/>
              <w:jc w:val="left"/>
              <w:rPr/>
            </w:pPr>
            <w:r>
              <w:rPr/>
              <w:t> </w:t>
            </w:r>
          </w:p>
        </w:tc>
      </w:tr>
      <w:tr>
        <w:trPr/>
        <w:tc>
          <w:tcPr>
            <w:tcW w:w="217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i/>
          <w:sz w:val="20"/>
        </w:rPr>
        <w:t>The Role of Stockholder Engagement</w:t>
      </w:r>
      <w:r>
        <w:rPr>
          <w:rFonts w:ascii="Arial;sans-serif" w:hAnsi="Arial;sans-serif"/>
          <w:b w:val="false"/>
          <w:sz w:val="20"/>
        </w:rPr>
        <w:t>. The Board considered the views of our stockholders in connection with crafting this proposal. In early calendar 2023, we requested meetings with the corporate governance teams at stockholders representing 44% of our outstanding shares, as a result of which we engaged with teams at stockholders representing 10% of our outstanding shares. We used these meetings to discuss a variety of governance-related topics, including our stockholders’ views of rights to call special meetings. Based on these discussions, we believe our stockholders generally support rights to call special meetings at a 25% threshold. In particular, certain of our stockholders expressed concerns that a 10% threshold is too 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i/>
          <w:sz w:val="20"/>
        </w:rPr>
        <w:t>Recommendation Only</w:t>
      </w:r>
      <w:r>
        <w:rPr>
          <w:rFonts w:ascii="Arial;sans-serif" w:hAnsi="Arial;sans-serif"/>
          <w:b w:val="false"/>
          <w:sz w:val="20"/>
        </w:rPr>
        <w:t>. This advisory vote will not be binding on the Board. The Board will, however, take the outcome of the vote into account when considering whether to implement the Board’s Special Meeting Proposal. To create a stockholder right to call a special meeting, the Board must approve an actual amendment to our Bylaws.</w:t>
      </w:r>
    </w:p>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For the reasons described above, as well as below in the Board’s Opposition Statement to Proposal 7, the Board believes the Board’s Special Meeting Proposal more appropriately balances the rights of stockholders with the long-term interests of the Company and its stockholders.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20"/>
        </w:rPr>
        <w:t xml:space="preserve">The Board recommends a vote </w:t>
      </w:r>
      <w:r>
        <w:rPr>
          <w:rFonts w:ascii="Arial;sans-serif" w:hAnsi="Arial;sans-serif"/>
          <w:b/>
          <w:sz w:val="20"/>
        </w:rPr>
        <w:t xml:space="preserve">FOR </w:t>
      </w:r>
      <w:r>
        <w:rPr>
          <w:rFonts w:ascii="Arial;sans-serif" w:hAnsi="Arial;sans-serif"/>
          <w:b w:val="false"/>
          <w:sz w:val="20"/>
        </w:rPr>
        <w:t>the Board’s Special Meeting Proposal (this Proposal 5) and against the Stockholder Special Meeting Proposal (Proposal 7). Approval of the Board’s Special Meeting Proposal is not conditioned on approval or disapproval of the Stockholder Special Meeting Proposal. Although the Board’s Special Meeting Proposal and the Stockholder Special Meeting Proposal concern the same subject matter, the terms of each proposal differ. If both the Board’s Special Meeting Proposal and the Stockholder Special Meeting Proposal are approved, the Board will take the voting results into consideration and will continue to engage with stockholders as part of the Board’s consideration of any future actions.</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Arial;sans-serif" w:hAnsi="Arial;sans-serif"/>
          <w:b/>
          <w:i/>
          <w:sz w:val="20"/>
        </w:rPr>
        <w:t>For these reasons, the Board recommends that stockholders vote FOR</w:t>
      </w:r>
      <w:r>
        <w:rPr>
          <w:rFonts w:ascii="Times New Roman" w:hAnsi="Times New Roman"/>
          <w:sz w:val="20"/>
        </w:rPr>
        <w:t xml:space="preserve"> </w:t>
      </w:r>
      <w:r>
        <w:rPr>
          <w:rFonts w:ascii="Arial;sans-serif" w:hAnsi="Arial;sans-serif"/>
          <w:b/>
          <w:i/>
          <w:sz w:val="20"/>
        </w:rPr>
        <w:t>the advisory approval of the right of stockholders owning a combined 25% of our outstanding shares to call a special meeting.</w:t>
      </w:r>
    </w:p>
    <w:p>
      <w:pPr>
        <w:pStyle w:val="TextBody"/>
        <w:bidi w:val="0"/>
        <w:spacing w:before="0" w:after="0"/>
        <w:jc w:val="left"/>
        <w:rPr/>
      </w:pPr>
      <w:r>
        <w:rPr/>
        <w:t> </w:t>
      </w:r>
    </w:p>
    <w:tbl>
      <w:tblPr>
        <w:tblW w:w="3762" w:type="dxa"/>
        <w:jc w:val="left"/>
        <w:tblInd w:w="0" w:type="dxa"/>
        <w:tblLayout w:type="fixed"/>
        <w:tblCellMar>
          <w:top w:w="28" w:type="dxa"/>
          <w:left w:w="28" w:type="dxa"/>
          <w:bottom w:w="28" w:type="dxa"/>
          <w:right w:w="28" w:type="dxa"/>
        </w:tblCellMar>
      </w:tblPr>
      <w:tblGrid>
        <w:gridCol w:w="2266"/>
        <w:gridCol w:w="1496"/>
      </w:tblGrid>
      <w:tr>
        <w:trPr/>
        <w:tc>
          <w:tcPr>
            <w:tcW w:w="226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47</w:t>
            </w:r>
            <w:r>
              <w:rPr>
                <w:rFonts w:ascii="Times New Roman" w:hAnsi="Times New Roman"/>
                <w:sz w:val="18"/>
              </w:rPr>
              <w:t> </w:t>
            </w:r>
            <w:r>
              <w:rPr>
                <w:rFonts w:ascii="Arial;sans-serif" w:hAnsi="Arial;sans-serif"/>
                <w:b w:val="false"/>
                <w:sz w:val="18"/>
              </w:rPr>
              <w:t>I 2023 Proxy Statement</w:t>
            </w:r>
          </w:p>
        </w:tc>
        <w:tc>
          <w:tcPr>
            <w:tcW w:w="1496" w:type="dxa"/>
            <w:tcBorders/>
            <w:vAlign w:val="center"/>
          </w:tcPr>
          <w:p>
            <w:pPr>
              <w:pStyle w:val="TableContents"/>
              <w:bidi w:val="0"/>
              <w:spacing w:before="0" w:after="0"/>
              <w:ind w:left="0" w:right="0" w:hanging="0"/>
              <w:jc w:val="right"/>
              <w:rPr/>
            </w:pPr>
            <w:r>
              <w:rPr/>
              <w:drawing>
                <wp:inline distT="0" distB="0" distL="0" distR="0">
                  <wp:extent cx="828675" cy="19050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828675" cy="190500"/>
                          </a:xfrm>
                          <a:prstGeom prst="rect">
                            <a:avLst/>
                          </a:prstGeom>
                        </pic:spPr>
                      </pic:pic>
                    </a:graphicData>
                  </a:graphic>
                </wp:inline>
              </w:drawing>
            </w: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2412" w:type="dxa"/>
        <w:jc w:val="left"/>
        <w:tblInd w:w="0" w:type="dxa"/>
        <w:tblLayout w:type="fixed"/>
        <w:tblCellMar>
          <w:top w:w="28" w:type="dxa"/>
          <w:left w:w="28" w:type="dxa"/>
          <w:bottom w:w="28" w:type="dxa"/>
          <w:right w:w="28" w:type="dxa"/>
        </w:tblCellMar>
      </w:tblPr>
      <w:tblGrid>
        <w:gridCol w:w="2221"/>
        <w:gridCol w:w="191"/>
      </w:tblGrid>
      <w:tr>
        <w:trPr/>
        <w:tc>
          <w:tcPr>
            <w:tcW w:w="22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21" w:type="dxa"/>
            <w:tcBorders/>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20"/>
              </w:rPr>
              <w:t>Management Proposals</w:t>
            </w:r>
            <w:r>
              <w:rPr>
                <w:rFonts w:ascii="Times New Roman" w:hAnsi="Times New Roman"/>
                <w:sz w:val="20"/>
              </w:rPr>
              <w:t xml:space="preserve"> </w:t>
            </w:r>
          </w:p>
        </w:tc>
        <w:tc>
          <w:tcPr>
            <w:tcW w:w="191" w:type="dxa"/>
            <w:tcBorders/>
            <w:vAlign w:val="center"/>
          </w:tcPr>
          <w:p>
            <w:pPr>
              <w:pStyle w:val="TableContents"/>
              <w:bidi w:val="0"/>
              <w:spacing w:before="0" w:after="0"/>
              <w:ind w:left="0" w:right="0" w:hanging="0"/>
              <w:jc w:val="left"/>
              <w:rPr/>
            </w:pPr>
            <w:r>
              <w:rPr/>
              <w:t> </w:t>
            </w:r>
          </w:p>
        </w:tc>
      </w:tr>
      <w:tr>
        <w:trPr/>
        <w:tc>
          <w:tcPr>
            <w:tcW w:w="222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161"/>
        <w:gridCol w:w="146"/>
        <w:gridCol w:w="95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561" w:type="dxa"/>
            <w:tcBorders/>
            <w:vAlign w:val="center"/>
          </w:tcPr>
          <w:p>
            <w:pPr>
              <w:pStyle w:val="TableContents"/>
              <w:bidi w:val="0"/>
              <w:spacing w:before="0" w:after="120"/>
              <w:ind w:left="0" w:right="0" w:hanging="0"/>
              <w:jc w:val="left"/>
              <w:rPr>
                <w:rFonts w:ascii="Arial;sans-serif" w:hAnsi="Arial;sans-serif"/>
                <w:b/>
                <w:sz w:val="28"/>
              </w:rPr>
            </w:pPr>
            <w:bookmarkStart w:id="13" w:name="proposal_6"/>
            <w:bookmarkEnd w:id="13"/>
            <w:r>
              <w:rPr>
                <w:rFonts w:ascii="Arial;sans-serif" w:hAnsi="Arial;sans-serif"/>
                <w:b/>
                <w:sz w:val="28"/>
              </w:rPr>
              <w:t>PROPOSAL SIX - RATIFICATION OF NEVADA EXCLUSIVE FORUM PROVISION</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91" w:type="dxa"/>
            <w:tcBorders/>
            <w:vAlign w:val="center"/>
          </w:tcPr>
          <w:p>
            <w:pPr>
              <w:pStyle w:val="TableContents"/>
              <w:bidi w:val="0"/>
              <w:spacing w:before="0" w:after="0"/>
              <w:ind w:left="0" w:right="0" w:hanging="0"/>
              <w:jc w:val="both"/>
              <w:rPr/>
            </w:pPr>
            <w:r>
              <w:rPr/>
              <w:t> </w:t>
            </w:r>
          </w:p>
        </w:tc>
      </w:tr>
      <w:tr>
        <w:trPr/>
        <w:tc>
          <w:tcPr>
            <w:tcW w:w="161" w:type="dxa"/>
            <w:tcBorders/>
            <w:vAlign w:val="center"/>
          </w:tcPr>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0"/>
              <w:ind w:left="0" w:right="0" w:hanging="0"/>
              <w:jc w:val="both"/>
              <w:rPr/>
            </w:pPr>
            <w:r>
              <w:rPr/>
              <w:t> </w:t>
            </w:r>
          </w:p>
        </w:tc>
        <w:tc>
          <w:tcPr>
            <w:tcW w:w="9561" w:type="dxa"/>
            <w:tcBorders/>
            <w:vAlign w:val="center"/>
          </w:tcPr>
          <w:p>
            <w:pPr>
              <w:pStyle w:val="TableContents"/>
              <w:bidi w:val="0"/>
              <w:spacing w:before="120" w:after="0"/>
              <w:ind w:left="0" w:right="0" w:hanging="0"/>
              <w:jc w:val="both"/>
              <w:rPr>
                <w:rFonts w:ascii="Times New Roman" w:hAnsi="Times New Roman"/>
                <w:sz w:val="20"/>
              </w:rPr>
            </w:pPr>
            <w:r>
              <w:rPr>
                <w:rFonts w:ascii="Arial;sans-serif" w:hAnsi="Arial;sans-serif"/>
                <w:b/>
                <w:sz w:val="20"/>
              </w:rPr>
              <w:t>What Am I Voting On?</w:t>
            </w:r>
            <w:r>
              <w:rPr>
                <w:rFonts w:ascii="Times New Roman" w:hAnsi="Times New Roman"/>
                <w:sz w:val="20"/>
              </w:rPr>
              <w:t> </w:t>
            </w:r>
            <w:r>
              <w:rPr>
                <w:rFonts w:ascii="Arial;sans-serif" w:hAnsi="Arial;sans-serif"/>
                <w:b w:val="false"/>
                <w:sz w:val="20"/>
              </w:rPr>
              <w:t>The Board is asking our stockholders to ratify a recent amendment to our Bylaws designating the state and federal courts of Nevada as the exclusive forum for certain legal actions</w:t>
            </w:r>
          </w:p>
          <w:p>
            <w:pPr>
              <w:pStyle w:val="TableContents"/>
              <w:bidi w:val="0"/>
              <w:spacing w:before="120" w:after="0"/>
              <w:ind w:left="0" w:right="0" w:hanging="0"/>
              <w:jc w:val="both"/>
              <w:rPr>
                <w:rFonts w:ascii="Times New Roman" w:hAnsi="Times New Roman"/>
                <w:sz w:val="20"/>
              </w:rPr>
            </w:pPr>
            <w:r>
              <w:rPr>
                <w:rFonts w:ascii="Arial;sans-serif" w:hAnsi="Arial;sans-serif"/>
                <w:b/>
                <w:sz w:val="20"/>
              </w:rPr>
              <w:t>Voting Recommendation of the Board:</w:t>
            </w:r>
            <w:r>
              <w:rPr>
                <w:rFonts w:ascii="Times New Roman" w:hAnsi="Times New Roman"/>
                <w:sz w:val="20"/>
              </w:rPr>
              <w:t xml:space="preserve"> </w:t>
            </w:r>
            <w:r>
              <w:rPr>
                <w:rFonts w:ascii="Arial;sans-serif" w:hAnsi="Arial;sans-serif"/>
                <w:b w:val="false"/>
                <w:sz w:val="20"/>
              </w:rPr>
              <w:t>FOR the proposal</w:t>
            </w:r>
          </w:p>
          <w:p>
            <w:pPr>
              <w:pStyle w:val="TableContents"/>
              <w:bidi w:val="0"/>
              <w:spacing w:before="120" w:after="0"/>
              <w:ind w:left="0" w:right="0" w:hanging="0"/>
              <w:jc w:val="both"/>
              <w:rPr>
                <w:rFonts w:ascii="Times New Roman" w:hAnsi="Times New Roman"/>
                <w:sz w:val="20"/>
              </w:rPr>
            </w:pPr>
            <w:r>
              <w:rPr>
                <w:rFonts w:ascii="Arial;sans-serif" w:hAnsi="Arial;sans-serif"/>
                <w:b/>
                <w:sz w:val="20"/>
              </w:rPr>
              <w:t>Vote Required:</w:t>
            </w:r>
            <w:r>
              <w:rPr>
                <w:rFonts w:ascii="Times New Roman" w:hAnsi="Times New Roman"/>
                <w:sz w:val="20"/>
              </w:rPr>
              <w:t> </w:t>
            </w:r>
            <w:r>
              <w:rPr>
                <w:rFonts w:ascii="Arial;sans-serif" w:hAnsi="Arial;sans-serif"/>
                <w:b w:val="false"/>
                <w:sz w:val="20"/>
              </w:rPr>
              <w:t>The affirmative vote of a majority of the votes cast is required to approve the proposal</w:t>
            </w:r>
          </w:p>
          <w:p>
            <w:pPr>
              <w:pStyle w:val="TableContents"/>
              <w:bidi w:val="0"/>
              <w:spacing w:before="120" w:after="0"/>
              <w:ind w:left="0" w:right="0" w:hanging="0"/>
              <w:jc w:val="both"/>
              <w:rPr>
                <w:rFonts w:ascii="Times New Roman" w:hAnsi="Times New Roman"/>
                <w:sz w:val="20"/>
              </w:rPr>
            </w:pPr>
            <w:r>
              <w:rPr>
                <w:rFonts w:ascii="Arial;sans-serif" w:hAnsi="Arial;sans-serif"/>
                <w:b/>
                <w:sz w:val="20"/>
              </w:rPr>
              <w:t>Broker Discretionary Voting Allowed?</w:t>
            </w:r>
            <w:r>
              <w:rPr>
                <w:rFonts w:ascii="Times New Roman" w:hAnsi="Times New Roman"/>
                <w:sz w:val="20"/>
              </w:rPr>
              <w:t> </w:t>
            </w:r>
            <w:r>
              <w:rPr>
                <w:rFonts w:ascii="Arial;sans-serif" w:hAnsi="Arial;sans-serif"/>
                <w:b w:val="false"/>
                <w:sz w:val="20"/>
              </w:rPr>
              <w:t>No – broker non-votes have no effect</w:t>
            </w:r>
          </w:p>
          <w:p>
            <w:pPr>
              <w:pStyle w:val="TableContents"/>
              <w:bidi w:val="0"/>
              <w:spacing w:before="120" w:after="0"/>
              <w:ind w:left="0" w:right="0" w:hanging="0"/>
              <w:jc w:val="left"/>
              <w:rPr>
                <w:rFonts w:ascii="Times New Roman" w:hAnsi="Times New Roman"/>
                <w:sz w:val="20"/>
              </w:rPr>
            </w:pPr>
            <w:r>
              <w:rPr>
                <w:rFonts w:ascii="Arial;sans-serif" w:hAnsi="Arial;sans-serif"/>
                <w:b/>
                <w:sz w:val="20"/>
              </w:rPr>
              <w:t>Abstentions:</w:t>
            </w:r>
            <w:r>
              <w:rPr>
                <w:rFonts w:ascii="Times New Roman" w:hAnsi="Times New Roman"/>
                <w:sz w:val="20"/>
              </w:rPr>
              <w:t> </w:t>
            </w:r>
            <w:r>
              <w:rPr>
                <w:rFonts w:ascii="Arial;sans-serif" w:hAnsi="Arial;sans-serif"/>
                <w:b w:val="false"/>
                <w:sz w:val="20"/>
              </w:rPr>
              <w:t>No effect</w:t>
            </w:r>
          </w:p>
        </w:tc>
        <w:tc>
          <w:tcPr>
            <w:tcW w:w="146" w:type="dxa"/>
            <w:tcBorders/>
            <w:vAlign w:val="center"/>
          </w:tcPr>
          <w:p>
            <w:pPr>
              <w:pStyle w:val="TableContents"/>
              <w:bidi w:val="0"/>
              <w:spacing w:before="0" w:after="0"/>
              <w:ind w:left="0" w:right="0" w:hanging="0"/>
              <w:jc w:val="both"/>
              <w:rPr/>
            </w:pPr>
            <w:r>
              <w:rPr/>
              <w:t> </w:t>
            </w:r>
          </w:p>
        </w:tc>
        <w:tc>
          <w:tcPr>
            <w:tcW w:w="191" w:type="dxa"/>
            <w:tcBorders/>
            <w:vAlign w:val="center"/>
          </w:tcPr>
          <w:p>
            <w:pPr>
              <w:pStyle w:val="TableContents"/>
              <w:bidi w:val="0"/>
              <w:spacing w:before="0" w:after="0"/>
              <w:ind w:left="0" w:right="0" w:hanging="0"/>
              <w:jc w:val="both"/>
              <w:rPr/>
            </w:pPr>
            <w:r>
              <w:rPr/>
              <w:t> </w:t>
            </w:r>
          </w:p>
        </w:tc>
      </w:tr>
      <w:tr>
        <w:trPr/>
        <w:tc>
          <w:tcPr>
            <w:tcW w:w="161" w:type="dxa"/>
            <w:tcBorders/>
            <w:vAlign w:val="center"/>
          </w:tcPr>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0"/>
              <w:ind w:left="0" w:right="0" w:hanging="0"/>
              <w:jc w:val="both"/>
              <w:rPr/>
            </w:pPr>
            <w:r>
              <w:rPr/>
              <w:t> </w:t>
            </w:r>
          </w:p>
        </w:tc>
        <w:tc>
          <w:tcPr>
            <w:tcW w:w="9561" w:type="dxa"/>
            <w:tcBorders/>
            <w:vAlign w:val="center"/>
          </w:tcPr>
          <w:p>
            <w:pPr>
              <w:pStyle w:val="TableContents"/>
              <w:bidi w:val="0"/>
              <w:spacing w:before="120" w:after="0"/>
              <w:ind w:left="0" w:right="0" w:hanging="0"/>
              <w:jc w:val="both"/>
              <w:rPr/>
            </w:pPr>
            <w:r>
              <w:rPr/>
              <w:t> </w:t>
            </w:r>
          </w:p>
        </w:tc>
        <w:tc>
          <w:tcPr>
            <w:tcW w:w="146" w:type="dxa"/>
            <w:tcBorders/>
            <w:vAlign w:val="center"/>
          </w:tcPr>
          <w:p>
            <w:pPr>
              <w:pStyle w:val="TableContents"/>
              <w:bidi w:val="0"/>
              <w:spacing w:before="0" w:after="0"/>
              <w:ind w:left="0" w:right="0" w:hanging="0"/>
              <w:jc w:val="both"/>
              <w:rPr/>
            </w:pPr>
            <w:r>
              <w:rPr/>
              <w:t> </w:t>
            </w:r>
          </w:p>
        </w:tc>
        <w:tc>
          <w:tcPr>
            <w:tcW w:w="191" w:type="dxa"/>
            <w:tcBorders/>
            <w:vAlign w:val="center"/>
          </w:tcPr>
          <w:p>
            <w:pPr>
              <w:pStyle w:val="TableContents"/>
              <w:bidi w:val="0"/>
              <w:spacing w:before="0" w:after="0"/>
              <w:ind w:left="0" w:right="0" w:hanging="0"/>
              <w:jc w:val="both"/>
              <w:rPr/>
            </w:pPr>
            <w:r>
              <w:rPr/>
              <w:t> </w:t>
            </w:r>
          </w:p>
        </w:tc>
      </w:tr>
    </w:tbl>
    <w:p>
      <w:pPr>
        <w:pStyle w:val="TextBody"/>
        <w:bidi w:val="0"/>
        <w:spacing w:before="240" w:after="0"/>
        <w:jc w:val="both"/>
        <w:rPr>
          <w:rFonts w:ascii="Times New Roman" w:hAnsi="Times New Roman"/>
          <w:sz w:val="20"/>
        </w:rPr>
      </w:pPr>
      <w:r>
        <w:rPr>
          <w:rFonts w:ascii="Arial;sans-serif" w:hAnsi="Arial;sans-serif"/>
          <w:b/>
          <w:sz w:val="20"/>
        </w:rPr>
        <w:t>Supporting 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val="false"/>
          <w:sz w:val="20"/>
        </w:rPr>
        <w:t>In February 2023, the Board adopted amendments to our Bylaws to, in part, specify that the sole and exclusive forum for certain legal actions and proceedings involving us will be the state and federal courts of Nevada, unless we consent to the selection of an alternative forum (the “</w:t>
      </w:r>
      <w:r>
        <w:rPr>
          <w:rFonts w:ascii="Arial;sans-serif" w:hAnsi="Arial;sans-serif"/>
          <w:b/>
          <w:sz w:val="20"/>
        </w:rPr>
        <w:t>Exclusive Forum</w:t>
      </w:r>
      <w:r>
        <w:rPr>
          <w:rFonts w:ascii="Times New Roman" w:hAnsi="Times New Roman"/>
          <w:sz w:val="20"/>
        </w:rPr>
        <w:t xml:space="preserve"> </w:t>
      </w:r>
      <w:r>
        <w:rPr>
          <w:rFonts w:ascii="Arial;sans-serif" w:hAnsi="Arial;sans-serif"/>
          <w:b/>
          <w:sz w:val="20"/>
        </w:rPr>
        <w:t>Provision</w:t>
      </w:r>
      <w:r>
        <w:rPr>
          <w:rFonts w:ascii="Times New Roman" w:hAnsi="Times New Roman"/>
          <w:sz w:val="20"/>
        </w:rPr>
        <w:t>”</w:t>
      </w:r>
      <w:r>
        <w:rPr>
          <w:rFonts w:ascii="Arial;sans-serif" w:hAnsi="Arial;sans-serif"/>
          <w:b w:val="false"/>
          <w:sz w:val="20"/>
        </w:rPr>
        <w:t>). On February 28, 2023, we filed with the SEC a report on Form 8-K that included as Exhibit 3.1 thereto our Bylaws incorporating the Exclusive Forum Provision</w:t>
      </w:r>
      <w:r>
        <w:rPr>
          <w:rFonts w:ascii="Arial;sans-serif" w:hAnsi="Arial;sans-serif"/>
          <w:b w:val="false"/>
          <w:sz w:val="13"/>
        </w:rPr>
        <w:t>1</w:t>
      </w:r>
      <w:r>
        <w:rPr>
          <w:rFonts w:ascii="Arial;sans-serif" w:hAnsi="Arial;sans-serif"/>
          <w:b w:val="false"/>
          <w:sz w:val="20"/>
        </w:rPr>
        <w:t>, the full text of which appears below: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Arial;sans-serif" w:hAnsi="Arial;sans-serif"/>
          <w:b w:val="false"/>
          <w:i/>
          <w:sz w:val="20"/>
        </w:rPr>
      </w:pPr>
      <w:r>
        <w:rPr>
          <w:rFonts w:ascii="Arial;sans-serif" w:hAnsi="Arial;sans-serif"/>
          <w:b w:val="false"/>
          <w:i/>
          <w:sz w:val="20"/>
        </w:rPr>
        <w:t>To the fullest extent permitted by law, and unless the Corporation consents in writing to the selection of an alternative forum, the state and federal courts in Nevada shall be the sole and exclusive forum for (a) any derivative action or proceeding brought in the name or right of the Corporation or on its behalf, (b) any action asserting a claim for breach of any fiduciary duty owed by any director, officer, employee or agent of the Corporation to the Corporation or the Corporation’s stockholders, (c) any action arising or asserting a claim arising pursuant to any provision of NRS Chapters 78 or 92A or any provision of the Articles of Incorporation or these bylaws or (d) any action asserting a claim governed by the internal affairs doctrine, including, without limitation, any action to interpret, apply, enforce or determine the validity of the Articles of Incorporation or these bylaws. Any person or entity purchasing or otherwise acquiring any interest in shares of capital stock of the Corporation shall be deemed to have notice of and consented to the provisions of this Article VIII.</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20"/>
        </w:rPr>
        <w:t xml:space="preserve">Although our Bylaws allow the Board to adopt the Exclusive Forum Provision without stockholder approval or ratification, and the Exclusive Forum Provision became effective upon its adoption by the Board, the Board believes it is important for our stockholders to have the opportunity to consider and vote upon, on a non-binding advisory basis, whether the Exclusive Forum Provision is appropriate for us. Therefore, the Board decided to request that stockholders ratify the Exclusive Forum Provision on an advisory basis. The Board is taking this </w:t>
      </w:r>
      <w:r>
        <w:rPr>
          <w:rFonts w:ascii="Arial;sans-serif" w:hAnsi="Arial;sans-serif"/>
          <w:b/>
          <w:sz w:val="20"/>
        </w:rPr>
        <w:t>proactive step</w:t>
      </w:r>
      <w:r>
        <w:rPr>
          <w:rFonts w:ascii="Times New Roman" w:hAnsi="Times New Roman"/>
          <w:sz w:val="20"/>
        </w:rPr>
        <w:t xml:space="preserve"> </w:t>
      </w:r>
      <w:r>
        <w:rPr>
          <w:rFonts w:ascii="Arial;sans-serif" w:hAnsi="Arial;sans-serif"/>
          <w:b w:val="false"/>
          <w:sz w:val="20"/>
        </w:rPr>
        <w:t>because it determined it to be the most appropriate way to effect the Exclusive Forum Provision.</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1"/>
        </w:rPr>
        <w:t>1</w:t>
      </w:r>
      <w:r>
        <w:rPr>
          <w:rFonts w:ascii="Times New Roman" w:hAnsi="Times New Roman"/>
          <w:sz w:val="20"/>
        </w:rPr>
        <w:t xml:space="preserve"> </w:t>
      </w:r>
      <w:r>
        <w:rPr>
          <w:rFonts w:ascii="Arial;sans-serif" w:hAnsi="Arial;sans-serif"/>
          <w:b w:val="false"/>
          <w:sz w:val="16"/>
        </w:rPr>
        <w:t>On June 30, 2023, we filed with the SEC a report on Form 8-K that included as Exhibit 3.1 thereto an amended version of our Bylaws. These amendments did not impact the Exclusive Forum Provision.</w:t>
      </w:r>
    </w:p>
    <w:p>
      <w:pPr>
        <w:pStyle w:val="TextBody"/>
        <w:bidi w:val="0"/>
        <w:spacing w:before="0" w:after="0"/>
        <w:jc w:val="left"/>
        <w:rPr/>
      </w:pPr>
      <w:r>
        <w:rPr/>
        <w:t> </w:t>
      </w:r>
    </w:p>
    <w:p>
      <w:pPr>
        <w:pStyle w:val="TextBody"/>
        <w:bidi w:val="0"/>
        <w:spacing w:before="0" w:after="0"/>
        <w:jc w:val="left"/>
        <w:rPr/>
      </w:pPr>
      <w:r>
        <w:rPr/>
        <w:t> </w:t>
      </w:r>
    </w:p>
    <w:tbl>
      <w:tblPr>
        <w:tblW w:w="3762" w:type="dxa"/>
        <w:jc w:val="left"/>
        <w:tblInd w:w="0" w:type="dxa"/>
        <w:tblLayout w:type="fixed"/>
        <w:tblCellMar>
          <w:top w:w="28" w:type="dxa"/>
          <w:left w:w="28" w:type="dxa"/>
          <w:bottom w:w="28" w:type="dxa"/>
          <w:right w:w="28" w:type="dxa"/>
        </w:tblCellMar>
      </w:tblPr>
      <w:tblGrid>
        <w:gridCol w:w="2266"/>
        <w:gridCol w:w="1496"/>
      </w:tblGrid>
      <w:tr>
        <w:trPr/>
        <w:tc>
          <w:tcPr>
            <w:tcW w:w="226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48</w:t>
            </w:r>
            <w:r>
              <w:rPr>
                <w:rFonts w:ascii="Times New Roman" w:hAnsi="Times New Roman"/>
                <w:sz w:val="18"/>
              </w:rPr>
              <w:t> </w:t>
            </w:r>
            <w:r>
              <w:rPr>
                <w:rFonts w:ascii="Arial;sans-serif" w:hAnsi="Arial;sans-serif"/>
                <w:b w:val="false"/>
                <w:sz w:val="18"/>
              </w:rPr>
              <w:t>I 2023 Proxy Statement</w:t>
            </w:r>
          </w:p>
        </w:tc>
        <w:tc>
          <w:tcPr>
            <w:tcW w:w="1496" w:type="dxa"/>
            <w:tcBorders/>
            <w:vAlign w:val="center"/>
          </w:tcPr>
          <w:p>
            <w:pPr>
              <w:pStyle w:val="TableContents"/>
              <w:bidi w:val="0"/>
              <w:spacing w:before="0" w:after="0"/>
              <w:ind w:left="0" w:right="0" w:hanging="0"/>
              <w:jc w:val="right"/>
              <w:rPr/>
            </w:pPr>
            <w:r>
              <w:rPr/>
              <w:drawing>
                <wp:inline distT="0" distB="0" distL="0" distR="0">
                  <wp:extent cx="828675" cy="19050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828675" cy="190500"/>
                          </a:xfrm>
                          <a:prstGeom prst="rect">
                            <a:avLst/>
                          </a:prstGeom>
                        </pic:spPr>
                      </pic:pic>
                    </a:graphicData>
                  </a:graphic>
                </wp:inline>
              </w:drawing>
            </w: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2412" w:type="dxa"/>
        <w:jc w:val="left"/>
        <w:tblInd w:w="0" w:type="dxa"/>
        <w:tblLayout w:type="fixed"/>
        <w:tblCellMar>
          <w:top w:w="28" w:type="dxa"/>
          <w:left w:w="28" w:type="dxa"/>
          <w:bottom w:w="28" w:type="dxa"/>
          <w:right w:w="28" w:type="dxa"/>
        </w:tblCellMar>
      </w:tblPr>
      <w:tblGrid>
        <w:gridCol w:w="2221"/>
        <w:gridCol w:w="191"/>
      </w:tblGrid>
      <w:tr>
        <w:trPr/>
        <w:tc>
          <w:tcPr>
            <w:tcW w:w="22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21" w:type="dxa"/>
            <w:tcBorders/>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20"/>
              </w:rPr>
              <w:t>Management Proposals</w:t>
            </w:r>
            <w:r>
              <w:rPr>
                <w:rFonts w:ascii="Times New Roman" w:hAnsi="Times New Roman"/>
                <w:sz w:val="20"/>
              </w:rPr>
              <w:t xml:space="preserve"> </w:t>
            </w:r>
          </w:p>
        </w:tc>
        <w:tc>
          <w:tcPr>
            <w:tcW w:w="191" w:type="dxa"/>
            <w:tcBorders/>
            <w:vAlign w:val="center"/>
          </w:tcPr>
          <w:p>
            <w:pPr>
              <w:pStyle w:val="TableContents"/>
              <w:bidi w:val="0"/>
              <w:spacing w:before="0" w:after="0"/>
              <w:ind w:left="0" w:right="0" w:hanging="0"/>
              <w:jc w:val="left"/>
              <w:rPr/>
            </w:pPr>
            <w:r>
              <w:rPr/>
              <w:t> </w:t>
            </w:r>
          </w:p>
        </w:tc>
      </w:tr>
      <w:tr>
        <w:trPr/>
        <w:tc>
          <w:tcPr>
            <w:tcW w:w="222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The Board believes the Exclusive Forum Provision is in the best interests of the Company and its stockholders for a variety of reasons. For example, the Board believes the Exclusive Forum Provision:</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w:t>
      </w:r>
      <w:r>
        <w:rPr>
          <w:rFonts w:ascii="Times New Roman" w:hAnsi="Times New Roman"/>
          <w:sz w:val="20"/>
        </w:rPr>
        <w:t xml:space="preserve"> </w:t>
      </w:r>
      <w:r>
        <w:rPr>
          <w:rFonts w:ascii="Arial;sans-serif" w:hAnsi="Arial;sans-serif"/>
          <w:b w:val="false"/>
          <w:sz w:val="20"/>
        </w:rPr>
        <w:t>Reduces litigation costs by avoiding duplicative stockholder derivative lawsuits in more than one forum.</w:t>
      </w:r>
    </w:p>
    <w:p>
      <w:pPr>
        <w:pStyle w:val="TextBody"/>
        <w:bidi w:val="0"/>
        <w:spacing w:before="0" w:after="0"/>
        <w:jc w:val="left"/>
        <w:rPr>
          <w:rFonts w:ascii="Times New Roman" w:hAnsi="Times New Roman"/>
          <w:sz w:val="20"/>
        </w:rPr>
      </w:pPr>
      <w:r>
        <w:rPr>
          <w:rFonts w:ascii="Times New Roman;serif" w:hAnsi="Times New Roman;serif"/>
          <w:b w:val="false"/>
          <w:sz w:val="20"/>
        </w:rPr>
        <w:t></w:t>
      </w:r>
      <w:r>
        <w:rPr>
          <w:rFonts w:ascii="Times New Roman" w:hAnsi="Times New Roman"/>
          <w:sz w:val="20"/>
        </w:rPr>
        <w:t xml:space="preserve"> </w:t>
      </w:r>
      <w:r>
        <w:rPr>
          <w:rFonts w:ascii="Arial;sans-serif" w:hAnsi="Arial;sans-serif"/>
          <w:b w:val="false"/>
          <w:sz w:val="20"/>
        </w:rPr>
        <w:t>Increases the outcome predictability of litigation since multiple forums may produce inconsistent results.</w:t>
      </w:r>
    </w:p>
    <w:p>
      <w:pPr>
        <w:pStyle w:val="TextBody"/>
        <w:bidi w:val="0"/>
        <w:spacing w:before="0" w:after="0"/>
        <w:jc w:val="left"/>
        <w:rPr>
          <w:rFonts w:ascii="Times New Roman" w:hAnsi="Times New Roman"/>
          <w:sz w:val="20"/>
        </w:rPr>
      </w:pPr>
      <w:r>
        <w:rPr>
          <w:rFonts w:ascii="Times New Roman;serif" w:hAnsi="Times New Roman;serif"/>
          <w:b w:val="false"/>
          <w:sz w:val="20"/>
        </w:rPr>
        <w:t xml:space="preserve"> </w:t>
      </w:r>
      <w:r>
        <w:rPr>
          <w:rFonts w:ascii="Arial;sans-serif" w:hAnsi="Arial;sans-serif"/>
          <w:b w:val="false"/>
          <w:sz w:val="20"/>
        </w:rPr>
        <w:t>Provides a streamlined, efficient, and organized process for resolving particular disputes.</w:t>
      </w:r>
    </w:p>
    <w:p>
      <w:pPr>
        <w:pStyle w:val="TextBody"/>
        <w:bidi w:val="0"/>
        <w:spacing w:before="0" w:after="0"/>
        <w:jc w:val="left"/>
        <w:rPr>
          <w:rFonts w:ascii="Times New Roman" w:hAnsi="Times New Roman"/>
          <w:sz w:val="20"/>
        </w:rPr>
      </w:pPr>
      <w:r>
        <w:rPr>
          <w:rFonts w:ascii="Times New Roman;serif" w:hAnsi="Times New Roman;serif"/>
          <w:b w:val="false"/>
          <w:sz w:val="20"/>
        </w:rPr>
        <w:t xml:space="preserve"> </w:t>
      </w:r>
      <w:r>
        <w:rPr>
          <w:rFonts w:ascii="Arial;sans-serif" w:hAnsi="Arial;sans-serif"/>
          <w:b w:val="false"/>
          <w:sz w:val="20"/>
        </w:rPr>
        <w:t>Ensures disputes concerning our governance and internal affairs proceed in a forum consisting of judges who are more experienced with Nevada’s statutes and relevant case law.</w:t>
      </w:r>
    </w:p>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The Board understands that the Exclusive Forum Provision may limit a plaintiff’s ability to bring the specified claims in a judicial forum other than Nevada. However, the Exclusive Forum Provision is narrowly tailored to regulate only the forum where plaintiffs may file specified claims relating to specified actions – it does not restrict the ability of a plaintiff to bring such claims, nor the remedies available if such claims are ultimately successful under Nevada law. The Exclusive Forum Provision also permits us to consent to the selection of an alternative forum.</w:t>
      </w:r>
    </w:p>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If stockholder ratification is not obtained, the Board will reconsider whether the Exclusive Forum Provision is in the best interests of the Company and its stockholders.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i/>
          <w:sz w:val="20"/>
        </w:rPr>
        <w:t>For these reasons, the Board unanimously recommends a vote FOR</w:t>
      </w:r>
      <w:r>
        <w:rPr>
          <w:rFonts w:ascii="Times New Roman" w:hAnsi="Times New Roman"/>
          <w:sz w:val="20"/>
        </w:rPr>
        <w:t xml:space="preserve"> </w:t>
      </w:r>
      <w:r>
        <w:rPr>
          <w:rFonts w:ascii="Arial;sans-serif" w:hAnsi="Arial;sans-serif"/>
          <w:b/>
          <w:i/>
          <w:sz w:val="20"/>
        </w:rPr>
        <w:t>ratifying the Exclusive Forum Provision.</w:t>
      </w:r>
    </w:p>
    <w:p>
      <w:pPr>
        <w:pStyle w:val="TextBody"/>
        <w:bidi w:val="0"/>
        <w:spacing w:before="0" w:after="0"/>
        <w:jc w:val="left"/>
        <w:rPr>
          <w:rFonts w:ascii="Times New Roman" w:hAnsi="Times New Roman"/>
          <w:sz w:val="20"/>
        </w:rPr>
      </w:pPr>
      <w:r>
        <w:rPr>
          <w:rFonts w:ascii="Arial;sans-serif" w:hAnsi="Arial;sans-serif"/>
          <w:b/>
          <w:i/>
          <w:sz w:val="20"/>
        </w:rPr>
        <w:br/>
      </w:r>
      <w:r>
        <w:rPr>
          <w:rFonts w:ascii="Times New Roman" w:hAnsi="Times New Roman"/>
          <w:sz w:val="20"/>
        </w:rPr>
        <w:t> </w:t>
      </w:r>
    </w:p>
    <w:p>
      <w:pPr>
        <w:pStyle w:val="TextBody"/>
        <w:bidi w:val="0"/>
        <w:spacing w:before="0" w:after="0"/>
        <w:jc w:val="left"/>
        <w:rPr>
          <w:rFonts w:ascii="Times New Roman" w:hAnsi="Times New Roman"/>
          <w:sz w:val="20"/>
        </w:rPr>
      </w:pPr>
      <w:r>
        <w:rPr>
          <w:rFonts w:ascii="Times New Roman;serif" w:hAnsi="Times New Roman;serif"/>
          <w:b w:val="false"/>
          <w:sz w:val="20"/>
        </w:rPr>
        <w:br/>
      </w:r>
      <w:r>
        <w:rPr>
          <w:rFonts w:ascii="Times New Roman" w:hAnsi="Times New Roman"/>
          <w:sz w:val="2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tbl>
      <w:tblPr>
        <w:tblW w:w="3762" w:type="dxa"/>
        <w:jc w:val="left"/>
        <w:tblInd w:w="0" w:type="dxa"/>
        <w:tblLayout w:type="fixed"/>
        <w:tblCellMar>
          <w:top w:w="28" w:type="dxa"/>
          <w:left w:w="28" w:type="dxa"/>
          <w:bottom w:w="28" w:type="dxa"/>
          <w:right w:w="28" w:type="dxa"/>
        </w:tblCellMar>
      </w:tblPr>
      <w:tblGrid>
        <w:gridCol w:w="2266"/>
        <w:gridCol w:w="1496"/>
      </w:tblGrid>
      <w:tr>
        <w:trPr/>
        <w:tc>
          <w:tcPr>
            <w:tcW w:w="226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49</w:t>
            </w:r>
            <w:r>
              <w:rPr>
                <w:rFonts w:ascii="Times New Roman" w:hAnsi="Times New Roman"/>
                <w:sz w:val="18"/>
              </w:rPr>
              <w:t> </w:t>
            </w:r>
            <w:r>
              <w:rPr>
                <w:rFonts w:ascii="Arial;sans-serif" w:hAnsi="Arial;sans-serif"/>
                <w:b w:val="false"/>
                <w:sz w:val="18"/>
              </w:rPr>
              <w:t>I 2023 Proxy Statement</w:t>
            </w:r>
          </w:p>
        </w:tc>
        <w:tc>
          <w:tcPr>
            <w:tcW w:w="1496" w:type="dxa"/>
            <w:tcBorders/>
            <w:vAlign w:val="center"/>
          </w:tcPr>
          <w:p>
            <w:pPr>
              <w:pStyle w:val="TableContents"/>
              <w:bidi w:val="0"/>
              <w:spacing w:before="0" w:after="0"/>
              <w:ind w:left="0" w:right="0" w:hanging="0"/>
              <w:jc w:val="right"/>
              <w:rPr/>
            </w:pPr>
            <w:r>
              <w:rPr/>
              <w:drawing>
                <wp:inline distT="0" distB="0" distL="0" distR="0">
                  <wp:extent cx="828675" cy="19050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828675" cy="190500"/>
                          </a:xfrm>
                          <a:prstGeom prst="rect">
                            <a:avLst/>
                          </a:prstGeom>
                        </pic:spPr>
                      </pic:pic>
                    </a:graphicData>
                  </a:graphic>
                </wp:inline>
              </w:drawing>
            </w: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00"/>
        <w:jc w:val="both"/>
        <w:rPr>
          <w:rFonts w:ascii="Arial;sans-serif" w:hAnsi="Arial;sans-serif"/>
          <w:b/>
          <w:caps/>
          <w:sz w:val="39"/>
        </w:rPr>
      </w:pPr>
      <w:bookmarkStart w:id="14" w:name="stockholder_proposals"/>
      <w:bookmarkEnd w:id="14"/>
      <w:r>
        <w:rPr>
          <w:rFonts w:ascii="Arial;sans-serif" w:hAnsi="Arial;sans-serif"/>
          <w:b/>
          <w:caps/>
          <w:sz w:val="39"/>
        </w:rPr>
        <w:t>stockholder proposals</w:t>
      </w:r>
    </w:p>
    <w:tbl>
      <w:tblPr>
        <w:tblW w:w="10205" w:type="dxa"/>
        <w:jc w:val="left"/>
        <w:tblInd w:w="0" w:type="dxa"/>
        <w:tblLayout w:type="fixed"/>
        <w:tblCellMar>
          <w:top w:w="28" w:type="dxa"/>
          <w:left w:w="28" w:type="dxa"/>
          <w:bottom w:w="28" w:type="dxa"/>
          <w:right w:w="28" w:type="dxa"/>
        </w:tblCellMar>
      </w:tblPr>
      <w:tblGrid>
        <w:gridCol w:w="161"/>
        <w:gridCol w:w="146"/>
        <w:gridCol w:w="95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561" w:type="dxa"/>
            <w:tcBorders/>
            <w:vAlign w:val="center"/>
          </w:tcPr>
          <w:p>
            <w:pPr>
              <w:pStyle w:val="TableContents"/>
              <w:bidi w:val="0"/>
              <w:spacing w:before="240" w:after="120"/>
              <w:ind w:left="0" w:right="0" w:hanging="0"/>
              <w:jc w:val="left"/>
              <w:rPr>
                <w:rFonts w:ascii="Arial;sans-serif" w:hAnsi="Arial;sans-serif"/>
                <w:b/>
                <w:sz w:val="28"/>
              </w:rPr>
            </w:pPr>
            <w:bookmarkStart w:id="15" w:name="proposal_7"/>
            <w:bookmarkEnd w:id="15"/>
            <w:r>
              <w:rPr>
                <w:rFonts w:ascii="Arial;sans-serif" w:hAnsi="Arial;sans-serif"/>
                <w:b/>
                <w:sz w:val="28"/>
              </w:rPr>
              <w:t>PROPOSAL SEVEN - RIGHT TO CALL SPECIAL SHAREHOLDER MEETING</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91" w:type="dxa"/>
            <w:tcBorders/>
            <w:vAlign w:val="center"/>
          </w:tcPr>
          <w:p>
            <w:pPr>
              <w:pStyle w:val="TableContents"/>
              <w:bidi w:val="0"/>
              <w:spacing w:before="0" w:after="0"/>
              <w:ind w:left="0" w:right="0" w:hanging="0"/>
              <w:jc w:val="both"/>
              <w:rPr/>
            </w:pPr>
            <w:r>
              <w:rPr/>
              <w:t> </w:t>
            </w:r>
          </w:p>
        </w:tc>
      </w:tr>
      <w:tr>
        <w:trPr/>
        <w:tc>
          <w:tcPr>
            <w:tcW w:w="161" w:type="dxa"/>
            <w:tcBorders/>
            <w:vAlign w:val="center"/>
          </w:tcPr>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0"/>
              <w:ind w:left="0" w:right="0" w:hanging="0"/>
              <w:jc w:val="both"/>
              <w:rPr/>
            </w:pPr>
            <w:r>
              <w:rPr/>
              <w:t> </w:t>
            </w:r>
          </w:p>
        </w:tc>
        <w:tc>
          <w:tcPr>
            <w:tcW w:w="9561" w:type="dxa"/>
            <w:tcBorders/>
            <w:vAlign w:val="center"/>
          </w:tcPr>
          <w:p>
            <w:pPr>
              <w:pStyle w:val="TableContents"/>
              <w:bidi w:val="0"/>
              <w:spacing w:before="120" w:after="0"/>
              <w:ind w:left="0" w:right="0" w:hanging="0"/>
              <w:jc w:val="both"/>
              <w:rPr>
                <w:rFonts w:ascii="Arial;sans-serif" w:hAnsi="Arial;sans-serif"/>
                <w:b w:val="false"/>
                <w:sz w:val="20"/>
              </w:rPr>
            </w:pPr>
            <w:r>
              <w:rPr>
                <w:rFonts w:ascii="Arial;sans-serif" w:hAnsi="Arial;sans-serif"/>
                <w:b w:val="false"/>
                <w:sz w:val="20"/>
              </w:rPr>
              <w:t>Kenneth Steiner, 14 Stoner Ave., 2M, Great Neck, NY 11021-2100, has notified us that he intends to present the following proposal at the 2023 Annual Meeting. The proponent has indicated that he holds the requisite number of shares of our common stock in accordance with Rule 14a-8 requirements. The proponent’s resolution and supporting statement are quoted verbatim below in the section entitled “Resolution and Supporting Statement.” We are not responsible for the content of the proponent’s proposal or supporting statement.</w:t>
            </w:r>
          </w:p>
          <w:p>
            <w:pPr>
              <w:pStyle w:val="TableContents"/>
              <w:bidi w:val="0"/>
              <w:spacing w:before="120" w:after="0"/>
              <w:ind w:left="0" w:right="0" w:hanging="0"/>
              <w:jc w:val="both"/>
              <w:rPr>
                <w:rFonts w:ascii="Times New Roman" w:hAnsi="Times New Roman"/>
                <w:sz w:val="20"/>
              </w:rPr>
            </w:pPr>
            <w:r>
              <w:rPr>
                <w:rFonts w:ascii="Arial;sans-serif" w:hAnsi="Arial;sans-serif"/>
                <w:b/>
                <w:sz w:val="20"/>
              </w:rPr>
              <w:t>What Am I Voting On?</w:t>
            </w:r>
            <w:r>
              <w:rPr>
                <w:rFonts w:ascii="Times New Roman" w:hAnsi="Times New Roman"/>
                <w:sz w:val="20"/>
              </w:rPr>
              <w:t> </w:t>
            </w:r>
            <w:r>
              <w:rPr>
                <w:rFonts w:ascii="Arial;sans-serif" w:hAnsi="Arial;sans-serif"/>
                <w:b w:val="false"/>
                <w:sz w:val="20"/>
              </w:rPr>
              <w:t>Stockholders are being asked to vote on the resolution listed below</w:t>
            </w:r>
          </w:p>
          <w:p>
            <w:pPr>
              <w:pStyle w:val="TableContents"/>
              <w:bidi w:val="0"/>
              <w:spacing w:before="120" w:after="0"/>
              <w:ind w:left="0" w:right="0" w:hanging="0"/>
              <w:jc w:val="both"/>
              <w:rPr>
                <w:rFonts w:ascii="Times New Roman" w:hAnsi="Times New Roman"/>
                <w:sz w:val="20"/>
              </w:rPr>
            </w:pPr>
            <w:r>
              <w:rPr>
                <w:rFonts w:ascii="Arial;sans-serif" w:hAnsi="Arial;sans-serif"/>
                <w:b/>
                <w:sz w:val="20"/>
              </w:rPr>
              <w:t>Voting Recommendation of the Board:</w:t>
            </w:r>
            <w:r>
              <w:rPr>
                <w:rFonts w:ascii="Times New Roman" w:hAnsi="Times New Roman"/>
                <w:sz w:val="20"/>
              </w:rPr>
              <w:t xml:space="preserve"> </w:t>
            </w:r>
            <w:r>
              <w:rPr>
                <w:rFonts w:ascii="Arial;sans-serif" w:hAnsi="Arial;sans-serif"/>
                <w:b w:val="false"/>
                <w:sz w:val="20"/>
              </w:rPr>
              <w:t>AGAINST</w:t>
            </w:r>
            <w:r>
              <w:rPr>
                <w:rFonts w:ascii="Times New Roman" w:hAnsi="Times New Roman"/>
                <w:sz w:val="20"/>
              </w:rPr>
              <w:t xml:space="preserve"> </w:t>
            </w:r>
            <w:r>
              <w:rPr>
                <w:rFonts w:ascii="Arial;sans-serif" w:hAnsi="Arial;sans-serif"/>
                <w:b w:val="false"/>
                <w:sz w:val="20"/>
              </w:rPr>
              <w:t>the proposal</w:t>
            </w:r>
          </w:p>
          <w:p>
            <w:pPr>
              <w:pStyle w:val="TableContents"/>
              <w:bidi w:val="0"/>
              <w:spacing w:before="120" w:after="0"/>
              <w:ind w:left="0" w:right="0" w:hanging="0"/>
              <w:jc w:val="both"/>
              <w:rPr>
                <w:rFonts w:ascii="Times New Roman" w:hAnsi="Times New Roman"/>
                <w:sz w:val="20"/>
              </w:rPr>
            </w:pPr>
            <w:r>
              <w:rPr>
                <w:rFonts w:ascii="Arial;sans-serif" w:hAnsi="Arial;sans-serif"/>
                <w:b/>
                <w:sz w:val="20"/>
              </w:rPr>
              <w:t>Vote Required:</w:t>
            </w:r>
            <w:r>
              <w:rPr>
                <w:rFonts w:ascii="Times New Roman" w:hAnsi="Times New Roman"/>
                <w:sz w:val="20"/>
              </w:rPr>
              <w:t> </w:t>
            </w:r>
            <w:r>
              <w:rPr>
                <w:rFonts w:ascii="Arial;sans-serif" w:hAnsi="Arial;sans-serif"/>
                <w:b w:val="false"/>
                <w:sz w:val="20"/>
              </w:rPr>
              <w:t>The affirmative vote of a majority of the votes cast is required to approve the proposal</w:t>
            </w:r>
          </w:p>
          <w:p>
            <w:pPr>
              <w:pStyle w:val="TableContents"/>
              <w:bidi w:val="0"/>
              <w:spacing w:before="120" w:after="0"/>
              <w:ind w:left="0" w:right="0" w:hanging="0"/>
              <w:jc w:val="both"/>
              <w:rPr>
                <w:rFonts w:ascii="Times New Roman" w:hAnsi="Times New Roman"/>
                <w:sz w:val="20"/>
              </w:rPr>
            </w:pPr>
            <w:r>
              <w:rPr>
                <w:rFonts w:ascii="Arial;sans-serif" w:hAnsi="Arial;sans-serif"/>
                <w:b/>
                <w:sz w:val="20"/>
              </w:rPr>
              <w:t>Broker Discretionary Voting Allowed?</w:t>
            </w:r>
            <w:r>
              <w:rPr>
                <w:rFonts w:ascii="Times New Roman" w:hAnsi="Times New Roman"/>
                <w:sz w:val="20"/>
              </w:rPr>
              <w:t> </w:t>
            </w:r>
            <w:r>
              <w:rPr>
                <w:rFonts w:ascii="Arial;sans-serif" w:hAnsi="Arial;sans-serif"/>
                <w:b w:val="false"/>
                <w:sz w:val="20"/>
              </w:rPr>
              <w:t>No – broker non-votes have no effect</w:t>
            </w:r>
          </w:p>
          <w:p>
            <w:pPr>
              <w:pStyle w:val="TableContents"/>
              <w:bidi w:val="0"/>
              <w:spacing w:before="120" w:after="0"/>
              <w:ind w:left="0" w:right="0" w:hanging="0"/>
              <w:jc w:val="both"/>
              <w:rPr>
                <w:rFonts w:ascii="Times New Roman" w:hAnsi="Times New Roman"/>
                <w:sz w:val="20"/>
              </w:rPr>
            </w:pPr>
            <w:r>
              <w:rPr>
                <w:rFonts w:ascii="Arial;sans-serif" w:hAnsi="Arial;sans-serif"/>
                <w:b/>
                <w:sz w:val="20"/>
              </w:rPr>
              <w:t>Abstentions:</w:t>
            </w:r>
            <w:r>
              <w:rPr>
                <w:rFonts w:ascii="Times New Roman" w:hAnsi="Times New Roman"/>
                <w:sz w:val="20"/>
              </w:rPr>
              <w:t> </w:t>
            </w:r>
            <w:r>
              <w:rPr>
                <w:rFonts w:ascii="Arial;sans-serif" w:hAnsi="Arial;sans-serif"/>
                <w:b w:val="false"/>
                <w:sz w:val="20"/>
              </w:rPr>
              <w:t>No effect</w:t>
            </w:r>
          </w:p>
        </w:tc>
        <w:tc>
          <w:tcPr>
            <w:tcW w:w="146" w:type="dxa"/>
            <w:tcBorders/>
            <w:vAlign w:val="center"/>
          </w:tcPr>
          <w:p>
            <w:pPr>
              <w:pStyle w:val="TableContents"/>
              <w:bidi w:val="0"/>
              <w:spacing w:before="0" w:after="0"/>
              <w:ind w:left="0" w:right="0" w:hanging="0"/>
              <w:jc w:val="both"/>
              <w:rPr/>
            </w:pPr>
            <w:r>
              <w:rPr/>
              <w:t> </w:t>
            </w:r>
          </w:p>
        </w:tc>
        <w:tc>
          <w:tcPr>
            <w:tcW w:w="191" w:type="dxa"/>
            <w:tcBorders/>
            <w:vAlign w:val="center"/>
          </w:tcPr>
          <w:p>
            <w:pPr>
              <w:pStyle w:val="TableContents"/>
              <w:bidi w:val="0"/>
              <w:spacing w:before="0" w:after="0"/>
              <w:ind w:left="0" w:right="0" w:hanging="0"/>
              <w:jc w:val="both"/>
              <w:rPr/>
            </w:pPr>
            <w:r>
              <w:rPr/>
              <w:t> </w:t>
            </w:r>
          </w:p>
        </w:tc>
      </w:tr>
      <w:tr>
        <w:trPr/>
        <w:tc>
          <w:tcPr>
            <w:tcW w:w="161" w:type="dxa"/>
            <w:tcBorders/>
            <w:vAlign w:val="center"/>
          </w:tcPr>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0"/>
              <w:ind w:left="0" w:right="0" w:hanging="0"/>
              <w:jc w:val="both"/>
              <w:rPr/>
            </w:pPr>
            <w:r>
              <w:rPr/>
              <w:t> </w:t>
            </w:r>
          </w:p>
        </w:tc>
        <w:tc>
          <w:tcPr>
            <w:tcW w:w="9561" w:type="dxa"/>
            <w:tcBorders/>
            <w:vAlign w:val="center"/>
          </w:tcPr>
          <w:p>
            <w:pPr>
              <w:pStyle w:val="TableContents"/>
              <w:bidi w:val="0"/>
              <w:spacing w:before="120" w:after="0"/>
              <w:ind w:left="0" w:right="0" w:hanging="0"/>
              <w:jc w:val="both"/>
              <w:rPr/>
            </w:pPr>
            <w:r>
              <w:rPr/>
              <w:t> </w:t>
            </w:r>
          </w:p>
        </w:tc>
        <w:tc>
          <w:tcPr>
            <w:tcW w:w="146" w:type="dxa"/>
            <w:tcBorders/>
            <w:vAlign w:val="center"/>
          </w:tcPr>
          <w:p>
            <w:pPr>
              <w:pStyle w:val="TableContents"/>
              <w:bidi w:val="0"/>
              <w:spacing w:before="0" w:after="0"/>
              <w:ind w:left="0" w:right="0" w:hanging="0"/>
              <w:jc w:val="both"/>
              <w:rPr/>
            </w:pPr>
            <w:r>
              <w:rPr/>
              <w:t> </w:t>
            </w:r>
          </w:p>
        </w:tc>
        <w:tc>
          <w:tcPr>
            <w:tcW w:w="191" w:type="dxa"/>
            <w:tcBorders/>
            <w:vAlign w:val="center"/>
          </w:tcPr>
          <w:p>
            <w:pPr>
              <w:pStyle w:val="TableContents"/>
              <w:bidi w:val="0"/>
              <w:spacing w:before="0" w:after="0"/>
              <w:ind w:left="0" w:right="0" w:hanging="0"/>
              <w:jc w:val="both"/>
              <w:rPr/>
            </w:pPr>
            <w:r>
              <w:rPr/>
              <w:t> </w:t>
            </w:r>
          </w:p>
        </w:tc>
      </w:tr>
    </w:tbl>
    <w:p>
      <w:pPr>
        <w:pStyle w:val="TextBody"/>
        <w:bidi w:val="0"/>
        <w:spacing w:before="0" w:after="0"/>
        <w:jc w:val="center"/>
        <w:rPr/>
      </w:pPr>
      <w:r>
        <w:rPr/>
        <w:t> </w:t>
      </w:r>
    </w:p>
    <w:p>
      <w:pPr>
        <w:pStyle w:val="TextBody"/>
        <w:bidi w:val="0"/>
        <w:spacing w:before="0" w:after="0"/>
        <w:jc w:val="center"/>
        <w:rPr>
          <w:rFonts w:ascii="Arial;sans-serif" w:hAnsi="Arial;sans-serif"/>
          <w:b/>
          <w:sz w:val="20"/>
        </w:rPr>
      </w:pPr>
      <w:r>
        <w:rPr>
          <w:rFonts w:ascii="Arial;sans-serif" w:hAnsi="Arial;sans-serif"/>
          <w:b/>
          <w:sz w:val="20"/>
        </w:rPr>
        <w:t>Proposal 7 – Adopt a Shareholder Right to Call a Special Shareholder Meeting</w:t>
      </w:r>
    </w:p>
    <w:p>
      <w:pPr>
        <w:pStyle w:val="TextBody"/>
        <w:bidi w:val="0"/>
        <w:spacing w:before="0" w:after="0"/>
        <w:jc w:val="center"/>
        <w:rPr/>
      </w:pPr>
      <w:r>
        <w:rPr/>
        <w:t> </w:t>
      </w:r>
    </w:p>
    <w:p>
      <w:pPr>
        <w:pStyle w:val="TextBody"/>
        <w:bidi w:val="0"/>
        <w:spacing w:before="0" w:after="0"/>
        <w:jc w:val="center"/>
        <w:rPr/>
      </w:pPr>
      <w:r>
        <w:rPr/>
        <w:drawing>
          <wp:inline distT="0" distB="0" distL="0" distR="0">
            <wp:extent cx="1838325" cy="3714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1838325" cy="371475"/>
                    </a:xfrm>
                    <a:prstGeom prst="rect">
                      <a:avLst/>
                    </a:prstGeom>
                  </pic:spPr>
                </pic:pic>
              </a:graphicData>
            </a:graphic>
          </wp:inline>
        </w:drawing>
      </w:r>
      <w:r>
        <w:rPr/>
        <w:t> </w:t>
      </w:r>
    </w:p>
    <w:p>
      <w:pPr>
        <w:pStyle w:val="TextBody"/>
        <w:bidi w:val="0"/>
        <w:spacing w:before="240" w:after="0"/>
        <w:jc w:val="left"/>
        <w:rPr>
          <w:rFonts w:ascii="Arial;sans-serif" w:hAnsi="Arial;sans-serif"/>
          <w:b w:val="false"/>
          <w:i/>
          <w:sz w:val="20"/>
        </w:rPr>
      </w:pPr>
      <w:r>
        <w:rPr>
          <w:rFonts w:ascii="Arial;sans-serif" w:hAnsi="Arial;sans-serif"/>
          <w:b w:val="false"/>
          <w:i/>
          <w:sz w:val="20"/>
        </w:rPr>
        <w:t>Shareholders ask our board to take the steps necessary to amend the appropriate company governing documents to give the owners of a combined 10% of our outstanding common stock the power to call a special shareholder meeting (or the lowest percentage according to state law) regardless of length of stock ownership also in accordance with state law. And to enable street name shareholder and non street name shareholder to have as much equal rights in calling for a special shareholder meeting as allowed by state law.</w:t>
      </w:r>
    </w:p>
    <w:p>
      <w:pPr>
        <w:pStyle w:val="TextBody"/>
        <w:bidi w:val="0"/>
        <w:spacing w:before="0" w:after="0"/>
        <w:jc w:val="left"/>
        <w:rPr/>
      </w:pPr>
      <w:r>
        <w:rPr/>
        <w:t> </w:t>
      </w:r>
    </w:p>
    <w:p>
      <w:pPr>
        <w:pStyle w:val="TextBody"/>
        <w:bidi w:val="0"/>
        <w:spacing w:before="0" w:after="0"/>
        <w:jc w:val="left"/>
        <w:rPr>
          <w:rFonts w:ascii="Arial;sans-serif" w:hAnsi="Arial;sans-serif"/>
          <w:b w:val="false"/>
          <w:i/>
          <w:sz w:val="20"/>
        </w:rPr>
      </w:pPr>
      <w:r>
        <w:rPr>
          <w:rFonts w:ascii="Arial;sans-serif" w:hAnsi="Arial;sans-serif"/>
          <w:b w:val="false"/>
          <w:i/>
          <w:sz w:val="20"/>
        </w:rPr>
        <w:t>Calling for a special shareholder meeting is hardly ever used by shareholders but the main point of the right to call for a special shareholder meeting is that it gives shareholders at least significant standing to engage effectively with management.</w:t>
      </w:r>
    </w:p>
    <w:p>
      <w:pPr>
        <w:pStyle w:val="TextBody"/>
        <w:bidi w:val="0"/>
        <w:spacing w:before="0" w:after="0"/>
        <w:jc w:val="left"/>
        <w:rPr/>
      </w:pPr>
      <w:r>
        <w:rPr/>
        <w:t> </w:t>
      </w:r>
    </w:p>
    <w:p>
      <w:pPr>
        <w:pStyle w:val="TextBody"/>
        <w:bidi w:val="0"/>
        <w:spacing w:before="0" w:after="0"/>
        <w:jc w:val="left"/>
        <w:rPr>
          <w:rFonts w:ascii="Arial;sans-serif" w:hAnsi="Arial;sans-serif"/>
          <w:b w:val="false"/>
          <w:i/>
          <w:sz w:val="20"/>
        </w:rPr>
      </w:pPr>
      <w:r>
        <w:rPr>
          <w:rFonts w:ascii="Arial;sans-serif" w:hAnsi="Arial;sans-serif"/>
          <w:b w:val="false"/>
          <w:i/>
          <w:sz w:val="20"/>
        </w:rPr>
        <w:t>Management will have an incentive to genuinely engage with shareholders instead of stonewalling if shareholders have a realistic Plan B option of calling a special shareholder meeting. Often the management of a company will claim that shareholders have multiple means to communicate with management – but in most cases these low impact means are as effective as mailing a post card to the CEO. A reasonable shareholder right to call a special shareholder meeting is an important step for effective shareholder engagement with management.</w:t>
      </w:r>
    </w:p>
    <w:p>
      <w:pPr>
        <w:pStyle w:val="TextBody"/>
        <w:bidi w:val="0"/>
        <w:spacing w:before="0" w:after="0"/>
        <w:jc w:val="left"/>
        <w:rPr/>
      </w:pPr>
      <w:r>
        <w:rPr/>
        <w:t> </w:t>
      </w:r>
    </w:p>
    <w:p>
      <w:pPr>
        <w:pStyle w:val="TextBody"/>
        <w:bidi w:val="0"/>
        <w:spacing w:before="0" w:after="0"/>
        <w:jc w:val="center"/>
        <w:rPr>
          <w:rFonts w:ascii="Arial;sans-serif" w:hAnsi="Arial;sans-serif"/>
          <w:b w:val="false"/>
          <w:i/>
          <w:sz w:val="20"/>
        </w:rPr>
      </w:pPr>
      <w:r>
        <w:rPr>
          <w:rFonts w:ascii="Arial;sans-serif" w:hAnsi="Arial;sans-serif"/>
          <w:b w:val="false"/>
          <w:i/>
          <w:sz w:val="20"/>
        </w:rPr>
        <w:t>Please vote yes:</w:t>
      </w:r>
    </w:p>
    <w:p>
      <w:pPr>
        <w:pStyle w:val="TextBody"/>
        <w:bidi w:val="0"/>
        <w:spacing w:before="0" w:after="0"/>
        <w:jc w:val="center"/>
        <w:rPr>
          <w:rFonts w:ascii="Arial;sans-serif" w:hAnsi="Arial;sans-serif"/>
          <w:b/>
          <w:sz w:val="20"/>
        </w:rPr>
      </w:pPr>
      <w:r>
        <w:rPr>
          <w:rFonts w:ascii="Arial;sans-serif" w:hAnsi="Arial;sans-serif"/>
          <w:b/>
          <w:sz w:val="20"/>
        </w:rPr>
        <w:t>Adopt a Shareholder Right to Call a Special Shareholder Meeting – Proposal 7</w:t>
      </w:r>
    </w:p>
    <w:p>
      <w:pPr>
        <w:pStyle w:val="TextBody"/>
        <w:bidi w:val="0"/>
        <w:spacing w:before="0" w:after="0"/>
        <w:jc w:val="both"/>
        <w:rPr/>
      </w:pPr>
      <w:r>
        <w:rPr/>
        <w:t> </w:t>
      </w:r>
    </w:p>
    <w:p>
      <w:pPr>
        <w:pStyle w:val="TextBody"/>
        <w:bidi w:val="0"/>
        <w:spacing w:before="0" w:after="0"/>
        <w:jc w:val="left"/>
        <w:rPr/>
      </w:pPr>
      <w:r>
        <w:rPr/>
        <w:t> </w:t>
      </w:r>
    </w:p>
    <w:tbl>
      <w:tblPr>
        <w:tblW w:w="3762" w:type="dxa"/>
        <w:jc w:val="left"/>
        <w:tblInd w:w="0" w:type="dxa"/>
        <w:tblLayout w:type="fixed"/>
        <w:tblCellMar>
          <w:top w:w="28" w:type="dxa"/>
          <w:left w:w="28" w:type="dxa"/>
          <w:bottom w:w="28" w:type="dxa"/>
          <w:right w:w="28" w:type="dxa"/>
        </w:tblCellMar>
      </w:tblPr>
      <w:tblGrid>
        <w:gridCol w:w="1466"/>
        <w:gridCol w:w="2296"/>
      </w:tblGrid>
      <w:tr>
        <w:trPr/>
        <w:tc>
          <w:tcPr>
            <w:tcW w:w="146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r>
      <w:tr>
        <w:trPr/>
        <w:tc>
          <w:tcPr>
            <w:tcW w:w="1466" w:type="dxa"/>
            <w:tcBorders/>
            <w:vAlign w:val="center"/>
          </w:tcPr>
          <w:p>
            <w:pPr>
              <w:pStyle w:val="TableContents"/>
              <w:bidi w:val="0"/>
              <w:spacing w:before="0" w:after="0"/>
              <w:ind w:left="0" w:right="0" w:hanging="0"/>
              <w:jc w:val="left"/>
              <w:rPr/>
            </w:pPr>
            <w:r>
              <w:rPr/>
              <w:drawing>
                <wp:inline distT="0" distB="0" distL="0" distR="0">
                  <wp:extent cx="828675" cy="190500"/>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828675" cy="190500"/>
                          </a:xfrm>
                          <a:prstGeom prst="rect">
                            <a:avLst/>
                          </a:prstGeom>
                        </pic:spPr>
                      </pic:pic>
                    </a:graphicData>
                  </a:graphic>
                </wp:inline>
              </w:drawing>
            </w:r>
            <w:r>
              <w:rPr/>
              <w:t> </w:t>
            </w:r>
          </w:p>
        </w:tc>
        <w:tc>
          <w:tcPr>
            <w:tcW w:w="229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2023 Proxy Statement I 50</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Arial;sans-serif" w:hAnsi="Arial;sans-serif"/>
          <w:b w:val="false"/>
          <w:sz w:val="20"/>
          <w:u w:val="single"/>
        </w:rPr>
      </w:pPr>
      <w:r>
        <w:rPr>
          <w:rFonts w:ascii="Arial;sans-serif" w:hAnsi="Arial;sans-serif"/>
          <w:b w:val="false"/>
          <w:sz w:val="20"/>
          <w:u w:val="single"/>
        </w:rPr>
        <w:t>Stockholder Proposals</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Arial;sans-serif" w:hAnsi="Arial;sans-serif"/>
          <w:b/>
          <w:sz w:val="20"/>
        </w:rPr>
        <w:t>The Board’s Opposition Statement</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 xml:space="preserve">After carefully considering the Stockholder Special Meeting Proposal, the Board has concluded that it is not in the best interests of the Company and its stockholders. Accordingly, the Board unanimously recommends a vote </w:t>
      </w:r>
      <w:r>
        <w:rPr>
          <w:rFonts w:ascii="Arial;sans-serif" w:hAnsi="Arial;sans-serif"/>
          <w:b/>
          <w:sz w:val="20"/>
        </w:rPr>
        <w:t xml:space="preserve">AGAINST </w:t>
      </w:r>
      <w:r>
        <w:rPr>
          <w:rFonts w:ascii="Arial;sans-serif" w:hAnsi="Arial;sans-serif"/>
          <w:b w:val="false"/>
          <w:sz w:val="20"/>
        </w:rPr>
        <w:t>the proposal.</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Arial;sans-serif" w:hAnsi="Arial;sans-serif"/>
          <w:b w:val="false"/>
          <w:sz w:val="20"/>
        </w:rPr>
      </w:pPr>
      <w:r>
        <w:rPr>
          <w:rFonts w:ascii="Arial;sans-serif" w:hAnsi="Arial;sans-serif"/>
          <w:b w:val="false"/>
          <w:sz w:val="20"/>
        </w:rPr>
        <w:t>However, because the Board recognizes that providing stockholders the ability to request special meetings is viewed by some stockholders as a helpful governance mechanism, it has recommended an approval of the right of stockholders owning a combined 25% of our outstanding shares of common stock to request a special meeting as presented in the Board’s Special Meeting Proposal (Proposal 5). We believe a 25% ownership threshold strikes the appropriate balance between enhancing stockholder rights and protecting the long-term interests of the Company and its stockholders as opposed to the Stockholder Special Meeting Proposal (this Proposal 7).</w:t>
      </w:r>
    </w:p>
    <w:p>
      <w:pPr>
        <w:pStyle w:val="TextBody"/>
        <w:bidi w:val="0"/>
        <w:spacing w:before="0" w:after="0"/>
        <w:jc w:val="both"/>
        <w:rPr/>
      </w:pPr>
      <w:r>
        <w:rPr/>
        <w:t> </w:t>
      </w:r>
    </w:p>
    <w:p>
      <w:pPr>
        <w:pStyle w:val="TextBody"/>
        <w:bidi w:val="0"/>
        <w:spacing w:before="0" w:after="0"/>
        <w:jc w:val="both"/>
        <w:rPr>
          <w:rFonts w:ascii="Arial;sans-serif" w:hAnsi="Arial;sans-serif"/>
          <w:b w:val="false"/>
          <w:sz w:val="20"/>
        </w:rPr>
      </w:pPr>
      <w:r>
        <w:rPr>
          <w:rFonts w:ascii="Arial;sans-serif" w:hAnsi="Arial;sans-serif"/>
          <w:b w:val="false"/>
          <w:sz w:val="20"/>
        </w:rPr>
        <w:t>Special meetings impose significant costs, both administrative and operational, and the Board, the Company’s management, and our employees must devote significant time and attention to preparing for a special meeting, which takes their time and attention away from their primary focus of overseeing and operating our business. One or a small minority of stockholders should not be entitled to cause such significant expense and distraction to advance their own special interests, which may not be shared more broadly by our other stockholders. Therefore, special meetings should only be called to discuss critical, time-sensitive issues that cannot be delayed until our next annual meeting of stockholders in cases where a substantial portion of stockholders agree that a special meeting must be called. A failure to receive 25% support to convene a special meeting is a strong indicator that the issue is unduly narrow and not deemed critical by our stockholders generally. Providing a special meeting request right at a low threshold, such as the one proposed in this Proposal 7, risks giving a small number of stockholders a disproportionate amount of influence over our affairs. A higher threshold than the one contemplated by this Proposal 7 also ensures that a more meaningful number of stockholders are seeking to call the special meeting, rather than only one or a few. Based on these considerations, the Board believes the 25% threshold outlined in Proposal 5 strikes a more appropriate balance than the 10% threshold in this Proposal 7. Requiring a 25% threshold ensures that stockholders have the right to request a special meeting to act on extraordinary and urgent matters while minimizing the risk that one or a small minority of stockholders will pursue special interests that are not aligned with, or in the best interests of, the Company or its other stockholders. In addition, the 25% threshold will protect us from unduly incurring substantial costs and distraction.</w:t>
      </w:r>
    </w:p>
    <w:p>
      <w:pPr>
        <w:pStyle w:val="TextBody"/>
        <w:bidi w:val="0"/>
        <w:spacing w:before="0" w:after="0"/>
        <w:jc w:val="both"/>
        <w:rPr/>
      </w:pPr>
      <w:r>
        <w:rPr/>
        <w:t> </w:t>
      </w:r>
    </w:p>
    <w:p>
      <w:pPr>
        <w:pStyle w:val="TextBody"/>
        <w:bidi w:val="0"/>
        <w:spacing w:before="0" w:after="0"/>
        <w:jc w:val="both"/>
        <w:rPr>
          <w:rFonts w:ascii="Arial;sans-serif" w:hAnsi="Arial;sans-serif"/>
          <w:b w:val="false"/>
          <w:sz w:val="20"/>
        </w:rPr>
      </w:pPr>
      <w:r>
        <w:rPr>
          <w:rFonts w:ascii="Arial;sans-serif" w:hAnsi="Arial;sans-serif"/>
          <w:b w:val="false"/>
          <w:sz w:val="20"/>
        </w:rPr>
        <w:t>We are committed to maintaining strong corporate governance practices and procedures, including stockholder engagement initiatives. See “Board and Governance Matters” for more information. In light of our existing policies and practices and the Board’s Special Meeting Proposal (Proposal 5), the Board believes the adoption of the Stockholder Special Meeting Proposal would not serve the best interests of the Company or its stockholders. Accordingly, the Board has determined that the Board’s Special Meeting Proposal (Proposal 5), and not the Stockholder Special Meeting Proposal (this Proposal 7), is in the best interests of the Company and its stockholders.</w:t>
      </w:r>
    </w:p>
    <w:p>
      <w:pPr>
        <w:pStyle w:val="TextBody"/>
        <w:bidi w:val="0"/>
        <w:spacing w:before="0" w:after="0"/>
        <w:jc w:val="both"/>
        <w:rPr/>
      </w:pPr>
      <w:r>
        <w:rPr/>
        <w:t> </w:t>
      </w:r>
    </w:p>
    <w:p>
      <w:pPr>
        <w:pStyle w:val="TextBody"/>
        <w:bidi w:val="0"/>
        <w:spacing w:before="0" w:after="0"/>
        <w:jc w:val="both"/>
        <w:rPr>
          <w:rFonts w:ascii="Arial;sans-serif" w:hAnsi="Arial;sans-serif"/>
          <w:b w:val="false"/>
          <w:sz w:val="20"/>
        </w:rPr>
      </w:pPr>
      <w:r>
        <w:rPr>
          <w:rFonts w:ascii="Arial;sans-serif" w:hAnsi="Arial;sans-serif"/>
          <w:b w:val="false"/>
          <w:sz w:val="20"/>
        </w:rPr>
        <w:t>Approval of this Stockholder Special Meeting Proposal (this Proposal 7) is not conditioned on approval or disapproval of the Board’s Special Meeting Proposal (Proposal 5).</w:t>
      </w:r>
    </w:p>
    <w:p>
      <w:pPr>
        <w:pStyle w:val="TextBody"/>
        <w:bidi w:val="0"/>
        <w:spacing w:before="240" w:after="0"/>
        <w:jc w:val="both"/>
        <w:rPr>
          <w:rFonts w:ascii="Times New Roman" w:hAnsi="Times New Roman"/>
          <w:sz w:val="20"/>
        </w:rPr>
      </w:pPr>
      <w:r>
        <w:rPr>
          <w:rFonts w:ascii="Arial;sans-serif" w:hAnsi="Arial;sans-serif"/>
          <w:b/>
          <w:i/>
          <w:sz w:val="20"/>
        </w:rPr>
        <w:t>For these reasons, the Board unanimously recommends a vote AGAINST</w:t>
      </w:r>
      <w:r>
        <w:rPr>
          <w:rFonts w:ascii="Times New Roman" w:hAnsi="Times New Roman"/>
          <w:sz w:val="20"/>
        </w:rPr>
        <w:t xml:space="preserve"> </w:t>
      </w:r>
      <w:r>
        <w:rPr>
          <w:rFonts w:ascii="Arial;sans-serif" w:hAnsi="Arial;sans-serif"/>
          <w:b/>
          <w:i/>
          <w:sz w:val="20"/>
        </w:rPr>
        <w:t>adoption of Proposal 7.</w:t>
      </w:r>
    </w:p>
    <w:p>
      <w:pPr>
        <w:pStyle w:val="TextBody"/>
        <w:bidi w:val="0"/>
        <w:spacing w:before="0" w:after="0"/>
        <w:jc w:val="left"/>
        <w:rPr/>
      </w:pPr>
      <w:r>
        <w:rPr/>
        <w:t> </w:t>
      </w:r>
    </w:p>
    <w:tbl>
      <w:tblPr>
        <w:tblW w:w="3762" w:type="dxa"/>
        <w:jc w:val="left"/>
        <w:tblInd w:w="0" w:type="dxa"/>
        <w:tblLayout w:type="fixed"/>
        <w:tblCellMar>
          <w:top w:w="28" w:type="dxa"/>
          <w:left w:w="28" w:type="dxa"/>
          <w:bottom w:w="28" w:type="dxa"/>
          <w:right w:w="28" w:type="dxa"/>
        </w:tblCellMar>
      </w:tblPr>
      <w:tblGrid>
        <w:gridCol w:w="2266"/>
        <w:gridCol w:w="1496"/>
      </w:tblGrid>
      <w:tr>
        <w:trPr/>
        <w:tc>
          <w:tcPr>
            <w:tcW w:w="226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51</w:t>
            </w:r>
            <w:r>
              <w:rPr>
                <w:rFonts w:ascii="Times New Roman" w:hAnsi="Times New Roman"/>
                <w:sz w:val="18"/>
              </w:rPr>
              <w:t> </w:t>
            </w:r>
            <w:r>
              <w:rPr>
                <w:rFonts w:ascii="Arial;sans-serif" w:hAnsi="Arial;sans-serif"/>
                <w:b w:val="false"/>
                <w:sz w:val="18"/>
              </w:rPr>
              <w:t>I 2023 Proxy Statement</w:t>
            </w:r>
          </w:p>
        </w:tc>
        <w:tc>
          <w:tcPr>
            <w:tcW w:w="1496" w:type="dxa"/>
            <w:tcBorders/>
            <w:vAlign w:val="center"/>
          </w:tcPr>
          <w:p>
            <w:pPr>
              <w:pStyle w:val="TableContents"/>
              <w:bidi w:val="0"/>
              <w:spacing w:before="0" w:after="0"/>
              <w:ind w:left="0" w:right="0" w:hanging="0"/>
              <w:jc w:val="right"/>
              <w:rPr/>
            </w:pPr>
            <w:r>
              <w:rPr/>
              <w:drawing>
                <wp:inline distT="0" distB="0" distL="0" distR="0">
                  <wp:extent cx="828675" cy="190500"/>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828675" cy="190500"/>
                          </a:xfrm>
                          <a:prstGeom prst="rect">
                            <a:avLst/>
                          </a:prstGeom>
                        </pic:spPr>
                      </pic:pic>
                    </a:graphicData>
                  </a:graphic>
                </wp:inline>
              </w:drawing>
            </w: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Arial;sans-serif" w:hAnsi="Arial;sans-serif"/>
          <w:b w:val="false"/>
          <w:sz w:val="20"/>
          <w:u w:val="single"/>
        </w:rPr>
      </w:pPr>
      <w:r>
        <w:rPr>
          <w:rFonts w:ascii="Arial;sans-serif" w:hAnsi="Arial;sans-serif"/>
          <w:b w:val="false"/>
          <w:sz w:val="20"/>
          <w:u w:val="single"/>
        </w:rPr>
        <w:t>Stockholder Proposals</w:t>
      </w:r>
    </w:p>
    <w:p>
      <w:pPr>
        <w:pStyle w:val="TextBody"/>
        <w:bidi w:val="0"/>
        <w:spacing w:before="0" w:after="0"/>
        <w:jc w:val="left"/>
        <w:rPr/>
      </w:pPr>
      <w:r>
        <w:rPr/>
        <w:t> </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161"/>
        <w:gridCol w:w="146"/>
        <w:gridCol w:w="9707"/>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707" w:type="dxa"/>
            <w:tcBorders/>
            <w:vAlign w:val="center"/>
          </w:tcPr>
          <w:p>
            <w:pPr>
              <w:pStyle w:val="TableContents"/>
              <w:bidi w:val="0"/>
              <w:spacing w:before="0" w:after="0"/>
              <w:ind w:left="0" w:right="0" w:hanging="0"/>
              <w:jc w:val="left"/>
              <w:rPr>
                <w:rFonts w:ascii="Arial;sans-serif" w:hAnsi="Arial;sans-serif"/>
                <w:b/>
                <w:sz w:val="28"/>
              </w:rPr>
            </w:pPr>
            <w:bookmarkStart w:id="16" w:name="proposal_8"/>
            <w:bookmarkEnd w:id="16"/>
            <w:r>
              <w:rPr>
                <w:rFonts w:ascii="Arial;sans-serif" w:hAnsi="Arial;sans-serif"/>
                <w:b/>
                <w:sz w:val="28"/>
              </w:rPr>
              <w:t>PROPOSAL EIGHT - HUMAN RIGHTS IMPACT ASSESSMENT</w:t>
            </w:r>
          </w:p>
        </w:tc>
        <w:tc>
          <w:tcPr>
            <w:tcW w:w="191"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707" w:type="dxa"/>
            <w:tcBorders/>
            <w:vAlign w:val="center"/>
          </w:tcPr>
          <w:p>
            <w:pPr>
              <w:pStyle w:val="TableContents"/>
              <w:bidi w:val="0"/>
              <w:spacing w:before="0" w:after="0"/>
              <w:ind w:left="0" w:right="0" w:hanging="0"/>
              <w:jc w:val="both"/>
              <w:rPr>
                <w:rFonts w:ascii="Times New Roman" w:hAnsi="Times New Roman"/>
                <w:sz w:val="22"/>
              </w:rPr>
            </w:pPr>
            <w:r>
              <w:rPr>
                <w:rFonts w:ascii="Arial;sans-serif" w:hAnsi="Arial;sans-serif"/>
                <w:b w:val="false"/>
                <w:sz w:val="20"/>
              </w:rPr>
              <w:t xml:space="preserve">Mercy Investment Services, Inc., 2039 North Geyer Road, St. Louis, MO 63131-3332, and other co-filers </w:t>
            </w:r>
            <w:r>
              <w:rPr>
                <w:rFonts w:ascii="Arial;sans-serif" w:hAnsi="Arial;sans-serif"/>
                <w:b w:val="false"/>
                <w:sz w:val="15"/>
              </w:rPr>
              <w:t>2</w:t>
            </w:r>
            <w:r>
              <w:rPr>
                <w:rFonts w:ascii="Arial;sans-serif" w:hAnsi="Arial;sans-serif"/>
                <w:b w:val="false"/>
                <w:sz w:val="20"/>
              </w:rPr>
              <w:t>, has notified us that it intends to present the proposal listed below at the 2023 Annual Meeting. The proponent has indicated that it holds the requisite number of shares of our common stock in accordance with Rule 14a-8 requirements. The proponent’s resolution and supporting statement are quoted verbatim below in the section entitled “Resolution and Supporting Statement.” We are not responsible for the content of the proponent’s proposal or supporting statement.</w:t>
            </w:r>
          </w:p>
          <w:p>
            <w:pPr>
              <w:pStyle w:val="TableContents"/>
              <w:bidi w:val="0"/>
              <w:spacing w:before="240" w:after="0"/>
              <w:ind w:left="0" w:right="0" w:hanging="0"/>
              <w:jc w:val="both"/>
              <w:rPr>
                <w:rFonts w:ascii="Times New Roman" w:hAnsi="Times New Roman"/>
                <w:sz w:val="20"/>
              </w:rPr>
            </w:pPr>
            <w:r>
              <w:rPr>
                <w:rFonts w:ascii="Arial;sans-serif" w:hAnsi="Arial;sans-serif"/>
                <w:b/>
                <w:sz w:val="20"/>
              </w:rPr>
              <w:t>What Am I Voting On?</w:t>
            </w:r>
            <w:r>
              <w:rPr>
                <w:rFonts w:ascii="Times New Roman" w:hAnsi="Times New Roman"/>
                <w:sz w:val="20"/>
              </w:rPr>
              <w:t> </w:t>
            </w:r>
            <w:r>
              <w:rPr>
                <w:rFonts w:ascii="Arial;sans-serif" w:hAnsi="Arial;sans-serif"/>
                <w:b w:val="false"/>
                <w:sz w:val="20"/>
              </w:rPr>
              <w:t>Stockholders are being asked to vote on the resolution listed below</w:t>
            </w:r>
          </w:p>
          <w:p>
            <w:pPr>
              <w:pStyle w:val="TableContents"/>
              <w:bidi w:val="0"/>
              <w:spacing w:before="120" w:after="0"/>
              <w:ind w:left="0" w:right="0" w:hanging="0"/>
              <w:jc w:val="both"/>
              <w:rPr>
                <w:rFonts w:ascii="Times New Roman" w:hAnsi="Times New Roman"/>
                <w:sz w:val="20"/>
              </w:rPr>
            </w:pPr>
            <w:r>
              <w:rPr>
                <w:rFonts w:ascii="Arial;sans-serif" w:hAnsi="Arial;sans-serif"/>
                <w:b/>
                <w:sz w:val="20"/>
              </w:rPr>
              <w:t>Voting Recommendation of the Board:</w:t>
            </w:r>
            <w:r>
              <w:rPr>
                <w:rFonts w:ascii="Times New Roman" w:hAnsi="Times New Roman"/>
                <w:sz w:val="20"/>
              </w:rPr>
              <w:t xml:space="preserve"> </w:t>
            </w:r>
            <w:r>
              <w:rPr>
                <w:rFonts w:ascii="Arial;sans-serif" w:hAnsi="Arial;sans-serif"/>
                <w:b w:val="false"/>
                <w:sz w:val="20"/>
              </w:rPr>
              <w:t>AGAINST</w:t>
            </w:r>
            <w:r>
              <w:rPr>
                <w:rFonts w:ascii="Times New Roman" w:hAnsi="Times New Roman"/>
                <w:sz w:val="20"/>
              </w:rPr>
              <w:t xml:space="preserve"> </w:t>
            </w:r>
            <w:r>
              <w:rPr>
                <w:rFonts w:ascii="Arial;sans-serif" w:hAnsi="Arial;sans-serif"/>
                <w:b w:val="false"/>
                <w:sz w:val="20"/>
              </w:rPr>
              <w:t>the proposal</w:t>
            </w:r>
          </w:p>
          <w:p>
            <w:pPr>
              <w:pStyle w:val="TableContents"/>
              <w:bidi w:val="0"/>
              <w:spacing w:before="120" w:after="0"/>
              <w:ind w:left="0" w:right="0" w:hanging="0"/>
              <w:jc w:val="both"/>
              <w:rPr>
                <w:rFonts w:ascii="Times New Roman" w:hAnsi="Times New Roman"/>
                <w:sz w:val="20"/>
              </w:rPr>
            </w:pPr>
            <w:r>
              <w:rPr>
                <w:rFonts w:ascii="Arial;sans-serif" w:hAnsi="Arial;sans-serif"/>
                <w:b/>
                <w:sz w:val="20"/>
              </w:rPr>
              <w:t>Vote Required:</w:t>
            </w:r>
            <w:r>
              <w:rPr>
                <w:rFonts w:ascii="Times New Roman" w:hAnsi="Times New Roman"/>
                <w:sz w:val="20"/>
              </w:rPr>
              <w:t> </w:t>
            </w:r>
            <w:r>
              <w:rPr>
                <w:rFonts w:ascii="Arial;sans-serif" w:hAnsi="Arial;sans-serif"/>
                <w:b w:val="false"/>
                <w:sz w:val="20"/>
              </w:rPr>
              <w:t>The affirmative vote of a majority of the votes cast is required to approve the proposal</w:t>
            </w:r>
          </w:p>
          <w:p>
            <w:pPr>
              <w:pStyle w:val="TableContents"/>
              <w:bidi w:val="0"/>
              <w:spacing w:before="120" w:after="0"/>
              <w:ind w:left="0" w:right="0" w:hanging="0"/>
              <w:jc w:val="both"/>
              <w:rPr>
                <w:rFonts w:ascii="Times New Roman" w:hAnsi="Times New Roman"/>
                <w:sz w:val="20"/>
              </w:rPr>
            </w:pPr>
            <w:r>
              <w:rPr>
                <w:rFonts w:ascii="Arial;sans-serif" w:hAnsi="Arial;sans-serif"/>
                <w:b/>
                <w:sz w:val="20"/>
              </w:rPr>
              <w:t>Broker Discretionary Voting Allowed?</w:t>
            </w:r>
            <w:r>
              <w:rPr>
                <w:rFonts w:ascii="Times New Roman" w:hAnsi="Times New Roman"/>
                <w:sz w:val="20"/>
              </w:rPr>
              <w:t> </w:t>
            </w:r>
            <w:r>
              <w:rPr>
                <w:rFonts w:ascii="Arial;sans-serif" w:hAnsi="Arial;sans-serif"/>
                <w:b w:val="false"/>
                <w:sz w:val="20"/>
              </w:rPr>
              <w:t>No – broker non-votes have no effect</w:t>
            </w:r>
          </w:p>
          <w:p>
            <w:pPr>
              <w:pStyle w:val="TableContents"/>
              <w:bidi w:val="0"/>
              <w:spacing w:before="120" w:after="0"/>
              <w:ind w:left="0" w:right="0" w:hanging="0"/>
              <w:jc w:val="both"/>
              <w:rPr>
                <w:rFonts w:ascii="Times New Roman" w:hAnsi="Times New Roman"/>
                <w:sz w:val="20"/>
              </w:rPr>
            </w:pPr>
            <w:r>
              <w:rPr>
                <w:rFonts w:ascii="Arial;sans-serif" w:hAnsi="Arial;sans-serif"/>
                <w:b/>
                <w:sz w:val="20"/>
              </w:rPr>
              <w:t>Abstentions:</w:t>
            </w:r>
            <w:r>
              <w:rPr>
                <w:rFonts w:ascii="Times New Roman" w:hAnsi="Times New Roman"/>
                <w:sz w:val="20"/>
              </w:rPr>
              <w:t> </w:t>
            </w:r>
            <w:r>
              <w:rPr>
                <w:rFonts w:ascii="Arial;sans-serif" w:hAnsi="Arial;sans-serif"/>
                <w:b w:val="false"/>
                <w:sz w:val="20"/>
              </w:rPr>
              <w:t>No effect</w:t>
            </w:r>
          </w:p>
        </w:tc>
        <w:tc>
          <w:tcPr>
            <w:tcW w:w="191"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0"/>
              <w:ind w:left="0" w:right="0" w:hanging="0"/>
              <w:jc w:val="both"/>
              <w:rPr/>
            </w:pPr>
            <w:r>
              <w:rPr/>
              <w:t> </w:t>
            </w:r>
          </w:p>
        </w:tc>
        <w:tc>
          <w:tcPr>
            <w:tcW w:w="9707" w:type="dxa"/>
            <w:tcBorders/>
            <w:vAlign w:val="center"/>
          </w:tcPr>
          <w:p>
            <w:pPr>
              <w:pStyle w:val="TableContents"/>
              <w:bidi w:val="0"/>
              <w:spacing w:before="0" w:after="0"/>
              <w:ind w:left="0" w:right="0" w:hanging="0"/>
              <w:jc w:val="both"/>
              <w:rPr/>
            </w:pPr>
            <w:r>
              <w:rPr/>
              <w:t> </w:t>
            </w:r>
          </w:p>
        </w:tc>
        <w:tc>
          <w:tcPr>
            <w:tcW w:w="191" w:type="dxa"/>
            <w:tcBorders/>
            <w:vAlign w:val="center"/>
          </w:tcPr>
          <w:p>
            <w:pPr>
              <w:pStyle w:val="TableContents"/>
              <w:bidi w:val="0"/>
              <w:spacing w:before="0" w:after="0"/>
              <w:ind w:left="0" w:right="0" w:hanging="0"/>
              <w:jc w:val="both"/>
              <w:rPr/>
            </w:pPr>
            <w:r>
              <w:rPr/>
              <w:t> </w:t>
            </w:r>
          </w:p>
        </w:tc>
      </w:tr>
    </w:tbl>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Arial;sans-serif" w:hAnsi="Arial;sans-serif"/>
          <w:b/>
          <w:i/>
          <w:sz w:val="20"/>
        </w:rPr>
        <w:t>RESOLVED:</w:t>
      </w:r>
      <w:r>
        <w:rPr>
          <w:rFonts w:ascii="Times New Roman" w:hAnsi="Times New Roman"/>
          <w:sz w:val="20"/>
        </w:rPr>
        <w:t xml:space="preserve"> </w:t>
      </w:r>
      <w:r>
        <w:rPr>
          <w:rFonts w:ascii="Arial;sans-serif" w:hAnsi="Arial;sans-serif"/>
          <w:b w:val="false"/>
          <w:i/>
          <w:sz w:val="20"/>
        </w:rPr>
        <w:t>Shareholders direct the Smith &amp; Wesson Brands, Inc. (Smith &amp; Wesson) board of directors to oversee an independent third-party Human Rights Impact Assessment which assesses and produces recommendations for improving the human rights impacts of its policies, practices, and products, above and beyond legal and regulatory matters. Input from stakeholders, including human rights organizations, employees, and customers, should be considered in determining the specific matters to be assessed. A report on the assessment, prepared at reasonable cost and omitting confidential/proprietary information, should be published on the company’s website by August 1, 2024.</w:t>
      </w:r>
    </w:p>
    <w:p>
      <w:pPr>
        <w:pStyle w:val="TextBody"/>
        <w:bidi w:val="0"/>
        <w:spacing w:before="0" w:after="0"/>
        <w:jc w:val="left"/>
        <w:rPr/>
      </w:pPr>
      <w:r>
        <w:rPr/>
        <w:t> </w:t>
      </w:r>
    </w:p>
    <w:p>
      <w:pPr>
        <w:pStyle w:val="TextBody"/>
        <w:bidi w:val="0"/>
        <w:spacing w:before="0" w:after="0"/>
        <w:jc w:val="left"/>
        <w:rPr>
          <w:rFonts w:ascii="Arial;sans-serif" w:hAnsi="Arial;sans-serif"/>
          <w:b/>
          <w:i/>
          <w:sz w:val="20"/>
        </w:rPr>
      </w:pPr>
      <w:r>
        <w:rPr>
          <w:rFonts w:ascii="Arial;sans-serif" w:hAnsi="Arial;sans-serif"/>
          <w:b/>
          <w:i/>
          <w:sz w:val="20"/>
        </w:rPr>
        <w:t>WHEREAS:</w:t>
      </w:r>
    </w:p>
    <w:p>
      <w:pPr>
        <w:pStyle w:val="TextBody"/>
        <w:bidi w:val="0"/>
        <w:spacing w:before="0" w:after="0"/>
        <w:jc w:val="left"/>
        <w:rPr>
          <w:rFonts w:ascii="Times New Roman" w:hAnsi="Times New Roman"/>
          <w:sz w:val="20"/>
        </w:rPr>
      </w:pPr>
      <w:r>
        <w:rPr>
          <w:rFonts w:ascii="Arial;sans-serif" w:hAnsi="Arial;sans-serif"/>
          <w:b w:val="false"/>
          <w:i/>
          <w:sz w:val="20"/>
        </w:rPr>
        <w:t>The UN Guiding Principles on Business and Human Rights (UNGPs)</w:t>
      </w:r>
      <w:r>
        <w:rPr>
          <w:rFonts w:ascii="Arial;sans-serif" w:hAnsi="Arial;sans-serif"/>
          <w:b w:val="false"/>
          <w:i/>
          <w:sz w:val="15"/>
        </w:rPr>
        <w:t>3</w:t>
      </w:r>
      <w:r>
        <w:rPr>
          <w:rFonts w:ascii="Times New Roman" w:hAnsi="Times New Roman"/>
          <w:sz w:val="20"/>
        </w:rPr>
        <w:t xml:space="preserve"> </w:t>
      </w:r>
      <w:r>
        <w:rPr>
          <w:rFonts w:ascii="Arial;sans-serif" w:hAnsi="Arial;sans-serif"/>
          <w:b w:val="false"/>
          <w:i/>
          <w:sz w:val="20"/>
        </w:rPr>
        <w:t>state that companies have a responsibility to respect human rights within their operations and throughout their value chains. This responsibility necessitates that companies know their human rights risks and impacts; take concrete steps to prevent, mitigate, and remediate adverse impacts when they occur; and publicly communicate how they are addressing their most severe impacts on people connected with their business.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i/>
          <w:sz w:val="20"/>
        </w:rPr>
        <w:t>The inherent lethality of firearms exposes all gun makers to elevated human rights risks. Smith &amp; Wesson admits that “reducing the harm caused by the unlawful or improper use of any product, including firearms, is an issue of legitimate public concernand that to the extent that we can take effective steps to mitigate harmwe might enhance the rights of lawful gun owners.”</w:t>
      </w:r>
      <w:r>
        <w:rPr>
          <w:rFonts w:ascii="Arial;sans-serif" w:hAnsi="Arial;sans-serif"/>
          <w:b w:val="false"/>
          <w:i/>
          <w:sz w:val="15"/>
        </w:rPr>
        <w:t>4</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i/>
          <w:sz w:val="20"/>
        </w:rPr>
        <w:t>In fact, this is a pervasive and uniquely American problem. According to the Centers for Disease Control and Prevention, there were over 48,830 deaths from firearms in 2021,</w:t>
      </w:r>
      <w:r>
        <w:rPr>
          <w:rFonts w:ascii="Arial;sans-serif" w:hAnsi="Arial;sans-serif"/>
          <w:b w:val="false"/>
          <w:i/>
          <w:sz w:val="13"/>
        </w:rPr>
        <w:t>5</w:t>
      </w:r>
      <w:r>
        <w:rPr>
          <w:rFonts w:ascii="Times New Roman" w:hAnsi="Times New Roman"/>
          <w:sz w:val="20"/>
        </w:rPr>
        <w:t xml:space="preserve"> </w:t>
      </w:r>
      <w:r>
        <w:rPr>
          <w:rFonts w:ascii="Arial;sans-serif" w:hAnsi="Arial;sans-serif"/>
          <w:b w:val="false"/>
          <w:i/>
          <w:sz w:val="20"/>
        </w:rPr>
        <w:t>and firearms have become the leading cause of death for children in the U.S., surpassing all other causes in 2022.</w:t>
      </w:r>
      <w:r>
        <w:rPr>
          <w:rFonts w:ascii="Arial;sans-serif" w:hAnsi="Arial;sans-serif"/>
          <w:b w:val="false"/>
          <w:i/>
          <w:sz w:val="15"/>
        </w:rPr>
        <w:t>6</w:t>
      </w:r>
      <w:r>
        <w:rPr>
          <w:rFonts w:ascii="Times New Roman" w:hAnsi="Times New Roman"/>
          <w:sz w:val="20"/>
        </w:rPr>
        <w:t xml:space="preserve"> </w:t>
      </w:r>
      <w:r>
        <w:rPr>
          <w:rFonts w:ascii="Arial;sans-serif" w:hAnsi="Arial;sans-serif"/>
          <w:b w:val="false"/>
          <w:i/>
          <w:sz w:val="20"/>
        </w:rPr>
        <w:t>80.7% of all</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11"/>
        </w:rPr>
        <w:t>2</w:t>
      </w:r>
      <w:r>
        <w:rPr>
          <w:rFonts w:ascii="Times New Roman" w:hAnsi="Times New Roman"/>
          <w:sz w:val="20"/>
        </w:rPr>
        <w:t xml:space="preserve"> </w:t>
      </w:r>
      <w:r>
        <w:rPr>
          <w:rFonts w:ascii="Arial;sans-serif" w:hAnsi="Arial;sans-serif"/>
          <w:b w:val="false"/>
          <w:sz w:val="16"/>
        </w:rPr>
        <w:t>Co-filers include: Adrian Dominican Sisters; Bon Secours Mercy Health, Inc.; CommonSpirit Health; the Domestic and Foreign Missionary Society of the Protestant Episcopal Church in the United States of America; Providence St. Joseph Health; the School Sisters of Notre Dame, Central Pacific Province; the Sisters of Bon Secours USA; the Sisters of St. Francis of Philadelphia; the Sisters of the Holy Names of Jesus and Mary and Trinity Health.</w:t>
      </w:r>
    </w:p>
    <w:p>
      <w:pPr>
        <w:pStyle w:val="TextBody"/>
        <w:bidi w:val="0"/>
        <w:spacing w:before="0" w:after="0"/>
        <w:jc w:val="left"/>
        <w:rPr>
          <w:rFonts w:ascii="Times New Roman" w:hAnsi="Times New Roman"/>
          <w:sz w:val="20"/>
        </w:rPr>
      </w:pPr>
      <w:r>
        <w:rPr>
          <w:rFonts w:ascii="Arial;sans-serif" w:hAnsi="Arial;sans-serif"/>
          <w:b w:val="false"/>
          <w:sz w:val="11"/>
        </w:rPr>
        <w:t>3</w:t>
      </w:r>
      <w:r>
        <w:rPr>
          <w:rFonts w:ascii="Times New Roman" w:hAnsi="Times New Roman"/>
          <w:sz w:val="20"/>
        </w:rPr>
        <w:t xml:space="preserve"> </w:t>
      </w:r>
      <w:r>
        <w:rPr>
          <w:rFonts w:ascii="Arial;sans-serif" w:hAnsi="Arial;sans-serif"/>
          <w:b w:val="false"/>
          <w:sz w:val="16"/>
        </w:rPr>
        <w:t>https://www.ohchr.org/documents/publications/GuidingprinciplesBusinesshr_eN.pdf</w:t>
      </w:r>
    </w:p>
    <w:p>
      <w:pPr>
        <w:pStyle w:val="TextBody"/>
        <w:bidi w:val="0"/>
        <w:spacing w:before="0" w:after="0"/>
        <w:jc w:val="left"/>
        <w:rPr>
          <w:rFonts w:ascii="Times New Roman" w:hAnsi="Times New Roman"/>
          <w:sz w:val="20"/>
        </w:rPr>
      </w:pPr>
      <w:r>
        <w:rPr>
          <w:rFonts w:ascii="Arial;sans-serif" w:hAnsi="Arial;sans-serif"/>
          <w:b w:val="false"/>
          <w:sz w:val="11"/>
        </w:rPr>
        <w:t>4</w:t>
      </w:r>
      <w:r>
        <w:rPr>
          <w:rFonts w:ascii="Times New Roman" w:hAnsi="Times New Roman"/>
          <w:sz w:val="20"/>
        </w:rPr>
        <w:t xml:space="preserve"> </w:t>
      </w:r>
      <w:r>
        <w:rPr>
          <w:rFonts w:ascii="Arial;sans-serif" w:hAnsi="Arial;sans-serif"/>
          <w:b w:val="false"/>
          <w:sz w:val="16"/>
        </w:rPr>
        <w:t>https://ir.smith-wesson.com/static-files/a66d1a75-6794-48dc-8e16-9d60e3486220</w:t>
      </w:r>
    </w:p>
    <w:p>
      <w:pPr>
        <w:pStyle w:val="TextBody"/>
        <w:bidi w:val="0"/>
        <w:spacing w:before="0" w:after="0"/>
        <w:jc w:val="left"/>
        <w:rPr>
          <w:rFonts w:ascii="Times New Roman" w:hAnsi="Times New Roman"/>
          <w:sz w:val="20"/>
        </w:rPr>
      </w:pPr>
      <w:r>
        <w:rPr>
          <w:rFonts w:ascii="Arial;sans-serif" w:hAnsi="Arial;sans-serif"/>
          <w:b w:val="false"/>
          <w:sz w:val="11"/>
        </w:rPr>
        <w:t>5</w:t>
      </w:r>
      <w:r>
        <w:rPr>
          <w:rFonts w:ascii="Times New Roman" w:hAnsi="Times New Roman"/>
          <w:sz w:val="20"/>
        </w:rPr>
        <w:t xml:space="preserve"> </w:t>
      </w:r>
      <w:r>
        <w:rPr>
          <w:rFonts w:ascii="Arial;sans-serif" w:hAnsi="Arial;sans-serif"/>
          <w:b w:val="false"/>
          <w:sz w:val="16"/>
        </w:rPr>
        <w:t>https://www.cdc.gov/mmwr/volumes/71/wr/mm7140a4.htm?s_cid=mm7140a4_w#T1_down</w:t>
      </w:r>
    </w:p>
    <w:p>
      <w:pPr>
        <w:pStyle w:val="TextBody"/>
        <w:bidi w:val="0"/>
        <w:spacing w:before="0" w:after="0"/>
        <w:jc w:val="left"/>
        <w:rPr>
          <w:rFonts w:ascii="Times New Roman" w:hAnsi="Times New Roman"/>
          <w:sz w:val="20"/>
        </w:rPr>
      </w:pPr>
      <w:r>
        <w:rPr>
          <w:rFonts w:ascii="Arial;sans-serif" w:hAnsi="Arial;sans-serif"/>
          <w:b w:val="false"/>
          <w:sz w:val="11"/>
        </w:rPr>
        <w:t>6</w:t>
      </w:r>
      <w:r>
        <w:rPr>
          <w:rFonts w:ascii="Times New Roman" w:hAnsi="Times New Roman"/>
          <w:sz w:val="20"/>
        </w:rPr>
        <w:t xml:space="preserve"> </w:t>
      </w:r>
      <w:r>
        <w:rPr>
          <w:rFonts w:ascii="Arial;sans-serif" w:hAnsi="Arial;sans-serif"/>
          <w:b w:val="false"/>
          <w:sz w:val="16"/>
        </w:rPr>
        <w:t>https://www.kff.org/global-health-policy/issue-brief/child-and-teen-firearm-mortality-in-the-u-s-and-peer-countries/</w:t>
      </w:r>
    </w:p>
    <w:p>
      <w:pPr>
        <w:pStyle w:val="TextBody"/>
        <w:bidi w:val="0"/>
        <w:spacing w:before="0" w:after="0"/>
        <w:jc w:val="left"/>
        <w:rPr/>
      </w:pPr>
      <w:r>
        <w:rPr/>
        <w:t> </w:t>
      </w:r>
    </w:p>
    <w:tbl>
      <w:tblPr>
        <w:tblW w:w="3762" w:type="dxa"/>
        <w:jc w:val="left"/>
        <w:tblInd w:w="0" w:type="dxa"/>
        <w:tblLayout w:type="fixed"/>
        <w:tblCellMar>
          <w:top w:w="28" w:type="dxa"/>
          <w:left w:w="28" w:type="dxa"/>
          <w:bottom w:w="28" w:type="dxa"/>
          <w:right w:w="28" w:type="dxa"/>
        </w:tblCellMar>
      </w:tblPr>
      <w:tblGrid>
        <w:gridCol w:w="2266"/>
        <w:gridCol w:w="1496"/>
      </w:tblGrid>
      <w:tr>
        <w:trPr/>
        <w:tc>
          <w:tcPr>
            <w:tcW w:w="226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52</w:t>
            </w:r>
            <w:r>
              <w:rPr>
                <w:rFonts w:ascii="Times New Roman" w:hAnsi="Times New Roman"/>
                <w:sz w:val="18"/>
              </w:rPr>
              <w:t> </w:t>
            </w:r>
            <w:r>
              <w:rPr>
                <w:rFonts w:ascii="Arial;sans-serif" w:hAnsi="Arial;sans-serif"/>
                <w:b w:val="false"/>
                <w:sz w:val="18"/>
              </w:rPr>
              <w:t>I 2023 Proxy Statement</w:t>
            </w:r>
          </w:p>
        </w:tc>
        <w:tc>
          <w:tcPr>
            <w:tcW w:w="1496" w:type="dxa"/>
            <w:tcBorders/>
            <w:vAlign w:val="center"/>
          </w:tcPr>
          <w:p>
            <w:pPr>
              <w:pStyle w:val="TableContents"/>
              <w:bidi w:val="0"/>
              <w:spacing w:before="0" w:after="0"/>
              <w:ind w:left="0" w:right="0" w:hanging="0"/>
              <w:jc w:val="right"/>
              <w:rPr/>
            </w:pPr>
            <w:r>
              <w:rPr/>
              <w:drawing>
                <wp:inline distT="0" distB="0" distL="0" distR="0">
                  <wp:extent cx="828675" cy="190500"/>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828675" cy="190500"/>
                          </a:xfrm>
                          <a:prstGeom prst="rect">
                            <a:avLst/>
                          </a:prstGeom>
                        </pic:spPr>
                      </pic:pic>
                    </a:graphicData>
                  </a:graphic>
                </wp:inline>
              </w:drawing>
            </w: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Arial;sans-serif" w:hAnsi="Arial;sans-serif"/>
          <w:b w:val="false"/>
          <w:sz w:val="20"/>
          <w:u w:val="single"/>
        </w:rPr>
      </w:pPr>
      <w:r>
        <w:rPr>
          <w:rFonts w:ascii="Arial;sans-serif" w:hAnsi="Arial;sans-serif"/>
          <w:b w:val="false"/>
          <w:sz w:val="20"/>
          <w:u w:val="single"/>
        </w:rPr>
        <w:t>Stockholder Proposals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i/>
          <w:sz w:val="20"/>
        </w:rPr>
        <w:t>homicides and 54.8% of all suicides in 2021 involved firearms and Americans were killed by guns at the highest rate in 30 years.</w:t>
      </w:r>
      <w:r>
        <w:rPr>
          <w:rFonts w:ascii="Arial;sans-serif" w:hAnsi="Arial;sans-serif"/>
          <w:b w:val="false"/>
          <w:i/>
          <w:sz w:val="15"/>
        </w:rPr>
        <w:t>7</w:t>
      </w:r>
      <w:r>
        <w:rPr>
          <w:rFonts w:ascii="Times New Roman" w:hAnsi="Times New Roman"/>
          <w:sz w:val="20"/>
        </w:rPr>
        <w:t xml:space="preserve"> </w:t>
      </w:r>
      <w:r>
        <w:rPr>
          <w:rFonts w:ascii="Arial;sans-serif" w:hAnsi="Arial;sans-serif"/>
          <w:b w:val="false"/>
          <w:i/>
          <w:sz w:val="20"/>
        </w:rPr>
        <w:t>A 2022 study from the University of Chicago Harris Public Policy and NORC Center for Public Affairs Research found that 75% believe “gun violence is a major problem in the United States,” and about “4 in 10 Americans believe that it is at least somewhat likely that they will become a victim of gun violence within the next five years.”</w:t>
      </w:r>
      <w:r>
        <w:rPr>
          <w:rFonts w:ascii="Arial;sans-serif" w:hAnsi="Arial;sans-serif"/>
          <w:b w:val="false"/>
          <w:i/>
          <w:sz w:val="13"/>
        </w:rPr>
        <w:t>8</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i/>
          <w:sz w:val="20"/>
        </w:rPr>
        <w:t>In 2019, in response to a shareholder proposal that achieved majority support, Smith &amp; Wesson published a report on its measures to address gun safety.</w:t>
      </w:r>
      <w:r>
        <w:rPr>
          <w:rFonts w:ascii="Arial;sans-serif" w:hAnsi="Arial;sans-serif"/>
          <w:b w:val="false"/>
          <w:i/>
          <w:sz w:val="13"/>
        </w:rPr>
        <w:t>9</w:t>
      </w:r>
      <w:r>
        <w:rPr>
          <w:rFonts w:ascii="Times New Roman" w:hAnsi="Times New Roman"/>
          <w:sz w:val="20"/>
        </w:rPr>
        <w:t xml:space="preserve"> </w:t>
      </w:r>
      <w:r>
        <w:rPr>
          <w:rFonts w:ascii="Arial;sans-serif" w:hAnsi="Arial;sans-serif"/>
          <w:b w:val="false"/>
          <w:i/>
          <w:sz w:val="20"/>
        </w:rPr>
        <w:t>It should be noted that this report failed to put forward meaningful solutions to address gun violence, nor did the report assess or address the company’s human rights risks.</w:t>
      </w:r>
    </w:p>
    <w:p>
      <w:pPr>
        <w:pStyle w:val="TextBody"/>
        <w:bidi w:val="0"/>
        <w:spacing w:before="0" w:after="0"/>
        <w:jc w:val="left"/>
        <w:rPr/>
      </w:pPr>
      <w:r>
        <w:rPr/>
        <w:t> </w:t>
      </w:r>
    </w:p>
    <w:p>
      <w:pPr>
        <w:pStyle w:val="TextBody"/>
        <w:bidi w:val="0"/>
        <w:spacing w:before="0" w:after="0"/>
        <w:jc w:val="left"/>
        <w:rPr>
          <w:rFonts w:ascii="Arial;sans-serif" w:hAnsi="Arial;sans-serif"/>
          <w:b w:val="false"/>
          <w:i/>
          <w:sz w:val="20"/>
        </w:rPr>
      </w:pPr>
      <w:r>
        <w:rPr>
          <w:rFonts w:ascii="Arial;sans-serif" w:hAnsi="Arial;sans-serif"/>
          <w:b w:val="false"/>
          <w:i/>
          <w:sz w:val="20"/>
        </w:rPr>
        <w:t>Human rights risks have direct implications for shareholder value and, depending on whether and how they are managed, can be a bellwether for a company’s long-term viability. A company’s efforts to demonstrate that its policies and practices reflect internationally accepted human rights standards can lead to successful and sustainable business planning, and improved relations with customers, workers, communities, investors, and business partners.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sz w:val="20"/>
        </w:rPr>
        <w:t>The Board’s Opposition Statement</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After carefully considering the proposal, the Board has concluded that it is not in the best interests of the Company and its stockholders.</w:t>
      </w:r>
    </w:p>
    <w:p>
      <w:pPr>
        <w:pStyle w:val="TextBody"/>
        <w:bidi w:val="0"/>
        <w:spacing w:before="0" w:after="0"/>
        <w:jc w:val="left"/>
        <w:rPr>
          <w:rFonts w:ascii="Arial;sans-serif" w:hAnsi="Arial;sans-serif"/>
          <w:b/>
          <w:sz w:val="20"/>
        </w:rPr>
      </w:pPr>
      <w:r>
        <w:rPr>
          <w:rFonts w:ascii="Arial;sans-serif" w:hAnsi="Arial;sans-serif"/>
          <w:b/>
          <w:sz w:val="20"/>
        </w:rPr>
        <w:t>Summary of Our Position</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 xml:space="preserve">For the </w:t>
      </w:r>
      <w:r>
        <w:rPr>
          <w:rFonts w:ascii="Arial;sans-serif" w:hAnsi="Arial;sans-serif"/>
          <w:b w:val="false"/>
          <w:i/>
          <w:sz w:val="20"/>
        </w:rPr>
        <w:t>fifth year in a row</w:t>
      </w:r>
      <w:r>
        <w:rPr>
          <w:rFonts w:ascii="Arial;sans-serif" w:hAnsi="Arial;sans-serif"/>
          <w:b w:val="false"/>
          <w:sz w:val="20"/>
        </w:rPr>
        <w:t xml:space="preserve">, the proponent seeks to impose on the Company and its stockholders substantial international obligations rooted in the United Nations Guiding Principles on Business and Human Rights (the </w:t>
      </w:r>
      <w:r>
        <w:rPr>
          <w:rFonts w:ascii="Times New Roman" w:hAnsi="Times New Roman"/>
          <w:sz w:val="20"/>
        </w:rPr>
        <w:t>“</w:t>
      </w:r>
      <w:r>
        <w:rPr>
          <w:rFonts w:ascii="Arial;sans-serif" w:hAnsi="Arial;sans-serif"/>
          <w:b w:val="false"/>
          <w:sz w:val="20"/>
        </w:rPr>
        <w:t xml:space="preserve">UNGP”). Our stockholders have repeatedly rejected similar efforts in the past because of legitimate concerns about exposing us (and their investments in us) to “human rights costs” estimated at </w:t>
      </w:r>
      <w:r>
        <w:rPr>
          <w:rFonts w:ascii="Arial;sans-serif" w:hAnsi="Arial;sans-serif"/>
          <w:b/>
          <w:sz w:val="20"/>
        </w:rPr>
        <w:t>$557 billion</w:t>
      </w:r>
      <w:r>
        <w:rPr>
          <w:rFonts w:ascii="Times New Roman" w:hAnsi="Times New Roman"/>
          <w:sz w:val="20"/>
        </w:rPr>
        <w:t xml:space="preserve"> </w:t>
      </w:r>
      <w:r>
        <w:rPr>
          <w:rFonts w:ascii="Arial;sans-serif" w:hAnsi="Arial;sans-serif"/>
          <w:b w:val="false"/>
          <w:sz w:val="20"/>
        </w:rPr>
        <w:t>per year.</w:t>
      </w:r>
      <w:r>
        <w:rPr>
          <w:rFonts w:ascii="Arial;sans-serif" w:hAnsi="Arial;sans-serif"/>
          <w:b w:val="false"/>
          <w:sz w:val="13"/>
        </w:rPr>
        <w:t xml:space="preserve">10 </w:t>
      </w:r>
      <w:r>
        <w:rPr>
          <w:rFonts w:ascii="Arial;sans-serif" w:hAnsi="Arial;sans-serif"/>
          <w:b w:val="false"/>
          <w:sz w:val="20"/>
        </w:rPr>
        <w:t>Although this time the proponent presents its position as seeking a third-party human rights impact assessment (“HRIA”), the issue remains the same – the proponent seeks to impose the UNGP precisely because it would require us to reduce our lawful product offerings and accept a framework for assessing broad societal harms created by human rights groups.</w:t>
      </w:r>
    </w:p>
    <w:p>
      <w:pPr>
        <w:pStyle w:val="TextBody"/>
        <w:bidi w:val="0"/>
        <w:spacing w:before="0" w:after="0"/>
        <w:jc w:val="both"/>
        <w:rPr/>
      </w:pPr>
      <w:r>
        <w:rPr/>
        <w:t> </w:t>
      </w:r>
    </w:p>
    <w:p>
      <w:pPr>
        <w:pStyle w:val="TextBody"/>
        <w:bidi w:val="0"/>
        <w:spacing w:before="0" w:after="0"/>
        <w:jc w:val="both"/>
        <w:rPr>
          <w:rFonts w:ascii="Arial;sans-serif" w:hAnsi="Arial;sans-serif"/>
          <w:b w:val="false"/>
          <w:sz w:val="20"/>
        </w:rPr>
      </w:pPr>
      <w:r>
        <w:rPr>
          <w:rFonts w:ascii="Arial;sans-serif" w:hAnsi="Arial;sans-serif"/>
          <w:b w:val="false"/>
          <w:sz w:val="20"/>
        </w:rPr>
        <w:t>It is no secret that people are deeply divided on the issue of private firearm ownership. Indeed, the debate over gun rights is a classic public policy argument that has generated passionate discussion. The proponent now proposes transferring the power to decide how we navigate these complex issues from stockholders to a third-party with no stake in the Company, one who presumably is more amenable to the proponent’s policy views.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Recent U.S. Supreme Court decisions have addressed the debate over the Second Amendment in favor of the utility of firearms in preserving liberty and promoting self-defense. Many individuals and gun control activists disagree. Some, including the proponent, even want to ban entire classes of commonly-owned firearms</w:t>
      </w:r>
      <w:r>
        <w:rPr>
          <w:rFonts w:ascii="Arial;sans-serif" w:hAnsi="Arial;sans-serif"/>
          <w:b w:val="false"/>
          <w:sz w:val="13"/>
        </w:rPr>
        <w:t xml:space="preserve">11 </w:t>
      </w:r>
      <w:r>
        <w:rPr>
          <w:rFonts w:ascii="Arial;sans-serif" w:hAnsi="Arial;sans-serif"/>
          <w:b w:val="false"/>
          <w:sz w:val="20"/>
        </w:rPr>
        <w:t>or abolish firearms altogether. Gabriel Giffords has made clear her desired outcome – “[g]uns, guns, guns. No more guns. Gone.”</w:t>
      </w:r>
      <w:r>
        <w:rPr>
          <w:rFonts w:ascii="Arial;sans-serif" w:hAnsi="Arial;sans-serif"/>
          <w:b w:val="false"/>
          <w:sz w:val="13"/>
        </w:rPr>
        <w:t>12</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11"/>
        </w:rPr>
        <w:t>7</w:t>
      </w:r>
      <w:r>
        <w:rPr>
          <w:rFonts w:ascii="Times New Roman" w:hAnsi="Times New Roman"/>
          <w:sz w:val="20"/>
        </w:rPr>
        <w:t xml:space="preserve"> </w:t>
      </w:r>
      <w:r>
        <w:rPr>
          <w:rFonts w:ascii="Arial;sans-serif" w:hAnsi="Arial;sans-serif"/>
          <w:b w:val="false"/>
          <w:sz w:val="16"/>
        </w:rPr>
        <w:t>https://time.com/6220410/gun-firearm-homicide-suicide-us-2021/</w:t>
      </w:r>
    </w:p>
    <w:p>
      <w:pPr>
        <w:pStyle w:val="TextBody"/>
        <w:bidi w:val="0"/>
        <w:spacing w:before="0" w:after="0"/>
        <w:jc w:val="left"/>
        <w:rPr>
          <w:rFonts w:ascii="Times New Roman" w:hAnsi="Times New Roman"/>
          <w:sz w:val="20"/>
        </w:rPr>
      </w:pPr>
      <w:r>
        <w:rPr>
          <w:rFonts w:ascii="Arial;sans-serif" w:hAnsi="Arial;sans-serif"/>
          <w:b w:val="false"/>
          <w:sz w:val="11"/>
        </w:rPr>
        <w:t>8</w:t>
      </w:r>
      <w:r>
        <w:rPr>
          <w:rFonts w:ascii="Times New Roman" w:hAnsi="Times New Roman"/>
          <w:sz w:val="20"/>
        </w:rPr>
        <w:t xml:space="preserve"> </w:t>
      </w:r>
      <w:r>
        <w:rPr>
          <w:rFonts w:ascii="Arial;sans-serif" w:hAnsi="Arial;sans-serif"/>
          <w:b w:val="false"/>
          <w:sz w:val="16"/>
        </w:rPr>
        <w:t>https://harris.uchicago.edu/files/uchicago_harris_ap_norc_poll_report_final.pdf</w:t>
      </w:r>
    </w:p>
    <w:p>
      <w:pPr>
        <w:pStyle w:val="TextBody"/>
        <w:bidi w:val="0"/>
        <w:spacing w:before="0" w:after="0"/>
        <w:jc w:val="left"/>
        <w:rPr>
          <w:rFonts w:ascii="Times New Roman" w:hAnsi="Times New Roman"/>
          <w:sz w:val="20"/>
        </w:rPr>
      </w:pPr>
      <w:r>
        <w:rPr>
          <w:rFonts w:ascii="Arial;sans-serif" w:hAnsi="Arial;sans-serif"/>
          <w:b w:val="false"/>
          <w:sz w:val="11"/>
        </w:rPr>
        <w:t>9</w:t>
      </w:r>
      <w:r>
        <w:rPr>
          <w:rFonts w:ascii="Times New Roman" w:hAnsi="Times New Roman"/>
          <w:sz w:val="20"/>
        </w:rPr>
        <w:t xml:space="preserve"> </w:t>
      </w:r>
      <w:r>
        <w:rPr>
          <w:rFonts w:ascii="Arial;sans-serif" w:hAnsi="Arial;sans-serif"/>
          <w:b w:val="false"/>
          <w:sz w:val="16"/>
        </w:rPr>
        <w:t>https://www.sec.gov/Archives/edgar/data/1092796/000119312519032245/d704097dex991.htm</w:t>
      </w:r>
    </w:p>
    <w:p>
      <w:pPr>
        <w:pStyle w:val="TextBody"/>
        <w:bidi w:val="0"/>
        <w:spacing w:before="0" w:after="0"/>
        <w:jc w:val="left"/>
        <w:rPr>
          <w:rFonts w:ascii="Times New Roman" w:hAnsi="Times New Roman"/>
          <w:sz w:val="20"/>
        </w:rPr>
      </w:pPr>
      <w:r>
        <w:rPr>
          <w:rFonts w:ascii="Arial;sans-serif" w:hAnsi="Arial;sans-serif"/>
          <w:b w:val="false"/>
          <w:sz w:val="11"/>
        </w:rPr>
        <w:t>10</w:t>
      </w:r>
      <w:r>
        <w:rPr>
          <w:rFonts w:ascii="Times New Roman" w:hAnsi="Times New Roman"/>
          <w:sz w:val="20"/>
        </w:rPr>
        <w:t xml:space="preserve"> </w:t>
      </w:r>
      <w:r>
        <w:rPr>
          <w:rFonts w:ascii="Arial;sans-serif" w:hAnsi="Arial;sans-serif"/>
          <w:b w:val="false"/>
          <w:sz w:val="16"/>
        </w:rPr>
        <w:t>Everytown, The Economic Cost of Gun Violence (July 19, 2022) (suggesting gun violence has an annual economic impact of $557 billion).</w:t>
      </w:r>
    </w:p>
    <w:p>
      <w:pPr>
        <w:pStyle w:val="TextBody"/>
        <w:bidi w:val="0"/>
        <w:spacing w:before="0" w:after="0"/>
        <w:jc w:val="left"/>
        <w:rPr>
          <w:rFonts w:ascii="Times New Roman" w:hAnsi="Times New Roman"/>
          <w:sz w:val="20"/>
        </w:rPr>
      </w:pPr>
      <w:r>
        <w:rPr>
          <w:rFonts w:ascii="Arial;sans-serif" w:hAnsi="Arial;sans-serif"/>
          <w:b w:val="false"/>
          <w:sz w:val="11"/>
        </w:rPr>
        <w:t>11</w:t>
      </w:r>
      <w:r>
        <w:rPr>
          <w:rFonts w:ascii="Times New Roman" w:hAnsi="Times New Roman"/>
          <w:sz w:val="20"/>
        </w:rPr>
        <w:t xml:space="preserve"> </w:t>
      </w:r>
      <w:r>
        <w:rPr>
          <w:rFonts w:ascii="Arial;sans-serif" w:hAnsi="Arial;sans-serif"/>
          <w:b w:val="false"/>
          <w:sz w:val="16"/>
        </w:rPr>
        <w:t xml:space="preserve">Global Sisters Report, </w:t>
      </w:r>
      <w:r>
        <w:rPr>
          <w:rFonts w:ascii="Arial;sans-serif" w:hAnsi="Arial;sans-serif"/>
          <w:b w:val="false"/>
          <w:i/>
          <w:sz w:val="16"/>
        </w:rPr>
        <w:t>Adrian Dominican Sisters Call for Reasonable Gun Laws in Wake of School Shooting in Texas</w:t>
      </w:r>
      <w:r>
        <w:rPr>
          <w:rFonts w:ascii="Times New Roman" w:hAnsi="Times New Roman"/>
          <w:sz w:val="20"/>
        </w:rPr>
        <w:t xml:space="preserve"> </w:t>
      </w:r>
      <w:r>
        <w:rPr>
          <w:rFonts w:ascii="Arial;sans-serif" w:hAnsi="Arial;sans-serif"/>
          <w:b w:val="false"/>
          <w:sz w:val="16"/>
        </w:rPr>
        <w:t>(May 25, 2022).</w:t>
      </w:r>
    </w:p>
    <w:p>
      <w:pPr>
        <w:pStyle w:val="TextBody"/>
        <w:bidi w:val="0"/>
        <w:spacing w:before="0" w:after="0"/>
        <w:jc w:val="left"/>
        <w:rPr>
          <w:rFonts w:ascii="Times New Roman" w:hAnsi="Times New Roman"/>
          <w:sz w:val="20"/>
        </w:rPr>
      </w:pPr>
      <w:r>
        <w:rPr>
          <w:rFonts w:ascii="Arial;sans-serif" w:hAnsi="Arial;sans-serif"/>
          <w:b w:val="false"/>
          <w:sz w:val="11"/>
        </w:rPr>
        <w:t>12</w:t>
      </w:r>
      <w:r>
        <w:rPr>
          <w:rFonts w:ascii="Times New Roman" w:hAnsi="Times New Roman"/>
          <w:sz w:val="20"/>
        </w:rPr>
        <w:t xml:space="preserve"> </w:t>
      </w:r>
      <w:r>
        <w:rPr>
          <w:rFonts w:ascii="Arial;sans-serif" w:hAnsi="Arial;sans-serif"/>
          <w:b w:val="false"/>
          <w:sz w:val="16"/>
        </w:rPr>
        <w:t xml:space="preserve">Philip Elliott, </w:t>
      </w:r>
      <w:r>
        <w:rPr>
          <w:rFonts w:ascii="Times New Roman" w:hAnsi="Times New Roman"/>
          <w:sz w:val="20"/>
        </w:rPr>
        <w:t>‘</w:t>
      </w:r>
      <w:r>
        <w:rPr>
          <w:rFonts w:ascii="Arial;sans-serif" w:hAnsi="Arial;sans-serif"/>
          <w:b w:val="false"/>
          <w:i/>
          <w:sz w:val="16"/>
        </w:rPr>
        <w:t>No More Guns. Gone’: Why Gabby Giffords Isn’t Giving Up</w:t>
      </w:r>
      <w:r>
        <w:rPr>
          <w:rFonts w:ascii="Arial;sans-serif" w:hAnsi="Arial;sans-serif"/>
          <w:b w:val="false"/>
          <w:sz w:val="16"/>
        </w:rPr>
        <w:t xml:space="preserve">, </w:t>
      </w:r>
      <w:r>
        <w:rPr>
          <w:rFonts w:ascii="Arial;sans-serif" w:hAnsi="Arial;sans-serif"/>
          <w:b w:val="false"/>
          <w:smallCaps/>
          <w:sz w:val="16"/>
        </w:rPr>
        <w:t>Time Mag</w:t>
      </w:r>
      <w:r>
        <w:rPr>
          <w:rFonts w:ascii="Arial;sans-serif" w:hAnsi="Arial;sans-serif"/>
          <w:b w:val="false"/>
          <w:sz w:val="16"/>
        </w:rPr>
        <w:t>. (Apr. 26, 2023).</w:t>
      </w:r>
    </w:p>
    <w:p>
      <w:pPr>
        <w:pStyle w:val="TextBody"/>
        <w:bidi w:val="0"/>
        <w:spacing w:before="0" w:after="0"/>
        <w:jc w:val="both"/>
        <w:rPr/>
      </w:pPr>
      <w:r>
        <w:rPr/>
        <w:t> </w:t>
      </w:r>
    </w:p>
    <w:p>
      <w:pPr>
        <w:pStyle w:val="TextBody"/>
        <w:bidi w:val="0"/>
        <w:spacing w:before="0" w:after="0"/>
        <w:jc w:val="left"/>
        <w:rPr/>
      </w:pPr>
      <w:r>
        <w:rPr/>
        <w:t> </w:t>
      </w:r>
    </w:p>
    <w:tbl>
      <w:tblPr>
        <w:tblW w:w="3762" w:type="dxa"/>
        <w:jc w:val="left"/>
        <w:tblInd w:w="0" w:type="dxa"/>
        <w:tblLayout w:type="fixed"/>
        <w:tblCellMar>
          <w:top w:w="28" w:type="dxa"/>
          <w:left w:w="28" w:type="dxa"/>
          <w:bottom w:w="28" w:type="dxa"/>
          <w:right w:w="28" w:type="dxa"/>
        </w:tblCellMar>
      </w:tblPr>
      <w:tblGrid>
        <w:gridCol w:w="2266"/>
        <w:gridCol w:w="1496"/>
      </w:tblGrid>
      <w:tr>
        <w:trPr/>
        <w:tc>
          <w:tcPr>
            <w:tcW w:w="226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53</w:t>
            </w:r>
            <w:r>
              <w:rPr>
                <w:rFonts w:ascii="Times New Roman" w:hAnsi="Times New Roman"/>
                <w:sz w:val="18"/>
              </w:rPr>
              <w:t> </w:t>
            </w:r>
            <w:r>
              <w:rPr>
                <w:rFonts w:ascii="Arial;sans-serif" w:hAnsi="Arial;sans-serif"/>
                <w:b w:val="false"/>
                <w:sz w:val="18"/>
              </w:rPr>
              <w:t>I 2023 Proxy Statement</w:t>
            </w:r>
          </w:p>
        </w:tc>
        <w:tc>
          <w:tcPr>
            <w:tcW w:w="1496" w:type="dxa"/>
            <w:tcBorders/>
            <w:vAlign w:val="center"/>
          </w:tcPr>
          <w:p>
            <w:pPr>
              <w:pStyle w:val="TableContents"/>
              <w:bidi w:val="0"/>
              <w:spacing w:before="0" w:after="0"/>
              <w:ind w:left="0" w:right="0" w:hanging="0"/>
              <w:jc w:val="right"/>
              <w:rPr/>
            </w:pPr>
            <w:r>
              <w:rPr/>
              <w:drawing>
                <wp:inline distT="0" distB="0" distL="0" distR="0">
                  <wp:extent cx="828675" cy="190500"/>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828675" cy="190500"/>
                          </a:xfrm>
                          <a:prstGeom prst="rect">
                            <a:avLst/>
                          </a:prstGeom>
                        </pic:spPr>
                      </pic:pic>
                    </a:graphicData>
                  </a:graphic>
                </wp:inline>
              </w:drawing>
            </w: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Arial;sans-serif" w:hAnsi="Arial;sans-serif"/>
          <w:b w:val="false"/>
          <w:sz w:val="20"/>
          <w:u w:val="single"/>
        </w:rPr>
      </w:pPr>
      <w:r>
        <w:rPr>
          <w:rFonts w:ascii="Arial;sans-serif" w:hAnsi="Arial;sans-serif"/>
          <w:b w:val="false"/>
          <w:sz w:val="20"/>
          <w:u w:val="single"/>
        </w:rPr>
        <w:t>Stockholder Proposals</w:t>
      </w:r>
    </w:p>
    <w:p>
      <w:pPr>
        <w:pStyle w:val="TextBody"/>
        <w:bidi w:val="0"/>
        <w:spacing w:before="0" w:after="0"/>
        <w:jc w:val="left"/>
        <w:rPr/>
      </w:pPr>
      <w:r>
        <w:rPr/>
        <w:t> </w:t>
      </w:r>
    </w:p>
    <w:p>
      <w:pPr>
        <w:pStyle w:val="TextBody"/>
        <w:bidi w:val="0"/>
        <w:spacing w:before="0" w:after="0"/>
        <w:jc w:val="both"/>
        <w:rPr/>
      </w:pPr>
      <w:r>
        <w:rPr/>
        <w:t> </w:t>
      </w:r>
    </w:p>
    <w:p>
      <w:pPr>
        <w:pStyle w:val="TextBody"/>
        <w:bidi w:val="0"/>
        <w:spacing w:before="0" w:after="0"/>
        <w:jc w:val="both"/>
        <w:rPr>
          <w:rFonts w:ascii="Arial;sans-serif" w:hAnsi="Arial;sans-serif"/>
          <w:b w:val="false"/>
          <w:sz w:val="20"/>
        </w:rPr>
      </w:pPr>
      <w:r>
        <w:rPr>
          <w:rFonts w:ascii="Arial;sans-serif" w:hAnsi="Arial;sans-serif"/>
          <w:b w:val="false"/>
          <w:sz w:val="20"/>
        </w:rPr>
        <w:t>We reject absolutist views as inconsistent with individuals’ fundamental right to provide for their own security. We believe self-defense is a basic human right; gun rights are compatible with human rights because gun rights (particularly when exercised in the personal protection context) may be used to promote human safety; and we (as a firearm manufacturer) have a critical role to play in empowering individuals to exercise this right.</w:t>
      </w:r>
    </w:p>
    <w:p>
      <w:pPr>
        <w:pStyle w:val="TextBody"/>
        <w:bidi w:val="0"/>
        <w:spacing w:before="0" w:after="0"/>
        <w:jc w:val="both"/>
        <w:rPr/>
      </w:pPr>
      <w:r>
        <w:rPr/>
        <w:t> </w:t>
      </w:r>
    </w:p>
    <w:p>
      <w:pPr>
        <w:pStyle w:val="TextBody"/>
        <w:bidi w:val="0"/>
        <w:spacing w:before="0" w:after="0"/>
        <w:jc w:val="both"/>
        <w:rPr>
          <w:rFonts w:ascii="Arial;sans-serif" w:hAnsi="Arial;sans-serif"/>
          <w:b w:val="false"/>
          <w:sz w:val="20"/>
        </w:rPr>
      </w:pPr>
      <w:r>
        <w:rPr>
          <w:rFonts w:ascii="Arial;sans-serif" w:hAnsi="Arial;sans-serif"/>
          <w:b w:val="false"/>
          <w:sz w:val="20"/>
        </w:rPr>
        <w:t>While we respect differing views and welcome discussion on these topics, we reject the proponent’s view that stockholders should relinquish their authority to make these critical decisions to a third party. That is essentially what the proposal demands. But the exercise would be one of expending our resources for no benefit because an HRIA is incapable of resolving differing policy views. Any third party engaged to conduct an HRIA would only satisfy the proponent’s demands if it adopts the proponent’s policy judgment.</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 xml:space="preserve">Accordingly, the Board unanimously recommends a vote </w:t>
      </w:r>
      <w:r>
        <w:rPr>
          <w:rFonts w:ascii="Arial;sans-serif" w:hAnsi="Arial;sans-serif"/>
          <w:b/>
          <w:sz w:val="20"/>
        </w:rPr>
        <w:t xml:space="preserve">AGAINST </w:t>
      </w:r>
      <w:r>
        <w:rPr>
          <w:rFonts w:ascii="Arial;sans-serif" w:hAnsi="Arial;sans-serif"/>
          <w:b w:val="false"/>
          <w:sz w:val="20"/>
        </w:rPr>
        <w:t>the proposal.</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i/>
          <w:sz w:val="20"/>
        </w:rPr>
        <w:t>Years ago, we identified gun control-focused stockholder activism as an inappropriate means for resolving policy arguments.</w:t>
      </w:r>
      <w:r>
        <w:rPr>
          <w:rFonts w:ascii="Times New Roman" w:hAnsi="Times New Roman"/>
          <w:sz w:val="20"/>
        </w:rPr>
        <w:t xml:space="preserve"> </w:t>
      </w:r>
      <w:r>
        <w:rPr>
          <w:rFonts w:ascii="Arial;sans-serif" w:hAnsi="Arial;sans-serif"/>
          <w:b w:val="false"/>
          <w:sz w:val="20"/>
        </w:rPr>
        <w:t xml:space="preserve">In February 2019, we published a </w:t>
      </w:r>
      <w:r>
        <w:rPr>
          <w:rFonts w:ascii="Arial;sans-serif" w:hAnsi="Arial;sans-serif"/>
          <w:b w:val="false"/>
          <w:i/>
          <w:sz w:val="20"/>
        </w:rPr>
        <w:t xml:space="preserve">Shareholder Requested Report on Product Safety Measures and Monitoring Industry Trends </w:t>
      </w:r>
      <w:r>
        <w:rPr>
          <w:rFonts w:ascii="Arial;sans-serif" w:hAnsi="Arial;sans-serif"/>
          <w:b w:val="false"/>
          <w:sz w:val="20"/>
        </w:rPr>
        <w:t>(our “2019 Report”) in response to a stockholder resolution submitted by the same core group of stockholders. Our 2019 Report highlighted the flawed assumptions that “there exists a point when groups fundamentally opposed to private gun ownership will accept private gun ownership” and that “[our] reputation among [our] customers for being strong defenders of the Second Amendment is worth risking for a vague goal of improving [our] reputation among non-customers or anti-gun groups.” More than four years later, the disagreements between gun control activists like the proponent and gun rights advocates like us are just as intractable, if not more so.</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One example, in particular, demonstrates how the proposal is hostage to this problem. The proposal provides that the third-party assessor should consult human rights organizations. One of the best known such organizations, Amnesty International, already has concluded that the negative societal impact of firearms is $225 billion.</w:t>
      </w:r>
      <w:r>
        <w:rPr>
          <w:rFonts w:ascii="Arial;sans-serif" w:hAnsi="Arial;sans-serif"/>
          <w:b w:val="false"/>
          <w:sz w:val="13"/>
        </w:rPr>
        <w:t xml:space="preserve">13 </w:t>
      </w:r>
      <w:r>
        <w:rPr>
          <w:rFonts w:ascii="Arial;sans-serif" w:hAnsi="Arial;sans-serif"/>
          <w:b w:val="false"/>
          <w:sz w:val="20"/>
        </w:rPr>
        <w:t>No amount of “due diligence” will convince the proponent and other activists that their conclusions on the need for firearm bans and ownership restrictions are flawed.</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i/>
          <w:sz w:val="20"/>
        </w:rPr>
        <w:t>Our focus on stockholder engagement and continuous improvement in our approach to ESG issues is an effective risk management approach – even more so today.</w:t>
      </w:r>
      <w:r>
        <w:rPr>
          <w:rFonts w:ascii="Times New Roman" w:hAnsi="Times New Roman"/>
          <w:sz w:val="20"/>
        </w:rPr>
        <w:t xml:space="preserve"> </w:t>
      </w:r>
      <w:r>
        <w:rPr>
          <w:rFonts w:ascii="Arial;sans-serif" w:hAnsi="Arial;sans-serif"/>
          <w:b w:val="false"/>
          <w:sz w:val="20"/>
        </w:rPr>
        <w:t>Underlying the proposal is an unstated assumption that a third party is needed to supplant the judgment of a board of directors that has not given sufficient attention to these issues. That is simply wrong. We maintain a robust stockholder engagement program</w:t>
      </w:r>
      <w:r>
        <w:rPr>
          <w:rFonts w:ascii="Arial;sans-serif" w:hAnsi="Arial;sans-serif"/>
          <w:b w:val="false"/>
          <w:sz w:val="13"/>
        </w:rPr>
        <w:t>14</w:t>
      </w:r>
      <w:r>
        <w:rPr>
          <w:rFonts w:ascii="Times New Roman" w:hAnsi="Times New Roman"/>
          <w:sz w:val="20"/>
        </w:rPr>
        <w:t xml:space="preserve"> </w:t>
      </w:r>
      <w:r>
        <w:rPr>
          <w:rFonts w:ascii="Arial;sans-serif" w:hAnsi="Arial;sans-serif"/>
          <w:b w:val="false"/>
          <w:sz w:val="20"/>
        </w:rPr>
        <w:t>and have taken meaningful action in response to investor concerns.</w:t>
      </w:r>
      <w:r>
        <w:rPr>
          <w:rFonts w:ascii="Arial;sans-serif" w:hAnsi="Arial;sans-serif"/>
          <w:b w:val="false"/>
          <w:sz w:val="13"/>
        </w:rPr>
        <w:t>15</w:t>
      </w:r>
      <w:r>
        <w:rPr>
          <w:rFonts w:ascii="Times New Roman" w:hAnsi="Times New Roman"/>
          <w:sz w:val="20"/>
        </w:rPr>
        <w:t xml:space="preserve"> </w:t>
      </w:r>
      <w:r>
        <w:rPr>
          <w:rFonts w:ascii="Arial;sans-serif" w:hAnsi="Arial;sans-serif"/>
          <w:b w:val="false"/>
          <w:sz w:val="20"/>
        </w:rPr>
        <w:t>Our approach provides an effective risk management framework without creating the risk of extra-legal liabilities associated with the proposal and its fixation on the UNGP.</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11"/>
        </w:rPr>
        <w:t>13</w:t>
      </w:r>
      <w:r>
        <w:rPr>
          <w:rFonts w:ascii="Times New Roman" w:hAnsi="Times New Roman"/>
          <w:sz w:val="20"/>
        </w:rPr>
        <w:t xml:space="preserve"> </w:t>
      </w:r>
      <w:r>
        <w:rPr>
          <w:rFonts w:ascii="Arial;sans-serif" w:hAnsi="Arial;sans-serif"/>
          <w:b w:val="false"/>
          <w:i/>
          <w:sz w:val="16"/>
        </w:rPr>
        <w:t>See</w:t>
      </w:r>
      <w:r>
        <w:rPr>
          <w:rFonts w:ascii="Arial;sans-serif" w:hAnsi="Arial;sans-serif"/>
          <w:b w:val="false"/>
          <w:sz w:val="16"/>
        </w:rPr>
        <w:t xml:space="preserve">, Amnesty International, </w:t>
      </w:r>
      <w:r>
        <w:rPr>
          <w:rFonts w:ascii="Arial;sans-serif" w:hAnsi="Arial;sans-serif"/>
          <w:b w:val="false"/>
          <w:i/>
          <w:sz w:val="16"/>
        </w:rPr>
        <w:t>In the Line of Fire – Human Rights and The US Gun Violence Crisis</w:t>
      </w:r>
      <w:r>
        <w:rPr>
          <w:rFonts w:ascii="Times New Roman" w:hAnsi="Times New Roman"/>
          <w:sz w:val="20"/>
        </w:rPr>
        <w:t xml:space="preserve"> </w:t>
      </w:r>
      <w:r>
        <w:rPr>
          <w:rFonts w:ascii="Arial;sans-serif" w:hAnsi="Arial;sans-serif"/>
          <w:b w:val="false"/>
          <w:sz w:val="16"/>
        </w:rPr>
        <w:t>(2018) (suggesting that the direct costs of gun violence are over $3 billion a year and indirect costs are up to $222 billion).</w:t>
      </w:r>
    </w:p>
    <w:p>
      <w:pPr>
        <w:pStyle w:val="TextBody"/>
        <w:bidi w:val="0"/>
        <w:spacing w:before="0" w:after="0"/>
        <w:jc w:val="left"/>
        <w:rPr>
          <w:rFonts w:ascii="Times New Roman" w:hAnsi="Times New Roman"/>
          <w:sz w:val="20"/>
        </w:rPr>
      </w:pPr>
      <w:r>
        <w:rPr>
          <w:rFonts w:ascii="Arial;sans-serif" w:hAnsi="Arial;sans-serif"/>
          <w:b w:val="false"/>
          <w:sz w:val="11"/>
        </w:rPr>
        <w:t>14</w:t>
      </w:r>
      <w:r>
        <w:rPr>
          <w:rFonts w:ascii="Times New Roman" w:hAnsi="Times New Roman"/>
          <w:sz w:val="20"/>
        </w:rPr>
        <w:t xml:space="preserve"> </w:t>
      </w:r>
      <w:r>
        <w:rPr>
          <w:rFonts w:ascii="Arial;sans-serif" w:hAnsi="Arial;sans-serif"/>
          <w:b w:val="false"/>
          <w:sz w:val="16"/>
        </w:rPr>
        <w:t xml:space="preserve">See “Board and Governance Matters – Board and Committee Governance – Stockholder Engagement.” </w:t>
      </w:r>
      <w:r>
        <w:rPr>
          <w:rFonts w:ascii="Arial;sans-serif" w:hAnsi="Arial;sans-serif"/>
          <w:b/>
          <w:sz w:val="16"/>
          <w:u w:val="single"/>
        </w:rPr>
        <w:t>Notably</w:t>
      </w:r>
      <w:r>
        <w:rPr>
          <w:rFonts w:ascii="Arial;sans-serif" w:hAnsi="Arial;sans-serif"/>
          <w:b w:val="false"/>
          <w:sz w:val="16"/>
        </w:rPr>
        <w:t>, despite meeting with the proponent four times in 2021 and 2022, we first learned of the proponent’s interest in a HRIA when we received the proposal in 2023.</w:t>
      </w:r>
    </w:p>
    <w:p>
      <w:pPr>
        <w:pStyle w:val="TextBody"/>
        <w:bidi w:val="0"/>
        <w:spacing w:before="0" w:after="0"/>
        <w:jc w:val="left"/>
        <w:rPr>
          <w:rFonts w:ascii="Times New Roman" w:hAnsi="Times New Roman"/>
          <w:sz w:val="20"/>
        </w:rPr>
      </w:pPr>
      <w:r>
        <w:rPr>
          <w:rFonts w:ascii="Arial;sans-serif" w:hAnsi="Arial;sans-serif"/>
          <w:b w:val="false"/>
          <w:sz w:val="11"/>
        </w:rPr>
        <w:t>15</w:t>
      </w:r>
      <w:r>
        <w:rPr>
          <w:rFonts w:ascii="Times New Roman" w:hAnsi="Times New Roman"/>
          <w:sz w:val="20"/>
        </w:rPr>
        <w:t xml:space="preserve"> </w:t>
      </w:r>
      <w:r>
        <w:rPr>
          <w:rFonts w:ascii="Arial;sans-serif" w:hAnsi="Arial;sans-serif"/>
          <w:b w:val="false"/>
          <w:sz w:val="16"/>
        </w:rPr>
        <w:t>See Smith &amp; Wesson Brands, Inc., 2022 Proxy Statement (Schedule 14A) (Aug. 3, 2022) at Proposal 5 – Stockholder Proposal (stating “We continue to make meaningful progress on our ESG Journey” and listing meaningful accomplishments).</w:t>
      </w:r>
    </w:p>
    <w:p>
      <w:pPr>
        <w:pStyle w:val="TextBody"/>
        <w:bidi w:val="0"/>
        <w:spacing w:before="0" w:after="0"/>
        <w:jc w:val="both"/>
        <w:rPr/>
      </w:pPr>
      <w:r>
        <w:rPr/>
        <w:t> </w:t>
      </w:r>
    </w:p>
    <w:p>
      <w:pPr>
        <w:pStyle w:val="TextBody"/>
        <w:bidi w:val="0"/>
        <w:spacing w:before="0" w:after="0"/>
        <w:jc w:val="left"/>
        <w:rPr/>
      </w:pPr>
      <w:r>
        <w:rPr/>
        <w:t> </w:t>
      </w:r>
    </w:p>
    <w:tbl>
      <w:tblPr>
        <w:tblW w:w="3762" w:type="dxa"/>
        <w:jc w:val="left"/>
        <w:tblInd w:w="0" w:type="dxa"/>
        <w:tblLayout w:type="fixed"/>
        <w:tblCellMar>
          <w:top w:w="28" w:type="dxa"/>
          <w:left w:w="28" w:type="dxa"/>
          <w:bottom w:w="28" w:type="dxa"/>
          <w:right w:w="28" w:type="dxa"/>
        </w:tblCellMar>
      </w:tblPr>
      <w:tblGrid>
        <w:gridCol w:w="2266"/>
        <w:gridCol w:w="1496"/>
      </w:tblGrid>
      <w:tr>
        <w:trPr/>
        <w:tc>
          <w:tcPr>
            <w:tcW w:w="226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54</w:t>
            </w:r>
            <w:r>
              <w:rPr>
                <w:rFonts w:ascii="Times New Roman" w:hAnsi="Times New Roman"/>
                <w:sz w:val="18"/>
              </w:rPr>
              <w:t> </w:t>
            </w:r>
            <w:r>
              <w:rPr>
                <w:rFonts w:ascii="Arial;sans-serif" w:hAnsi="Arial;sans-serif"/>
                <w:b w:val="false"/>
                <w:sz w:val="18"/>
              </w:rPr>
              <w:t>I 2023 Proxy Statement</w:t>
            </w:r>
          </w:p>
        </w:tc>
        <w:tc>
          <w:tcPr>
            <w:tcW w:w="1496" w:type="dxa"/>
            <w:tcBorders/>
            <w:vAlign w:val="center"/>
          </w:tcPr>
          <w:p>
            <w:pPr>
              <w:pStyle w:val="TableContents"/>
              <w:bidi w:val="0"/>
              <w:spacing w:before="0" w:after="0"/>
              <w:ind w:left="0" w:right="0" w:hanging="0"/>
              <w:jc w:val="right"/>
              <w:rPr/>
            </w:pPr>
            <w:r>
              <w:rPr/>
              <w:drawing>
                <wp:inline distT="0" distB="0" distL="0" distR="0">
                  <wp:extent cx="828675" cy="190500"/>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828675" cy="190500"/>
                          </a:xfrm>
                          <a:prstGeom prst="rect">
                            <a:avLst/>
                          </a:prstGeom>
                        </pic:spPr>
                      </pic:pic>
                    </a:graphicData>
                  </a:graphic>
                </wp:inline>
              </w:drawing>
            </w: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Arial;sans-serif" w:hAnsi="Arial;sans-serif"/>
          <w:b w:val="false"/>
          <w:sz w:val="20"/>
          <w:u w:val="single"/>
        </w:rPr>
      </w:pPr>
      <w:r>
        <w:rPr>
          <w:rFonts w:ascii="Arial;sans-serif" w:hAnsi="Arial;sans-serif"/>
          <w:b w:val="false"/>
          <w:sz w:val="20"/>
          <w:u w:val="single"/>
        </w:rPr>
        <w:t>Stockholder Proposals</w:t>
      </w:r>
    </w:p>
    <w:p>
      <w:pPr>
        <w:pStyle w:val="TextBody"/>
        <w:bidi w:val="0"/>
        <w:spacing w:before="0" w:after="0"/>
        <w:jc w:val="left"/>
        <w:rPr/>
      </w:pPr>
      <w:r>
        <w:rPr/>
        <w:t>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The current debate surrounding ESG illustrates the danger of using the boardroom and third parties to engage in policy debates. The ESG landscape is evolving rapidly, and the push in state legislatures for and against ESG measures has created significant complexities for companies.</w:t>
      </w:r>
      <w:r>
        <w:rPr>
          <w:rFonts w:ascii="Arial;sans-serif" w:hAnsi="Arial;sans-serif"/>
          <w:b w:val="false"/>
          <w:sz w:val="13"/>
        </w:rPr>
        <w:t>16</w:t>
      </w:r>
      <w:r>
        <w:rPr>
          <w:rFonts w:ascii="Times New Roman" w:hAnsi="Times New Roman"/>
          <w:sz w:val="20"/>
        </w:rPr>
        <w:t xml:space="preserve"> </w:t>
      </w:r>
      <w:r>
        <w:rPr>
          <w:rFonts w:ascii="Arial;sans-serif" w:hAnsi="Arial;sans-serif"/>
          <w:b w:val="false"/>
          <w:sz w:val="20"/>
        </w:rPr>
        <w:t>For example, while a bill in California would prohibit financial institutions that do business with firearm manufacturers from doing business with the state, recently enacted laws in other states prohibit certain companies from discriminating against the firearm industry. This volatile environment reinforces the view that the gun rights debate is a public policy argument best resolved by means other than gun control-focused stockholder activism. Indeed, the recent backlash against Anheuser-Busch illustrates the risk companies face when they take controversial positions on ESG issues that fail to respect their customers’ views</w:t>
      </w:r>
      <w:r>
        <w:rPr>
          <w:rFonts w:ascii="Arial;sans-serif" w:hAnsi="Arial;sans-serif"/>
          <w:b w:val="false"/>
          <w:sz w:val="13"/>
        </w:rPr>
        <w:t>17</w:t>
      </w:r>
      <w:r>
        <w:rPr>
          <w:rFonts w:ascii="Times New Roman" w:hAnsi="Times New Roman"/>
          <w:sz w:val="20"/>
        </w:rPr>
        <w:t xml:space="preserve"> </w:t>
      </w:r>
      <w:r>
        <w:rPr>
          <w:rFonts w:ascii="Arial;sans-serif" w:hAnsi="Arial;sans-serif"/>
          <w:b w:val="false"/>
          <w:sz w:val="20"/>
        </w:rPr>
        <w:t>and the recent decision by credit card processors to back away from plans to implement a special code for firearm retailers illustrates the real potential for backlashes on ESG issues affecting our industry.</w:t>
      </w:r>
      <w:r>
        <w:rPr>
          <w:rFonts w:ascii="Arial;sans-serif" w:hAnsi="Arial;sans-serif"/>
          <w:b w:val="false"/>
          <w:sz w:val="13"/>
        </w:rPr>
        <w:t>18</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i/>
          <w:sz w:val="20"/>
        </w:rPr>
        <w:t>In addition to being incapable of resolving public policy arguments, HRIAs are deeply flawed.</w:t>
      </w:r>
      <w:r>
        <w:rPr>
          <w:rFonts w:ascii="Times New Roman" w:hAnsi="Times New Roman"/>
          <w:sz w:val="20"/>
        </w:rPr>
        <w:t xml:space="preserve"> </w:t>
      </w:r>
      <w:r>
        <w:rPr>
          <w:rFonts w:ascii="Arial;sans-serif" w:hAnsi="Arial;sans-serif"/>
          <w:b w:val="false"/>
          <w:sz w:val="20"/>
        </w:rPr>
        <w:t>We learned more about HRIAs as part of our review of the proposal, including by interviewing firms with experience conducting HRIAs, one of which the proponent recommended. Here is what we learned.</w:t>
      </w:r>
      <w:r>
        <w:rPr>
          <w:rFonts w:ascii="Times New Roman" w:hAnsi="Times New Roman"/>
          <w:sz w:val="20"/>
        </w:rPr>
        <w:t xml:space="preserve"> </w:t>
      </w:r>
    </w:p>
    <w:p>
      <w:pPr>
        <w:pStyle w:val="TextBody"/>
        <w:bidi w:val="0"/>
        <w:spacing w:before="120" w:after="0"/>
        <w:jc w:val="both"/>
        <w:rPr/>
      </w:pPr>
      <w:r>
        <w:rPr/>
        <w:t>•</w:t>
      </w:r>
    </w:p>
    <w:p>
      <w:pPr>
        <w:pStyle w:val="TextBody"/>
        <w:bidi w:val="0"/>
        <w:spacing w:before="120" w:after="283"/>
        <w:jc w:val="both"/>
        <w:rPr/>
      </w:pPr>
      <w:r>
        <w:rPr>
          <w:rFonts w:ascii="Arial;sans-serif" w:hAnsi="Arial;sans-serif"/>
          <w:b w:val="false"/>
          <w:sz w:val="20"/>
        </w:rPr>
        <w:t>HRIA design is extremely flexible, which in practice means the result often is dictated by the views of those conducting the exercise. No doubt, while the proposal refers to an “independent third party,” “independent,” in the proponent’s view, is someone who accepts the proponent’s policy judgment. Indeed, we were alarmed to learn that a representative of a firm we interviewed (which was recommended by the proponent) has posted troubling social media posts, including one expressing offensive views of conservatives. HRIAs are also highly subjective exercises that invite “stakeholder” manipulation. A respected human rights authority refers to HRIAs as “an emerging science. No one knows quite what they are or should be.”</w:t>
      </w:r>
      <w:r>
        <w:rPr>
          <w:rFonts w:ascii="Arial;sans-serif" w:hAnsi="Arial;sans-serif"/>
          <w:b w:val="false"/>
          <w:sz w:val="13"/>
        </w:rPr>
        <w:t xml:space="preserve">19 </w:t>
      </w:r>
      <w:r>
        <w:rPr>
          <w:rFonts w:ascii="Arial;sans-serif" w:hAnsi="Arial;sans-serif"/>
          <w:b w:val="false"/>
          <w:sz w:val="20"/>
        </w:rPr>
        <w:t>Such an experimental process is not the place to resolve contested policy issues.</w:t>
      </w:r>
    </w:p>
    <w:p>
      <w:pPr>
        <w:pStyle w:val="TextBody"/>
        <w:bidi w:val="0"/>
        <w:spacing w:before="120" w:after="0"/>
        <w:jc w:val="both"/>
        <w:rPr/>
      </w:pPr>
      <w:r>
        <w:rPr/>
        <w:t>•</w:t>
      </w:r>
    </w:p>
    <w:p>
      <w:pPr>
        <w:pStyle w:val="TextBody"/>
        <w:bidi w:val="0"/>
        <w:spacing w:before="120" w:after="283"/>
        <w:jc w:val="both"/>
        <w:rPr/>
      </w:pPr>
      <w:r>
        <w:rPr>
          <w:rFonts w:ascii="Arial;sans-serif" w:hAnsi="Arial;sans-serif"/>
          <w:b w:val="false"/>
          <w:sz w:val="20"/>
        </w:rPr>
        <w:t>HRIAs are costly. An example cited by the proponent allegedly cost millions of dollars. It is no wonder that five of six shareholder proposals in 2022 that called for HRIAs were submitted to mega-cap companies that have the financial wherewithal to pay for them.</w:t>
      </w:r>
      <w:r>
        <w:rPr>
          <w:rFonts w:ascii="Arial;sans-serif" w:hAnsi="Arial;sans-serif"/>
          <w:b w:val="false"/>
          <w:sz w:val="13"/>
        </w:rPr>
        <w:t>20</w:t>
      </w:r>
    </w:p>
    <w:p>
      <w:pPr>
        <w:pStyle w:val="TextBody"/>
        <w:bidi w:val="0"/>
        <w:spacing w:before="0" w:after="0"/>
        <w:jc w:val="both"/>
        <w:rPr>
          <w:rFonts w:ascii="Arial;sans-serif" w:hAnsi="Arial;sans-serif"/>
          <w:b w:val="false"/>
          <w:sz w:val="20"/>
        </w:rPr>
      </w:pPr>
      <w:r>
        <w:rPr>
          <w:rFonts w:ascii="Arial;sans-serif" w:hAnsi="Arial;sans-serif"/>
          <w:b w:val="false"/>
          <w:sz w:val="20"/>
        </w:rPr>
        <w:t>We also learned that HRIAs typically focus on discrete issues (e.g., supply chain) or projects (e.g., a specific facility), rather than something as broad and unknowable as a product’s impact on society, as the proposal requires. A representative of a firm we interviewed said she could not imagine how many years it would take to assess the impact of firearms. Finally, we learned that an HRIA conducted pursuant to the proposal would reference only international human rights conventions (e.g., the UNGP). Given that more than 90% of our sales derive from the U.S., a country whose laws are recognized as upholding human rights, these international conventions would provide little added benefit while creating significant conflict not only with the U.S. Constitution but also the substantial body of federal and state law specifically applicable to our business.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Not only are HRIAs not fit for purpose, they are also deeply flawed. It would be irresponsible to substitute the informed judgment of the Board and our management for that of a third party.</w:t>
      </w:r>
      <w:r>
        <w:rPr>
          <w:rFonts w:ascii="Arial;sans-serif" w:hAnsi="Arial;sans-serif"/>
          <w:b w:val="false"/>
          <w:sz w:val="13"/>
        </w:rPr>
        <w:t>21</w:t>
      </w:r>
    </w:p>
    <w:p>
      <w:pPr>
        <w:pStyle w:val="TextBody"/>
        <w:bidi w:val="0"/>
        <w:spacing w:before="0" w:after="0"/>
        <w:jc w:val="both"/>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11"/>
        </w:rPr>
        <w:t>16</w:t>
      </w:r>
      <w:r>
        <w:rPr>
          <w:rFonts w:ascii="Times New Roman" w:hAnsi="Times New Roman"/>
          <w:sz w:val="20"/>
        </w:rPr>
        <w:t xml:space="preserve"> </w:t>
      </w:r>
      <w:r>
        <w:rPr>
          <w:rFonts w:ascii="Arial;sans-serif" w:hAnsi="Arial;sans-serif"/>
          <w:b w:val="false"/>
          <w:sz w:val="16"/>
        </w:rPr>
        <w:t xml:space="preserve">See Wachtell, Lipton, Rosen &amp; Katz, </w:t>
      </w:r>
      <w:r>
        <w:rPr>
          <w:rFonts w:ascii="Arial;sans-serif" w:hAnsi="Arial;sans-serif"/>
          <w:b w:val="false"/>
          <w:i/>
          <w:sz w:val="16"/>
        </w:rPr>
        <w:t>Navigating the Current ESG Landscape: Recommendations for the Board and Management</w:t>
      </w:r>
      <w:r>
        <w:rPr>
          <w:rFonts w:ascii="Times New Roman" w:hAnsi="Times New Roman"/>
          <w:sz w:val="20"/>
        </w:rPr>
        <w:t xml:space="preserve"> </w:t>
      </w:r>
      <w:r>
        <w:rPr>
          <w:rFonts w:ascii="Arial;sans-serif" w:hAnsi="Arial;sans-serif"/>
          <w:b w:val="false"/>
          <w:sz w:val="16"/>
        </w:rPr>
        <w:t>(May 22, 2023) (noting “ ESG has emerged as a domestic political battleground with businesses and their leadership increasingly caught in the crossfire.”).</w:t>
      </w:r>
    </w:p>
    <w:p>
      <w:pPr>
        <w:pStyle w:val="TextBody"/>
        <w:bidi w:val="0"/>
        <w:spacing w:before="0" w:after="0"/>
        <w:jc w:val="left"/>
        <w:rPr>
          <w:rFonts w:ascii="Times New Roman" w:hAnsi="Times New Roman"/>
          <w:sz w:val="20"/>
        </w:rPr>
      </w:pPr>
      <w:r>
        <w:rPr>
          <w:rFonts w:ascii="Arial;sans-serif" w:hAnsi="Arial;sans-serif"/>
          <w:b w:val="false"/>
          <w:sz w:val="11"/>
        </w:rPr>
        <w:t>17</w:t>
      </w:r>
      <w:r>
        <w:rPr>
          <w:rFonts w:ascii="Times New Roman" w:hAnsi="Times New Roman"/>
          <w:sz w:val="20"/>
        </w:rPr>
        <w:t xml:space="preserve"> </w:t>
      </w:r>
      <w:r>
        <w:rPr>
          <w:rFonts w:ascii="Arial;sans-serif" w:hAnsi="Arial;sans-serif"/>
          <w:b w:val="false"/>
          <w:i/>
          <w:sz w:val="16"/>
        </w:rPr>
        <w:t xml:space="preserve">See </w:t>
      </w:r>
      <w:r>
        <w:rPr>
          <w:rFonts w:ascii="Arial;sans-serif" w:hAnsi="Arial;sans-serif"/>
          <w:b w:val="false"/>
          <w:sz w:val="16"/>
        </w:rPr>
        <w:t xml:space="preserve">Jennifer Maloney, </w:t>
      </w:r>
      <w:r>
        <w:rPr>
          <w:rFonts w:ascii="Arial;sans-serif" w:hAnsi="Arial;sans-serif"/>
          <w:b w:val="false"/>
          <w:i/>
          <w:sz w:val="16"/>
        </w:rPr>
        <w:t>How Bud Light Blew It</w:t>
      </w:r>
      <w:r>
        <w:rPr>
          <w:rFonts w:ascii="Arial;sans-serif" w:hAnsi="Arial;sans-serif"/>
          <w:b w:val="false"/>
          <w:sz w:val="16"/>
        </w:rPr>
        <w:t xml:space="preserve">, </w:t>
      </w:r>
      <w:r>
        <w:rPr>
          <w:rFonts w:ascii="Arial;sans-serif" w:hAnsi="Arial;sans-serif"/>
          <w:b w:val="false"/>
          <w:smallCaps/>
          <w:sz w:val="16"/>
        </w:rPr>
        <w:t>Wall St. J.</w:t>
      </w:r>
      <w:r>
        <w:rPr>
          <w:rFonts w:ascii="Arial;sans-serif" w:hAnsi="Arial;sans-serif"/>
          <w:b w:val="false"/>
          <w:sz w:val="16"/>
        </w:rPr>
        <w:t>(May 21, 2023) (stating a politically inspired product boycott is causing a 28% drop year-over-year in sales volume).</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Arial;sans-serif" w:hAnsi="Arial;sans-serif"/>
          <w:b w:val="false"/>
          <w:sz w:val="11"/>
        </w:rPr>
        <w:t>18</w:t>
      </w:r>
      <w:r>
        <w:rPr>
          <w:rFonts w:ascii="Times New Roman" w:hAnsi="Times New Roman"/>
          <w:sz w:val="20"/>
        </w:rPr>
        <w:t xml:space="preserve"> </w:t>
      </w:r>
      <w:r>
        <w:rPr>
          <w:rFonts w:ascii="Arial;sans-serif" w:hAnsi="Arial;sans-serif"/>
          <w:b w:val="false"/>
          <w:i/>
          <w:sz w:val="16"/>
        </w:rPr>
        <w:t>See</w:t>
      </w:r>
      <w:r>
        <w:rPr>
          <w:rFonts w:ascii="Times New Roman" w:hAnsi="Times New Roman"/>
          <w:sz w:val="20"/>
        </w:rPr>
        <w:t xml:space="preserve"> </w:t>
      </w:r>
      <w:r>
        <w:rPr>
          <w:rFonts w:ascii="Arial;sans-serif" w:hAnsi="Arial;sans-serif"/>
          <w:b w:val="false"/>
          <w:sz w:val="16"/>
        </w:rPr>
        <w:t xml:space="preserve">Jake Fogleman, </w:t>
      </w:r>
      <w:r>
        <w:rPr>
          <w:rFonts w:ascii="Arial;sans-serif" w:hAnsi="Arial;sans-serif"/>
          <w:b w:val="false"/>
          <w:i/>
          <w:sz w:val="16"/>
        </w:rPr>
        <w:t>Visa, Mastercard, and Discover ‘Pause’ Plans for New Gun Store Code</w:t>
      </w:r>
      <w:r>
        <w:rPr>
          <w:rFonts w:ascii="Arial;sans-serif" w:hAnsi="Arial;sans-serif"/>
          <w:b w:val="false"/>
          <w:sz w:val="16"/>
        </w:rPr>
        <w:t xml:space="preserve">, </w:t>
      </w:r>
      <w:r>
        <w:rPr>
          <w:rFonts w:ascii="Arial;sans-serif" w:hAnsi="Arial;sans-serif"/>
          <w:b w:val="false"/>
          <w:smallCaps/>
          <w:sz w:val="16"/>
        </w:rPr>
        <w:t xml:space="preserve">The Reload </w:t>
      </w:r>
      <w:r>
        <w:rPr>
          <w:rFonts w:ascii="Arial;sans-serif" w:hAnsi="Arial;sans-serif"/>
          <w:b w:val="false"/>
          <w:sz w:val="16"/>
        </w:rPr>
        <w:t>(March 9, 2023) (quoting a Visa spokesperson saying “Multiple U.S. states are considering legislation to prohibit or restrict the use of the new merchant category code  There is now significant confusion and legal uncertainty in the payments ecosystem, and the state actions disrupt the intent of the global standards.”).</w:t>
      </w:r>
    </w:p>
    <w:p>
      <w:pPr>
        <w:pStyle w:val="TextBody"/>
        <w:bidi w:val="0"/>
        <w:spacing w:before="0" w:after="0"/>
        <w:jc w:val="left"/>
        <w:rPr>
          <w:rFonts w:ascii="Times New Roman" w:hAnsi="Times New Roman"/>
          <w:sz w:val="20"/>
        </w:rPr>
      </w:pPr>
      <w:r>
        <w:rPr>
          <w:rFonts w:ascii="Arial;sans-serif" w:hAnsi="Arial;sans-serif"/>
          <w:b w:val="false"/>
          <w:sz w:val="11"/>
        </w:rPr>
        <w:t>19</w:t>
      </w:r>
      <w:r>
        <w:rPr>
          <w:rFonts w:ascii="Times New Roman" w:hAnsi="Times New Roman"/>
          <w:sz w:val="20"/>
        </w:rPr>
        <w:t xml:space="preserve"> </w:t>
      </w:r>
      <w:r>
        <w:rPr>
          <w:rFonts w:ascii="Arial;sans-serif" w:hAnsi="Arial;sans-serif"/>
          <w:b w:val="false"/>
          <w:sz w:val="16"/>
        </w:rPr>
        <w:t>Allan Lerberg Jorgensen, the Director of Human Rights and Business at the Danish Institute for Human Rights.</w:t>
      </w:r>
    </w:p>
    <w:p>
      <w:pPr>
        <w:pStyle w:val="TextBody"/>
        <w:bidi w:val="0"/>
        <w:spacing w:before="0" w:after="0"/>
        <w:jc w:val="left"/>
        <w:rPr>
          <w:rFonts w:ascii="Times New Roman" w:hAnsi="Times New Roman"/>
          <w:sz w:val="20"/>
        </w:rPr>
      </w:pPr>
      <w:r>
        <w:rPr>
          <w:rFonts w:ascii="Arial;sans-serif" w:hAnsi="Arial;sans-serif"/>
          <w:b w:val="false"/>
          <w:sz w:val="11"/>
        </w:rPr>
        <w:t>20</w:t>
      </w:r>
      <w:r>
        <w:rPr>
          <w:rFonts w:ascii="Times New Roman" w:hAnsi="Times New Roman"/>
          <w:sz w:val="20"/>
        </w:rPr>
        <w:t xml:space="preserve"> </w:t>
      </w:r>
      <w:r>
        <w:rPr>
          <w:rFonts w:ascii="Arial;sans-serif" w:hAnsi="Arial;sans-serif"/>
          <w:b w:val="false"/>
          <w:sz w:val="16"/>
        </w:rPr>
        <w:t>Alphabet Inc., Amazon.com, Inc., General Dynamics Corporation, Lockheed Martin Corporation and Meta Platforms, Inc.</w:t>
      </w:r>
    </w:p>
    <w:p>
      <w:pPr>
        <w:pStyle w:val="TextBody"/>
        <w:bidi w:val="0"/>
        <w:spacing w:before="0" w:after="0"/>
        <w:jc w:val="left"/>
        <w:rPr>
          <w:rFonts w:ascii="Times New Roman" w:hAnsi="Times New Roman"/>
          <w:sz w:val="20"/>
        </w:rPr>
      </w:pPr>
      <w:r>
        <w:rPr>
          <w:rFonts w:ascii="Arial;sans-serif" w:hAnsi="Arial;sans-serif"/>
          <w:b w:val="false"/>
          <w:sz w:val="11"/>
        </w:rPr>
        <w:t>21</w:t>
      </w:r>
      <w:r>
        <w:rPr>
          <w:rFonts w:ascii="Times New Roman" w:hAnsi="Times New Roman"/>
          <w:sz w:val="20"/>
        </w:rPr>
        <w:t xml:space="preserve"> </w:t>
      </w:r>
      <w:r>
        <w:rPr>
          <w:rFonts w:ascii="Arial;sans-serif" w:hAnsi="Arial;sans-serif"/>
          <w:b w:val="false"/>
          <w:sz w:val="16"/>
        </w:rPr>
        <w:t xml:space="preserve">Wachtell, Lipton, Rosen &amp; Katz, </w:t>
      </w:r>
      <w:r>
        <w:rPr>
          <w:rFonts w:ascii="Arial;sans-serif" w:hAnsi="Arial;sans-serif"/>
          <w:b w:val="false"/>
          <w:i/>
          <w:sz w:val="16"/>
        </w:rPr>
        <w:t>supra note</w:t>
      </w:r>
      <w:r>
        <w:rPr>
          <w:rFonts w:ascii="Times New Roman" w:hAnsi="Times New Roman"/>
          <w:sz w:val="20"/>
        </w:rPr>
        <w:t xml:space="preserve"> </w:t>
      </w:r>
      <w:r>
        <w:rPr>
          <w:rFonts w:ascii="Arial;sans-serif" w:hAnsi="Arial;sans-serif"/>
          <w:b w:val="false"/>
          <w:sz w:val="16"/>
        </w:rPr>
        <w:t>16 (noting that “The politicization of ESG not only serves to underscore the importance of remaining attuned to the perspectives of different stakeholders but also recognizing that such perspectives, however forceful, are not substitutes for the informed judgment of the board and management.”).</w:t>
      </w:r>
      <w:r>
        <w:rPr>
          <w:rFonts w:ascii="Times New Roman" w:hAnsi="Times New Roman"/>
          <w:sz w:val="20"/>
        </w:rPr>
        <w:t xml:space="preserve"> </w:t>
      </w:r>
    </w:p>
    <w:p>
      <w:pPr>
        <w:pStyle w:val="TextBody"/>
        <w:bidi w:val="0"/>
        <w:spacing w:before="0" w:after="0"/>
        <w:jc w:val="left"/>
        <w:rPr/>
      </w:pPr>
      <w:r>
        <w:rPr/>
        <w:t> </w:t>
      </w:r>
    </w:p>
    <w:tbl>
      <w:tblPr>
        <w:tblW w:w="3762" w:type="dxa"/>
        <w:jc w:val="left"/>
        <w:tblInd w:w="0" w:type="dxa"/>
        <w:tblLayout w:type="fixed"/>
        <w:tblCellMar>
          <w:top w:w="28" w:type="dxa"/>
          <w:left w:w="28" w:type="dxa"/>
          <w:bottom w:w="28" w:type="dxa"/>
          <w:right w:w="28" w:type="dxa"/>
        </w:tblCellMar>
      </w:tblPr>
      <w:tblGrid>
        <w:gridCol w:w="2266"/>
        <w:gridCol w:w="1496"/>
      </w:tblGrid>
      <w:tr>
        <w:trPr/>
        <w:tc>
          <w:tcPr>
            <w:tcW w:w="226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55</w:t>
            </w:r>
            <w:r>
              <w:rPr>
                <w:rFonts w:ascii="Times New Roman" w:hAnsi="Times New Roman"/>
                <w:sz w:val="18"/>
              </w:rPr>
              <w:t> </w:t>
            </w:r>
            <w:r>
              <w:rPr>
                <w:rFonts w:ascii="Arial;sans-serif" w:hAnsi="Arial;sans-serif"/>
                <w:b w:val="false"/>
                <w:sz w:val="18"/>
              </w:rPr>
              <w:t>I 2023 Proxy Statement</w:t>
            </w:r>
          </w:p>
        </w:tc>
        <w:tc>
          <w:tcPr>
            <w:tcW w:w="1496" w:type="dxa"/>
            <w:tcBorders/>
            <w:vAlign w:val="center"/>
          </w:tcPr>
          <w:p>
            <w:pPr>
              <w:pStyle w:val="TableContents"/>
              <w:bidi w:val="0"/>
              <w:spacing w:before="0" w:after="0"/>
              <w:ind w:left="0" w:right="0" w:hanging="0"/>
              <w:jc w:val="right"/>
              <w:rPr/>
            </w:pPr>
            <w:r>
              <w:rPr/>
              <w:drawing>
                <wp:inline distT="0" distB="0" distL="0" distR="0">
                  <wp:extent cx="828675" cy="190500"/>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828675" cy="190500"/>
                          </a:xfrm>
                          <a:prstGeom prst="rect">
                            <a:avLst/>
                          </a:prstGeom>
                        </pic:spPr>
                      </pic:pic>
                    </a:graphicData>
                  </a:graphic>
                </wp:inline>
              </w:drawing>
            </w: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Arial;sans-serif" w:hAnsi="Arial;sans-serif"/>
          <w:b w:val="false"/>
          <w:sz w:val="20"/>
          <w:u w:val="single"/>
        </w:rPr>
      </w:pPr>
      <w:r>
        <w:rPr>
          <w:rFonts w:ascii="Arial;sans-serif" w:hAnsi="Arial;sans-serif"/>
          <w:b w:val="false"/>
          <w:sz w:val="20"/>
          <w:u w:val="single"/>
        </w:rPr>
        <w:t>Stockholder Proposals</w:t>
      </w:r>
    </w:p>
    <w:p>
      <w:pPr>
        <w:pStyle w:val="TextBody"/>
        <w:bidi w:val="0"/>
        <w:spacing w:before="0" w:after="0"/>
        <w:jc w:val="left"/>
        <w:rPr/>
      </w:pPr>
      <w:r>
        <w:rPr/>
        <w:t>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i/>
          <w:sz w:val="20"/>
        </w:rPr>
        <w:t>After failing for four consecutive years to impose the costly and dangerous UNGP on the Company and its stockholders through adoption of a human rights policy, the proposal seeks to achieve the same outcome by different means.</w:t>
      </w:r>
      <w:r>
        <w:rPr>
          <w:rFonts w:ascii="Times New Roman" w:hAnsi="Times New Roman"/>
          <w:sz w:val="20"/>
        </w:rPr>
        <w:t xml:space="preserve"> </w:t>
      </w:r>
      <w:r>
        <w:rPr>
          <w:rFonts w:ascii="Arial;sans-serif" w:hAnsi="Arial;sans-serif"/>
          <w:b w:val="false"/>
          <w:sz w:val="20"/>
        </w:rPr>
        <w:t>During our more than five-year engagement with the proponent, we have addressed the issues raised by the proponent through direct engagement with our stockholders and by seeking to develop clear solutions to identifiable problems followed by meaningful action. Our approach has been guided by the knowledge that we are responsible for safeguarding stockholder value in a highly politicized environment and these safeguards are swept aside by the proponent’s insistence on the singular path of the UNGP, the essence of which is to require companies to “remedy” even “potential” harms as alleged by third-parties that have no financial interest in those companies.</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Arial;sans-serif" w:hAnsi="Arial;sans-serif"/>
          <w:b w:val="false"/>
          <w:sz w:val="20"/>
        </w:rPr>
      </w:pPr>
      <w:r>
        <w:rPr>
          <w:rFonts w:ascii="Arial;sans-serif" w:hAnsi="Arial;sans-serif"/>
          <w:b w:val="false"/>
          <w:sz w:val="20"/>
        </w:rPr>
        <w:t>Our 2019 Report observed that “[c]orporate and securities laws  are increasingly used by special interest groups to advance their political agenda under the guise of advancing corporate governance and addressing corporate ‘reputational risk’” and we expected activists “to continue to propose resolutions designed to achieve their political objectives.” Our warning could not have been more prescient. The intervening years have confirmed that the proposals have, at their core, an objective that would compound the liabilities proponents claim they wish to manage.</w:t>
      </w:r>
    </w:p>
    <w:p>
      <w:pPr>
        <w:pStyle w:val="TextBody"/>
        <w:bidi w:val="0"/>
        <w:spacing w:before="0" w:after="0"/>
        <w:jc w:val="both"/>
        <w:rPr/>
      </w:pPr>
      <w:r>
        <w:rPr/>
        <w:t> </w:t>
      </w:r>
    </w:p>
    <w:p>
      <w:pPr>
        <w:pStyle w:val="TextBody"/>
        <w:bidi w:val="0"/>
        <w:spacing w:before="0" w:after="0"/>
        <w:jc w:val="both"/>
        <w:rPr>
          <w:rFonts w:ascii="Arial;sans-serif" w:hAnsi="Arial;sans-serif"/>
          <w:b/>
          <w:sz w:val="20"/>
        </w:rPr>
      </w:pPr>
      <w:r>
        <w:rPr>
          <w:rFonts w:ascii="Arial;sans-serif" w:hAnsi="Arial;sans-serif"/>
          <w:b/>
          <w:sz w:val="20"/>
        </w:rPr>
        <w:t>Recommendation</w:t>
      </w:r>
    </w:p>
    <w:p>
      <w:pPr>
        <w:pStyle w:val="TextBody"/>
        <w:bidi w:val="0"/>
        <w:spacing w:before="0" w:after="0"/>
        <w:jc w:val="both"/>
        <w:rPr>
          <w:rFonts w:ascii="Arial;sans-serif" w:hAnsi="Arial;sans-serif"/>
          <w:b/>
          <w:i/>
          <w:sz w:val="20"/>
        </w:rPr>
      </w:pPr>
      <w:r>
        <w:rPr>
          <w:rFonts w:ascii="Arial;sans-serif" w:hAnsi="Arial;sans-serif"/>
          <w:b/>
          <w:i/>
          <w:sz w:val="20"/>
        </w:rPr>
        <w:t>For these reasons, and for the reasons explained to our stockholders in detail over the last five years, the Board unanimously recommends a vote AGAINST the adoption of the proposal.</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tbl>
      <w:tblPr>
        <w:tblW w:w="3762" w:type="dxa"/>
        <w:jc w:val="left"/>
        <w:tblInd w:w="0" w:type="dxa"/>
        <w:tblLayout w:type="fixed"/>
        <w:tblCellMar>
          <w:top w:w="28" w:type="dxa"/>
          <w:left w:w="28" w:type="dxa"/>
          <w:bottom w:w="28" w:type="dxa"/>
          <w:right w:w="28" w:type="dxa"/>
        </w:tblCellMar>
      </w:tblPr>
      <w:tblGrid>
        <w:gridCol w:w="2266"/>
        <w:gridCol w:w="1496"/>
      </w:tblGrid>
      <w:tr>
        <w:trPr/>
        <w:tc>
          <w:tcPr>
            <w:tcW w:w="226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56</w:t>
            </w:r>
            <w:r>
              <w:rPr>
                <w:rFonts w:ascii="Times New Roman" w:hAnsi="Times New Roman"/>
                <w:sz w:val="18"/>
              </w:rPr>
              <w:t> </w:t>
            </w:r>
            <w:r>
              <w:rPr>
                <w:rFonts w:ascii="Arial;sans-serif" w:hAnsi="Arial;sans-serif"/>
                <w:b w:val="false"/>
                <w:sz w:val="18"/>
              </w:rPr>
              <w:t>I 2023 Proxy Statement</w:t>
            </w:r>
          </w:p>
        </w:tc>
        <w:tc>
          <w:tcPr>
            <w:tcW w:w="1496" w:type="dxa"/>
            <w:tcBorders/>
            <w:vAlign w:val="center"/>
          </w:tcPr>
          <w:p>
            <w:pPr>
              <w:pStyle w:val="TableContents"/>
              <w:bidi w:val="0"/>
              <w:spacing w:before="0" w:after="0"/>
              <w:ind w:left="0" w:right="0" w:hanging="0"/>
              <w:jc w:val="right"/>
              <w:rPr/>
            </w:pPr>
            <w:r>
              <w:rPr/>
              <w:drawing>
                <wp:inline distT="0" distB="0" distL="0" distR="0">
                  <wp:extent cx="828675" cy="190500"/>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828675" cy="190500"/>
                          </a:xfrm>
                          <a:prstGeom prst="rect">
                            <a:avLst/>
                          </a:prstGeom>
                        </pic:spPr>
                      </pic:pic>
                    </a:graphicData>
                  </a:graphic>
                </wp:inline>
              </w:drawing>
            </w: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Arial;sans-serif" w:hAnsi="Arial;sans-serif"/>
          <w:b/>
          <w:caps/>
          <w:sz w:val="44"/>
        </w:rPr>
      </w:pPr>
      <w:bookmarkStart w:id="17" w:name="or_important_information"/>
      <w:bookmarkEnd w:id="17"/>
      <w:r>
        <w:rPr>
          <w:rFonts w:ascii="Arial;sans-serif" w:hAnsi="Arial;sans-serif"/>
          <w:b/>
          <w:caps/>
          <w:sz w:val="44"/>
        </w:rPr>
        <w:t>OTHER IMPORTANT INFORMATION</w:t>
      </w:r>
    </w:p>
    <w:p>
      <w:pPr>
        <w:pStyle w:val="TextBody"/>
        <w:bidi w:val="0"/>
        <w:spacing w:before="0" w:after="0"/>
        <w:jc w:val="both"/>
        <w:rPr>
          <w:rFonts w:ascii="Arial;sans-serif" w:hAnsi="Arial;sans-serif"/>
          <w:b/>
          <w:sz w:val="28"/>
        </w:rPr>
      </w:pPr>
      <w:bookmarkStart w:id="18" w:name="beneficial_ownership_of_common_stock"/>
      <w:bookmarkEnd w:id="18"/>
      <w:r>
        <w:rPr>
          <w:rFonts w:ascii="Arial;sans-serif" w:hAnsi="Arial;sans-serif"/>
          <w:b/>
          <w:sz w:val="28"/>
        </w:rPr>
        <w:t>BENEFICIAL OWNERSHIP OF COMMON STOCK</w:t>
      </w:r>
    </w:p>
    <w:p>
      <w:pPr>
        <w:pStyle w:val="TextBody"/>
        <w:bidi w:val="0"/>
        <w:spacing w:before="240" w:after="0"/>
        <w:jc w:val="both"/>
        <w:rPr>
          <w:rFonts w:ascii="Arial;sans-serif" w:hAnsi="Arial;sans-serif"/>
          <w:b w:val="false"/>
          <w:sz w:val="20"/>
        </w:rPr>
      </w:pPr>
      <w:r>
        <w:rPr>
          <w:rFonts w:ascii="Arial;sans-serif" w:hAnsi="Arial;sans-serif"/>
          <w:b w:val="false"/>
          <w:sz w:val="20"/>
        </w:rPr>
        <w:t>The following table sets forth certain information regarding the beneficial ownership of outstanding shares of our common stock as of July 28, 2023 by (1) each of our directors, director nominees, and NEOs, (2) all of our directors and executive officers as a group, and (3) each person known by us to own more than 5% of our common stock.</w:t>
      </w:r>
    </w:p>
    <w:p>
      <w:pPr>
        <w:pStyle w:val="TextBody"/>
        <w:bidi w:val="0"/>
        <w:spacing w:before="0" w:after="0"/>
        <w:jc w:val="both"/>
        <w:rPr/>
      </w:pPr>
      <w:r>
        <w:rPr/>
        <w:t> </w:t>
      </w:r>
    </w:p>
    <w:tbl>
      <w:tblPr>
        <w:tblW w:w="7217" w:type="dxa"/>
        <w:jc w:val="left"/>
        <w:tblInd w:w="0" w:type="dxa"/>
        <w:tblLayout w:type="fixed"/>
        <w:tblCellMar>
          <w:top w:w="28" w:type="dxa"/>
          <w:left w:w="28" w:type="dxa"/>
          <w:bottom w:w="28" w:type="dxa"/>
          <w:right w:w="28" w:type="dxa"/>
        </w:tblCellMar>
      </w:tblPr>
      <w:tblGrid>
        <w:gridCol w:w="4441"/>
        <w:gridCol w:w="146"/>
        <w:gridCol w:w="146"/>
        <w:gridCol w:w="826"/>
        <w:gridCol w:w="146"/>
        <w:gridCol w:w="406"/>
        <w:gridCol w:w="1106"/>
      </w:tblGrid>
      <w:tr>
        <w:trPr/>
        <w:tc>
          <w:tcPr>
            <w:tcW w:w="4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4441" w:type="dxa"/>
            <w:tcBorders>
              <w:bottom w:val="single" w:sz="4" w:space="0" w:color="000000"/>
            </w:tcBorders>
            <w:tcMar>
              <w:top w:w="0" w:type="dxa"/>
              <w:left w:w="0" w:type="dxa"/>
              <w:right w:w="0" w:type="dxa"/>
            </w:tcMar>
            <w:vAlign w:val="center"/>
          </w:tcPr>
          <w:p>
            <w:pPr>
              <w:pStyle w:val="TableContents"/>
              <w:bidi w:val="0"/>
              <w:spacing w:before="0" w:after="0"/>
              <w:ind w:left="100" w:right="0" w:hanging="0"/>
              <w:jc w:val="left"/>
              <w:rPr>
                <w:rFonts w:ascii="Arial;sans-serif" w:hAnsi="Arial;sans-serif"/>
                <w:b/>
                <w:sz w:val="16"/>
              </w:rPr>
            </w:pPr>
            <w:r>
              <w:rPr>
                <w:rFonts w:ascii="Arial;sans-serif" w:hAnsi="Arial;sans-serif"/>
                <w:b/>
                <w:sz w:val="16"/>
              </w:rPr>
              <w:t>Name of Beneficial Owner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sz w:val="16"/>
              </w:rPr>
            </w:pPr>
            <w:r>
              <w:rPr>
                <w:rFonts w:ascii="Arial;sans-serif" w:hAnsi="Arial;sans-serif"/>
                <w:b/>
                <w:sz w:val="16"/>
              </w:rPr>
              <w:t>Number of</w:t>
              <w:br/>
              <w:t>shares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4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right"/>
              <w:rPr>
                <w:rFonts w:ascii="Arial;sans-serif" w:hAnsi="Arial;sans-serif"/>
                <w:b/>
                <w:sz w:val="16"/>
              </w:rPr>
            </w:pPr>
            <w:r>
              <w:rPr>
                <w:rFonts w:ascii="Arial;sans-serif" w:hAnsi="Arial;sans-serif"/>
                <w:b/>
                <w:sz w:val="16"/>
              </w:rPr>
              <w:t>Percent (2)</w:t>
            </w:r>
          </w:p>
        </w:tc>
      </w:tr>
      <w:tr>
        <w:trPr/>
        <w:tc>
          <w:tcPr>
            <w:tcW w:w="4441" w:type="dxa"/>
            <w:tcBorders/>
            <w:vAlign w:val="center"/>
          </w:tcPr>
          <w:p>
            <w:pPr>
              <w:pStyle w:val="TableContents"/>
              <w:bidi w:val="0"/>
              <w:spacing w:before="0" w:after="0"/>
              <w:ind w:left="100" w:right="0" w:hanging="0"/>
              <w:jc w:val="left"/>
              <w:rPr>
                <w:rFonts w:ascii="Arial;sans-serif" w:hAnsi="Arial;sans-serif"/>
                <w:b/>
                <w:sz w:val="16"/>
              </w:rPr>
            </w:pPr>
            <w:r>
              <w:rPr>
                <w:rFonts w:ascii="Arial;sans-serif" w:hAnsi="Arial;sans-serif"/>
                <w:b/>
                <w:sz w:val="16"/>
              </w:rPr>
              <w:t>Directors and Executive Officers (including NEOs):</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06" w:type="dxa"/>
            <w:tcBorders/>
            <w:vAlign w:val="center"/>
          </w:tcPr>
          <w:p>
            <w:pPr>
              <w:pStyle w:val="TableContents"/>
              <w:bidi w:val="0"/>
              <w:spacing w:before="0" w:after="0"/>
              <w:ind w:left="0" w:right="0" w:hanging="0"/>
              <w:jc w:val="left"/>
              <w:rPr/>
            </w:pPr>
            <w:r>
              <w:rPr/>
              <w:t> </w:t>
            </w:r>
          </w:p>
        </w:tc>
        <w:tc>
          <w:tcPr>
            <w:tcW w:w="1106" w:type="dxa"/>
            <w:tcBorders/>
            <w:vAlign w:val="center"/>
          </w:tcPr>
          <w:p>
            <w:pPr>
              <w:pStyle w:val="TableContents"/>
              <w:bidi w:val="0"/>
              <w:spacing w:before="0" w:after="0"/>
              <w:ind w:left="0" w:right="0" w:firstLine="100"/>
              <w:jc w:val="right"/>
              <w:rPr/>
            </w:pPr>
            <w:r>
              <w:rPr/>
              <w:t> </w:t>
            </w:r>
          </w:p>
        </w:tc>
      </w:tr>
      <w:tr>
        <w:trPr/>
        <w:tc>
          <w:tcPr>
            <w:tcW w:w="4441" w:type="dxa"/>
            <w:tcBorders/>
            <w:vAlign w:val="center"/>
          </w:tcPr>
          <w:p>
            <w:pPr>
              <w:pStyle w:val="TableContents"/>
              <w:bidi w:val="0"/>
              <w:spacing w:before="0" w:after="0"/>
              <w:ind w:left="100" w:right="0" w:hanging="0"/>
              <w:jc w:val="left"/>
              <w:rPr>
                <w:rFonts w:ascii="Arial;sans-serif" w:hAnsi="Arial;sans-serif"/>
                <w:b w:val="false"/>
                <w:sz w:val="16"/>
              </w:rPr>
            </w:pPr>
            <w:r>
              <w:rPr>
                <w:rFonts w:ascii="Arial;sans-serif" w:hAnsi="Arial;sans-serif"/>
                <w:b w:val="false"/>
                <w:sz w:val="16"/>
              </w:rPr>
              <w:t>Mark P. Smith</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154,015</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(3)</w:t>
            </w:r>
          </w:p>
        </w:tc>
        <w:tc>
          <w:tcPr>
            <w:tcW w:w="1106" w:type="dxa"/>
            <w:tcBorders/>
            <w:vAlign w:val="center"/>
          </w:tcPr>
          <w:p>
            <w:pPr>
              <w:pStyle w:val="TableContents"/>
              <w:bidi w:val="0"/>
              <w:spacing w:before="0" w:after="0"/>
              <w:ind w:left="0" w:right="0" w:firstLine="100"/>
              <w:jc w:val="right"/>
              <w:rPr>
                <w:rFonts w:ascii="Arial;sans-serif" w:hAnsi="Arial;sans-serif"/>
                <w:b w:val="false"/>
                <w:sz w:val="16"/>
              </w:rPr>
            </w:pPr>
            <w:r>
              <w:rPr>
                <w:rFonts w:ascii="Arial;sans-serif" w:hAnsi="Arial;sans-serif"/>
                <w:b w:val="false"/>
                <w:sz w:val="16"/>
              </w:rPr>
              <w:t>*</w:t>
            </w:r>
          </w:p>
        </w:tc>
      </w:tr>
      <w:tr>
        <w:trPr/>
        <w:tc>
          <w:tcPr>
            <w:tcW w:w="4441" w:type="dxa"/>
            <w:tcBorders/>
            <w:vAlign w:val="center"/>
          </w:tcPr>
          <w:p>
            <w:pPr>
              <w:pStyle w:val="TableContents"/>
              <w:bidi w:val="0"/>
              <w:spacing w:before="0" w:after="0"/>
              <w:ind w:left="100" w:right="0" w:hanging="0"/>
              <w:jc w:val="left"/>
              <w:rPr>
                <w:rFonts w:ascii="Arial;sans-serif" w:hAnsi="Arial;sans-serif"/>
                <w:b w:val="false"/>
                <w:sz w:val="16"/>
              </w:rPr>
            </w:pPr>
            <w:r>
              <w:rPr>
                <w:rFonts w:ascii="Arial;sans-serif" w:hAnsi="Arial;sans-serif"/>
                <w:b w:val="false"/>
                <w:sz w:val="16"/>
              </w:rPr>
              <w:t>Deana L. McPherson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44,800</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106" w:type="dxa"/>
            <w:tcBorders/>
            <w:vAlign w:val="center"/>
          </w:tcPr>
          <w:p>
            <w:pPr>
              <w:pStyle w:val="TableContents"/>
              <w:bidi w:val="0"/>
              <w:spacing w:before="0" w:after="0"/>
              <w:ind w:left="0" w:right="0" w:firstLine="100"/>
              <w:jc w:val="right"/>
              <w:rPr>
                <w:rFonts w:ascii="Arial;sans-serif" w:hAnsi="Arial;sans-serif"/>
                <w:b w:val="false"/>
                <w:sz w:val="16"/>
              </w:rPr>
            </w:pPr>
            <w:r>
              <w:rPr>
                <w:rFonts w:ascii="Arial;sans-serif" w:hAnsi="Arial;sans-serif"/>
                <w:b w:val="false"/>
                <w:sz w:val="16"/>
              </w:rPr>
              <w:t>*</w:t>
            </w:r>
          </w:p>
        </w:tc>
      </w:tr>
      <w:tr>
        <w:trPr/>
        <w:tc>
          <w:tcPr>
            <w:tcW w:w="4441" w:type="dxa"/>
            <w:tcBorders/>
            <w:vAlign w:val="center"/>
          </w:tcPr>
          <w:p>
            <w:pPr>
              <w:pStyle w:val="TableContents"/>
              <w:bidi w:val="0"/>
              <w:spacing w:before="0" w:after="0"/>
              <w:ind w:left="100" w:right="0" w:hanging="0"/>
              <w:jc w:val="left"/>
              <w:rPr>
                <w:rFonts w:ascii="Arial;sans-serif" w:hAnsi="Arial;sans-serif"/>
                <w:b w:val="false"/>
                <w:sz w:val="16"/>
              </w:rPr>
            </w:pPr>
            <w:r>
              <w:rPr>
                <w:rFonts w:ascii="Arial;sans-serif" w:hAnsi="Arial;sans-serif"/>
                <w:b w:val="false"/>
                <w:sz w:val="16"/>
              </w:rPr>
              <w:t>Kevin A. Maxwell</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7,966</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106" w:type="dxa"/>
            <w:tcBorders/>
            <w:vAlign w:val="center"/>
          </w:tcPr>
          <w:p>
            <w:pPr>
              <w:pStyle w:val="TableContents"/>
              <w:bidi w:val="0"/>
              <w:spacing w:before="0" w:after="0"/>
              <w:ind w:left="0" w:right="0" w:firstLine="100"/>
              <w:jc w:val="right"/>
              <w:rPr>
                <w:rFonts w:ascii="Arial;sans-serif" w:hAnsi="Arial;sans-serif"/>
                <w:b w:val="false"/>
                <w:sz w:val="16"/>
              </w:rPr>
            </w:pPr>
            <w:r>
              <w:rPr>
                <w:rFonts w:ascii="Arial;sans-serif" w:hAnsi="Arial;sans-serif"/>
                <w:b w:val="false"/>
                <w:sz w:val="16"/>
              </w:rPr>
              <w:t>*</w:t>
            </w:r>
          </w:p>
        </w:tc>
      </w:tr>
      <w:tr>
        <w:trPr/>
        <w:tc>
          <w:tcPr>
            <w:tcW w:w="4441" w:type="dxa"/>
            <w:tcBorders/>
            <w:vAlign w:val="center"/>
          </w:tcPr>
          <w:p>
            <w:pPr>
              <w:pStyle w:val="TableContents"/>
              <w:bidi w:val="0"/>
              <w:spacing w:before="0" w:after="0"/>
              <w:ind w:left="100" w:right="0" w:hanging="0"/>
              <w:jc w:val="left"/>
              <w:rPr>
                <w:rFonts w:ascii="Arial;sans-serif" w:hAnsi="Arial;sans-serif"/>
                <w:b w:val="false"/>
                <w:sz w:val="16"/>
              </w:rPr>
            </w:pPr>
            <w:r>
              <w:rPr>
                <w:rFonts w:ascii="Arial;sans-serif" w:hAnsi="Arial;sans-serif"/>
                <w:b w:val="false"/>
                <w:sz w:val="16"/>
              </w:rPr>
              <w:t>Susan J. Cupero</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20,930</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(4)</w:t>
            </w:r>
          </w:p>
        </w:tc>
        <w:tc>
          <w:tcPr>
            <w:tcW w:w="1106" w:type="dxa"/>
            <w:tcBorders/>
            <w:vAlign w:val="center"/>
          </w:tcPr>
          <w:p>
            <w:pPr>
              <w:pStyle w:val="TableContents"/>
              <w:bidi w:val="0"/>
              <w:spacing w:before="0" w:after="0"/>
              <w:ind w:left="0" w:right="0" w:firstLine="100"/>
              <w:jc w:val="right"/>
              <w:rPr>
                <w:rFonts w:ascii="Arial;sans-serif" w:hAnsi="Arial;sans-serif"/>
                <w:b w:val="false"/>
                <w:sz w:val="16"/>
              </w:rPr>
            </w:pPr>
            <w:r>
              <w:rPr>
                <w:rFonts w:ascii="Arial;sans-serif" w:hAnsi="Arial;sans-serif"/>
                <w:b w:val="false"/>
                <w:sz w:val="16"/>
              </w:rPr>
              <w:t>*</w:t>
            </w:r>
          </w:p>
        </w:tc>
      </w:tr>
      <w:tr>
        <w:trPr/>
        <w:tc>
          <w:tcPr>
            <w:tcW w:w="4441" w:type="dxa"/>
            <w:tcBorders/>
            <w:vAlign w:val="center"/>
          </w:tcPr>
          <w:p>
            <w:pPr>
              <w:pStyle w:val="TableContents"/>
              <w:bidi w:val="0"/>
              <w:spacing w:before="0" w:after="0"/>
              <w:ind w:left="100" w:right="0" w:hanging="0"/>
              <w:jc w:val="left"/>
              <w:rPr>
                <w:rFonts w:ascii="Arial;sans-serif" w:hAnsi="Arial;sans-serif"/>
                <w:b w:val="false"/>
                <w:sz w:val="16"/>
              </w:rPr>
            </w:pPr>
            <w:r>
              <w:rPr>
                <w:rFonts w:ascii="Arial;sans-serif" w:hAnsi="Arial;sans-serif"/>
                <w:b w:val="false"/>
                <w:sz w:val="16"/>
              </w:rPr>
              <w:t>Anita D. Britt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29,640</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(5)</w:t>
            </w:r>
          </w:p>
        </w:tc>
        <w:tc>
          <w:tcPr>
            <w:tcW w:w="1106" w:type="dxa"/>
            <w:tcBorders/>
            <w:vAlign w:val="center"/>
          </w:tcPr>
          <w:p>
            <w:pPr>
              <w:pStyle w:val="TableContents"/>
              <w:bidi w:val="0"/>
              <w:spacing w:before="0" w:after="0"/>
              <w:ind w:left="0" w:right="0" w:firstLine="100"/>
              <w:jc w:val="right"/>
              <w:rPr>
                <w:rFonts w:ascii="Arial;sans-serif" w:hAnsi="Arial;sans-serif"/>
                <w:b w:val="false"/>
                <w:sz w:val="16"/>
              </w:rPr>
            </w:pPr>
            <w:r>
              <w:rPr>
                <w:rFonts w:ascii="Arial;sans-serif" w:hAnsi="Arial;sans-serif"/>
                <w:b w:val="false"/>
                <w:sz w:val="16"/>
              </w:rPr>
              <w:t>*</w:t>
            </w:r>
          </w:p>
        </w:tc>
      </w:tr>
      <w:tr>
        <w:trPr/>
        <w:tc>
          <w:tcPr>
            <w:tcW w:w="4441" w:type="dxa"/>
            <w:tcBorders/>
            <w:vAlign w:val="center"/>
          </w:tcPr>
          <w:p>
            <w:pPr>
              <w:pStyle w:val="TableContents"/>
              <w:bidi w:val="0"/>
              <w:spacing w:before="0" w:after="0"/>
              <w:ind w:left="100" w:right="0" w:hanging="0"/>
              <w:jc w:val="left"/>
              <w:rPr>
                <w:rFonts w:ascii="Arial;sans-serif" w:hAnsi="Arial;sans-serif"/>
                <w:b w:val="false"/>
                <w:sz w:val="16"/>
              </w:rPr>
            </w:pPr>
            <w:r>
              <w:rPr>
                <w:rFonts w:ascii="Arial;sans-serif" w:hAnsi="Arial;sans-serif"/>
                <w:b w:val="false"/>
                <w:sz w:val="16"/>
              </w:rPr>
              <w:t>Fred M. Diaz</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10,226</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(6)</w:t>
            </w:r>
          </w:p>
        </w:tc>
        <w:tc>
          <w:tcPr>
            <w:tcW w:w="1106" w:type="dxa"/>
            <w:tcBorders/>
            <w:vAlign w:val="center"/>
          </w:tcPr>
          <w:p>
            <w:pPr>
              <w:pStyle w:val="TableContents"/>
              <w:bidi w:val="0"/>
              <w:spacing w:before="0" w:after="0"/>
              <w:ind w:left="0" w:right="0" w:firstLine="100"/>
              <w:jc w:val="right"/>
              <w:rPr>
                <w:rFonts w:ascii="Arial;sans-serif" w:hAnsi="Arial;sans-serif"/>
                <w:b w:val="false"/>
                <w:sz w:val="16"/>
              </w:rPr>
            </w:pPr>
            <w:r>
              <w:rPr>
                <w:rFonts w:ascii="Arial;sans-serif" w:hAnsi="Arial;sans-serif"/>
                <w:b w:val="false"/>
                <w:sz w:val="16"/>
              </w:rPr>
              <w:t>*</w:t>
            </w:r>
          </w:p>
        </w:tc>
      </w:tr>
      <w:tr>
        <w:trPr/>
        <w:tc>
          <w:tcPr>
            <w:tcW w:w="4441" w:type="dxa"/>
            <w:tcBorders/>
            <w:vAlign w:val="center"/>
          </w:tcPr>
          <w:p>
            <w:pPr>
              <w:pStyle w:val="TableContents"/>
              <w:bidi w:val="0"/>
              <w:spacing w:before="0" w:after="0"/>
              <w:ind w:left="100" w:right="0" w:hanging="0"/>
              <w:jc w:val="left"/>
              <w:rPr>
                <w:rFonts w:ascii="Arial;sans-serif" w:hAnsi="Arial;sans-serif"/>
                <w:b w:val="false"/>
                <w:sz w:val="16"/>
              </w:rPr>
            </w:pPr>
            <w:r>
              <w:rPr>
                <w:rFonts w:ascii="Arial;sans-serif" w:hAnsi="Arial;sans-serif"/>
                <w:b w:val="false"/>
                <w:sz w:val="16"/>
              </w:rPr>
              <w:t>John B. Furman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37,526</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(7)</w:t>
            </w:r>
          </w:p>
        </w:tc>
        <w:tc>
          <w:tcPr>
            <w:tcW w:w="1106" w:type="dxa"/>
            <w:tcBorders/>
            <w:vAlign w:val="center"/>
          </w:tcPr>
          <w:p>
            <w:pPr>
              <w:pStyle w:val="TableContents"/>
              <w:bidi w:val="0"/>
              <w:spacing w:before="0" w:after="0"/>
              <w:ind w:left="0" w:right="0" w:firstLine="100"/>
              <w:jc w:val="right"/>
              <w:rPr>
                <w:rFonts w:ascii="Arial;sans-serif" w:hAnsi="Arial;sans-serif"/>
                <w:b w:val="false"/>
                <w:sz w:val="16"/>
              </w:rPr>
            </w:pPr>
            <w:r>
              <w:rPr>
                <w:rFonts w:ascii="Arial;sans-serif" w:hAnsi="Arial;sans-serif"/>
                <w:b w:val="false"/>
                <w:sz w:val="16"/>
              </w:rPr>
              <w:t>*</w:t>
            </w:r>
          </w:p>
        </w:tc>
      </w:tr>
      <w:tr>
        <w:trPr/>
        <w:tc>
          <w:tcPr>
            <w:tcW w:w="4441" w:type="dxa"/>
            <w:tcBorders/>
            <w:vAlign w:val="center"/>
          </w:tcPr>
          <w:p>
            <w:pPr>
              <w:pStyle w:val="TableContents"/>
              <w:bidi w:val="0"/>
              <w:spacing w:before="0" w:after="0"/>
              <w:ind w:left="100" w:right="0" w:hanging="0"/>
              <w:jc w:val="left"/>
              <w:rPr>
                <w:rFonts w:ascii="Arial;sans-serif" w:hAnsi="Arial;sans-serif"/>
                <w:b w:val="false"/>
                <w:sz w:val="16"/>
              </w:rPr>
            </w:pPr>
            <w:r>
              <w:rPr>
                <w:rFonts w:ascii="Arial;sans-serif" w:hAnsi="Arial;sans-serif"/>
                <w:b w:val="false"/>
                <w:sz w:val="16"/>
              </w:rPr>
              <w:t>Michelle J. Lohmeier</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(8)</w:t>
            </w:r>
          </w:p>
        </w:tc>
        <w:tc>
          <w:tcPr>
            <w:tcW w:w="1106" w:type="dxa"/>
            <w:tcBorders/>
            <w:vAlign w:val="center"/>
          </w:tcPr>
          <w:p>
            <w:pPr>
              <w:pStyle w:val="TableContents"/>
              <w:bidi w:val="0"/>
              <w:spacing w:before="0" w:after="0"/>
              <w:ind w:left="0" w:right="0" w:firstLine="100"/>
              <w:jc w:val="right"/>
              <w:rPr>
                <w:rFonts w:ascii="Arial;sans-serif" w:hAnsi="Arial;sans-serif"/>
                <w:b w:val="false"/>
                <w:sz w:val="16"/>
              </w:rPr>
            </w:pPr>
            <w:r>
              <w:rPr>
                <w:rFonts w:ascii="Arial;sans-serif" w:hAnsi="Arial;sans-serif"/>
                <w:b w:val="false"/>
                <w:sz w:val="16"/>
              </w:rPr>
              <w:t>*</w:t>
            </w:r>
          </w:p>
        </w:tc>
      </w:tr>
      <w:tr>
        <w:trPr/>
        <w:tc>
          <w:tcPr>
            <w:tcW w:w="4441" w:type="dxa"/>
            <w:tcBorders/>
            <w:vAlign w:val="center"/>
          </w:tcPr>
          <w:p>
            <w:pPr>
              <w:pStyle w:val="TableContents"/>
              <w:bidi w:val="0"/>
              <w:spacing w:before="0" w:after="0"/>
              <w:ind w:left="100" w:right="0" w:hanging="0"/>
              <w:jc w:val="left"/>
              <w:rPr>
                <w:rFonts w:ascii="Arial;sans-serif" w:hAnsi="Arial;sans-serif"/>
                <w:b w:val="false"/>
                <w:sz w:val="16"/>
              </w:rPr>
            </w:pPr>
            <w:r>
              <w:rPr>
                <w:rFonts w:ascii="Arial;sans-serif" w:hAnsi="Arial;sans-serif"/>
                <w:b w:val="false"/>
                <w:sz w:val="16"/>
              </w:rPr>
              <w:t>Barry M. Monheit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78,802</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(9)</w:t>
            </w:r>
          </w:p>
        </w:tc>
        <w:tc>
          <w:tcPr>
            <w:tcW w:w="1106" w:type="dxa"/>
            <w:tcBorders/>
            <w:vAlign w:val="center"/>
          </w:tcPr>
          <w:p>
            <w:pPr>
              <w:pStyle w:val="TableContents"/>
              <w:bidi w:val="0"/>
              <w:spacing w:before="0" w:after="0"/>
              <w:ind w:left="0" w:right="0" w:firstLine="100"/>
              <w:jc w:val="right"/>
              <w:rPr>
                <w:rFonts w:ascii="Arial;sans-serif" w:hAnsi="Arial;sans-serif"/>
                <w:b w:val="false"/>
                <w:sz w:val="16"/>
              </w:rPr>
            </w:pPr>
            <w:r>
              <w:rPr>
                <w:rFonts w:ascii="Arial;sans-serif" w:hAnsi="Arial;sans-serif"/>
                <w:b w:val="false"/>
                <w:sz w:val="16"/>
              </w:rPr>
              <w:t>*</w:t>
            </w:r>
          </w:p>
        </w:tc>
      </w:tr>
      <w:tr>
        <w:trPr/>
        <w:tc>
          <w:tcPr>
            <w:tcW w:w="4441" w:type="dxa"/>
            <w:tcBorders/>
            <w:vAlign w:val="center"/>
          </w:tcPr>
          <w:p>
            <w:pPr>
              <w:pStyle w:val="TableContents"/>
              <w:bidi w:val="0"/>
              <w:spacing w:before="0" w:after="0"/>
              <w:ind w:left="100" w:right="0" w:hanging="0"/>
              <w:jc w:val="left"/>
              <w:rPr>
                <w:rFonts w:ascii="Arial;sans-serif" w:hAnsi="Arial;sans-serif"/>
                <w:b w:val="false"/>
                <w:sz w:val="16"/>
              </w:rPr>
            </w:pPr>
            <w:r>
              <w:rPr>
                <w:rFonts w:ascii="Arial;sans-serif" w:hAnsi="Arial;sans-serif"/>
                <w:b w:val="false"/>
                <w:sz w:val="16"/>
              </w:rPr>
              <w:t>Robert L. Scott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64,002</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(10)</w:t>
            </w:r>
          </w:p>
        </w:tc>
        <w:tc>
          <w:tcPr>
            <w:tcW w:w="1106" w:type="dxa"/>
            <w:tcBorders/>
            <w:vAlign w:val="center"/>
          </w:tcPr>
          <w:p>
            <w:pPr>
              <w:pStyle w:val="TableContents"/>
              <w:bidi w:val="0"/>
              <w:spacing w:before="0" w:after="0"/>
              <w:ind w:left="0" w:right="0" w:firstLine="100"/>
              <w:jc w:val="right"/>
              <w:rPr>
                <w:rFonts w:ascii="Arial;sans-serif" w:hAnsi="Arial;sans-serif"/>
                <w:b w:val="false"/>
                <w:sz w:val="16"/>
              </w:rPr>
            </w:pPr>
            <w:r>
              <w:rPr>
                <w:rFonts w:ascii="Arial;sans-serif" w:hAnsi="Arial;sans-serif"/>
                <w:b w:val="false"/>
                <w:sz w:val="16"/>
              </w:rPr>
              <w:t>*</w:t>
            </w:r>
          </w:p>
        </w:tc>
      </w:tr>
      <w:tr>
        <w:trPr/>
        <w:tc>
          <w:tcPr>
            <w:tcW w:w="4441" w:type="dxa"/>
            <w:tcBorders/>
            <w:vAlign w:val="center"/>
          </w:tcPr>
          <w:p>
            <w:pPr>
              <w:pStyle w:val="TableContents"/>
              <w:bidi w:val="0"/>
              <w:spacing w:before="0" w:after="0"/>
              <w:ind w:left="100" w:right="0" w:hanging="0"/>
              <w:jc w:val="left"/>
              <w:rPr>
                <w:rFonts w:ascii="Arial;sans-serif" w:hAnsi="Arial;sans-serif"/>
                <w:b w:val="false"/>
                <w:sz w:val="16"/>
              </w:rPr>
            </w:pPr>
            <w:r>
              <w:rPr>
                <w:rFonts w:ascii="Arial;sans-serif" w:hAnsi="Arial;sans-serif"/>
                <w:b w:val="false"/>
                <w:sz w:val="16"/>
              </w:rPr>
              <w:t>Denis G. Suggs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9,926</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(11)</w:t>
            </w:r>
          </w:p>
        </w:tc>
        <w:tc>
          <w:tcPr>
            <w:tcW w:w="1106" w:type="dxa"/>
            <w:tcBorders/>
            <w:vAlign w:val="center"/>
          </w:tcPr>
          <w:p>
            <w:pPr>
              <w:pStyle w:val="TableContents"/>
              <w:bidi w:val="0"/>
              <w:spacing w:before="0" w:after="0"/>
              <w:ind w:left="0" w:right="0" w:firstLine="100"/>
              <w:jc w:val="right"/>
              <w:rPr>
                <w:rFonts w:ascii="Arial;sans-serif" w:hAnsi="Arial;sans-serif"/>
                <w:b w:val="false"/>
                <w:sz w:val="16"/>
              </w:rPr>
            </w:pPr>
            <w:r>
              <w:rPr>
                <w:rFonts w:ascii="Arial;sans-serif" w:hAnsi="Arial;sans-serif"/>
                <w:b w:val="false"/>
                <w:sz w:val="16"/>
              </w:rPr>
              <w:t>*</w:t>
            </w:r>
          </w:p>
        </w:tc>
      </w:tr>
      <w:tr>
        <w:trPr/>
        <w:tc>
          <w:tcPr>
            <w:tcW w:w="4441" w:type="dxa"/>
            <w:tcBorders/>
            <w:vAlign w:val="center"/>
          </w:tcPr>
          <w:p>
            <w:pPr>
              <w:pStyle w:val="TableContents"/>
              <w:bidi w:val="0"/>
              <w:spacing w:before="0" w:after="0"/>
              <w:ind w:left="100" w:right="0" w:hanging="0"/>
              <w:jc w:val="left"/>
              <w:rPr>
                <w:rFonts w:ascii="Arial;sans-serif" w:hAnsi="Arial;sans-serif"/>
                <w:b w:val="false"/>
                <w:sz w:val="16"/>
              </w:rPr>
            </w:pPr>
            <w:r>
              <w:rPr>
                <w:rFonts w:ascii="Arial;sans-serif" w:hAnsi="Arial;sans-serif"/>
                <w:b w:val="false"/>
                <w:sz w:val="16"/>
              </w:rPr>
              <w:t>All directors and executive officers as a group (11 persons)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457,833</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(12)</w:t>
            </w:r>
          </w:p>
        </w:tc>
        <w:tc>
          <w:tcPr>
            <w:tcW w:w="1106" w:type="dxa"/>
            <w:tcBorders/>
            <w:vAlign w:val="center"/>
          </w:tcPr>
          <w:p>
            <w:pPr>
              <w:pStyle w:val="TableContents"/>
              <w:bidi w:val="0"/>
              <w:spacing w:before="0" w:after="0"/>
              <w:ind w:left="0" w:right="0" w:firstLine="100"/>
              <w:jc w:val="right"/>
              <w:rPr>
                <w:rFonts w:ascii="Arial;sans-serif" w:hAnsi="Arial;sans-serif"/>
                <w:b w:val="false"/>
                <w:sz w:val="16"/>
              </w:rPr>
            </w:pPr>
            <w:r>
              <w:rPr>
                <w:rFonts w:ascii="Arial;sans-serif" w:hAnsi="Arial;sans-serif"/>
                <w:b w:val="false"/>
                <w:sz w:val="16"/>
              </w:rPr>
              <w:t>[ ]</w:t>
            </w:r>
          </w:p>
        </w:tc>
      </w:tr>
      <w:tr>
        <w:trPr/>
        <w:tc>
          <w:tcPr>
            <w:tcW w:w="4441" w:type="dxa"/>
            <w:tcBorders/>
            <w:vAlign w:val="center"/>
          </w:tcPr>
          <w:p>
            <w:pPr>
              <w:pStyle w:val="TableContents"/>
              <w:bidi w:val="0"/>
              <w:spacing w:before="0" w:after="0"/>
              <w:ind w:left="100" w:right="0" w:hanging="0"/>
              <w:jc w:val="left"/>
              <w:rPr>
                <w:rFonts w:ascii="Arial;sans-serif" w:hAnsi="Arial;sans-serif"/>
                <w:b/>
                <w:sz w:val="16"/>
              </w:rPr>
            </w:pPr>
            <w:r>
              <w:rPr>
                <w:rFonts w:ascii="Arial;sans-serif" w:hAnsi="Arial;sans-serif"/>
                <w:b/>
                <w:sz w:val="16"/>
              </w:rPr>
              <w:t>Other significant stockholders:</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106" w:type="dxa"/>
            <w:tcBorders/>
            <w:vAlign w:val="center"/>
          </w:tcPr>
          <w:p>
            <w:pPr>
              <w:pStyle w:val="TableContents"/>
              <w:bidi w:val="0"/>
              <w:spacing w:before="0" w:after="0"/>
              <w:ind w:left="0" w:right="0" w:firstLine="100"/>
              <w:jc w:val="right"/>
              <w:rPr/>
            </w:pPr>
            <w:r>
              <w:rPr/>
              <w:t> </w:t>
            </w:r>
          </w:p>
        </w:tc>
      </w:tr>
      <w:tr>
        <w:trPr/>
        <w:tc>
          <w:tcPr>
            <w:tcW w:w="4441" w:type="dxa"/>
            <w:tcBorders/>
            <w:vAlign w:val="center"/>
          </w:tcPr>
          <w:p>
            <w:pPr>
              <w:pStyle w:val="TableContents"/>
              <w:bidi w:val="0"/>
              <w:spacing w:before="0" w:after="0"/>
              <w:ind w:left="100" w:right="0" w:hanging="0"/>
              <w:jc w:val="left"/>
              <w:rPr>
                <w:rFonts w:ascii="Arial;sans-serif" w:hAnsi="Arial;sans-serif"/>
                <w:b w:val="false"/>
                <w:sz w:val="16"/>
              </w:rPr>
            </w:pPr>
            <w:r>
              <w:rPr>
                <w:rFonts w:ascii="Arial;sans-serif" w:hAnsi="Arial;sans-serif"/>
                <w:b w:val="false"/>
                <w:sz w:val="16"/>
              </w:rPr>
              <w:t>BlackRock, Inc.</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3,926,393</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(13)</w:t>
            </w:r>
          </w:p>
        </w:tc>
        <w:tc>
          <w:tcPr>
            <w:tcW w:w="1106" w:type="dxa"/>
            <w:tcBorders/>
            <w:vAlign w:val="center"/>
          </w:tcPr>
          <w:p>
            <w:pPr>
              <w:pStyle w:val="TableContents"/>
              <w:bidi w:val="0"/>
              <w:spacing w:before="0" w:after="0"/>
              <w:ind w:left="0" w:right="0" w:firstLine="100"/>
              <w:jc w:val="right"/>
              <w:rPr>
                <w:rFonts w:ascii="Arial;sans-serif" w:hAnsi="Arial;sans-serif"/>
                <w:b w:val="false"/>
                <w:sz w:val="16"/>
              </w:rPr>
            </w:pPr>
            <w:r>
              <w:rPr>
                <w:rFonts w:ascii="Arial;sans-serif" w:hAnsi="Arial;sans-serif"/>
                <w:b w:val="false"/>
                <w:sz w:val="16"/>
              </w:rPr>
              <w:t>[ ]</w:t>
            </w:r>
          </w:p>
        </w:tc>
      </w:tr>
      <w:tr>
        <w:trPr/>
        <w:tc>
          <w:tcPr>
            <w:tcW w:w="4441" w:type="dxa"/>
            <w:tcBorders/>
            <w:vAlign w:val="center"/>
          </w:tcPr>
          <w:p>
            <w:pPr>
              <w:pStyle w:val="TableContents"/>
              <w:bidi w:val="0"/>
              <w:spacing w:before="0" w:after="0"/>
              <w:ind w:left="100" w:right="0" w:hanging="0"/>
              <w:jc w:val="left"/>
              <w:rPr>
                <w:rFonts w:ascii="Arial;sans-serif" w:hAnsi="Arial;sans-serif"/>
                <w:b w:val="false"/>
                <w:sz w:val="16"/>
              </w:rPr>
            </w:pPr>
            <w:r>
              <w:rPr>
                <w:rFonts w:ascii="Arial;sans-serif" w:hAnsi="Arial;sans-serif"/>
                <w:b w:val="false"/>
                <w:sz w:val="16"/>
              </w:rPr>
              <w:t>The Vanguard Group</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3,373,209</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(14)</w:t>
            </w:r>
          </w:p>
        </w:tc>
        <w:tc>
          <w:tcPr>
            <w:tcW w:w="1106" w:type="dxa"/>
            <w:tcBorders/>
            <w:vAlign w:val="center"/>
          </w:tcPr>
          <w:p>
            <w:pPr>
              <w:pStyle w:val="TableContents"/>
              <w:bidi w:val="0"/>
              <w:spacing w:before="0" w:after="0"/>
              <w:ind w:left="0" w:right="0" w:firstLine="100"/>
              <w:jc w:val="right"/>
              <w:rPr>
                <w:rFonts w:ascii="Arial;sans-serif" w:hAnsi="Arial;sans-serif"/>
                <w:b w:val="false"/>
                <w:sz w:val="16"/>
              </w:rPr>
            </w:pPr>
            <w:r>
              <w:rPr>
                <w:rFonts w:ascii="Arial;sans-serif" w:hAnsi="Arial;sans-serif"/>
                <w:b w:val="false"/>
                <w:sz w:val="16"/>
              </w:rPr>
              <w:t>[ ]</w:t>
            </w:r>
          </w:p>
        </w:tc>
      </w:tr>
      <w:tr>
        <w:trPr/>
        <w:tc>
          <w:tcPr>
            <w:tcW w:w="4441" w:type="dxa"/>
            <w:tcBorders/>
            <w:vAlign w:val="center"/>
          </w:tcPr>
          <w:p>
            <w:pPr>
              <w:pStyle w:val="TableContents"/>
              <w:bidi w:val="0"/>
              <w:spacing w:before="0" w:after="0"/>
              <w:ind w:left="100" w:right="0" w:hanging="0"/>
              <w:jc w:val="left"/>
              <w:rPr>
                <w:rFonts w:ascii="Arial;sans-serif" w:hAnsi="Arial;sans-serif"/>
                <w:b w:val="false"/>
                <w:sz w:val="16"/>
              </w:rPr>
            </w:pPr>
            <w:r>
              <w:rPr>
                <w:rFonts w:ascii="Arial;sans-serif" w:hAnsi="Arial;sans-serif"/>
                <w:b w:val="false"/>
                <w:sz w:val="16"/>
              </w:rPr>
              <w:t>Renaissance Technologies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2,511,072</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(15)</w:t>
            </w:r>
          </w:p>
        </w:tc>
        <w:tc>
          <w:tcPr>
            <w:tcW w:w="110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 ]</w:t>
            </w:r>
          </w:p>
        </w:tc>
      </w:tr>
      <w:tr>
        <w:trPr/>
        <w:tc>
          <w:tcPr>
            <w:tcW w:w="44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4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16"/>
        </w:rPr>
        <w:t>* Percentage of ownership of less than one percent.</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Arial" w:hAnsi="Arial"/>
          <w:b w:val="false"/>
          <w:sz w:val="16"/>
        </w:rPr>
      </w:pPr>
      <w:r>
        <w:rPr>
          <w:rFonts w:ascii="Arial" w:hAnsi="Arial"/>
          <w:b w:val="false"/>
          <w:sz w:val="16"/>
        </w:rPr>
        <w:t>(1)</w:t>
      </w:r>
    </w:p>
    <w:p>
      <w:pPr>
        <w:pStyle w:val="TextBody"/>
        <w:bidi w:val="0"/>
        <w:spacing w:before="0" w:after="0"/>
        <w:jc w:val="both"/>
        <w:rPr>
          <w:rFonts w:ascii="Arial;sans-serif" w:hAnsi="Arial;sans-serif"/>
          <w:b w:val="false"/>
          <w:sz w:val="16"/>
        </w:rPr>
      </w:pPr>
      <w:r>
        <w:rPr>
          <w:rFonts w:ascii="Arial;sans-serif" w:hAnsi="Arial;sans-serif"/>
          <w:b w:val="false"/>
          <w:sz w:val="16"/>
        </w:rPr>
        <w:t>Except as otherwise indicated, each person named in the table has the sole voting and investment power with respect to all common stock beneficially owned, subject to applicable community property law. Except as otherwise indicated, each person may be reached as follows: c/o Smith &amp; Wesson Brands, Inc., 2100 Roosevelt Avenue, Springfield, Massachusetts 01104.</w:t>
      </w:r>
    </w:p>
    <w:p>
      <w:pPr>
        <w:pStyle w:val="TextBody"/>
        <w:bidi w:val="0"/>
        <w:spacing w:before="0" w:after="0"/>
        <w:jc w:val="both"/>
        <w:rPr>
          <w:rFonts w:ascii="Arial" w:hAnsi="Arial"/>
          <w:b w:val="false"/>
          <w:sz w:val="16"/>
        </w:rPr>
      </w:pPr>
      <w:r>
        <w:rPr>
          <w:rFonts w:ascii="Arial" w:hAnsi="Arial"/>
          <w:b w:val="false"/>
          <w:sz w:val="16"/>
        </w:rPr>
        <w:t>(2)</w:t>
      </w:r>
    </w:p>
    <w:p>
      <w:pPr>
        <w:pStyle w:val="TextBody"/>
        <w:bidi w:val="0"/>
        <w:spacing w:before="0" w:after="0"/>
        <w:jc w:val="both"/>
        <w:rPr>
          <w:rFonts w:ascii="Arial;sans-serif" w:hAnsi="Arial;sans-serif"/>
          <w:b w:val="false"/>
          <w:sz w:val="16"/>
        </w:rPr>
      </w:pPr>
      <w:r>
        <w:rPr>
          <w:rFonts w:ascii="Arial;sans-serif" w:hAnsi="Arial;sans-serif"/>
          <w:b w:val="false"/>
          <w:sz w:val="16"/>
        </w:rPr>
        <w:t>The number of shares beneficially owned by each person or entity is determined under the rules promulgated by the SEC taking into effect shares underlying RSUs that have or will have vested, but are not deliverable, within 60 days of the record date. Under such rules, beneficial ownership includes any shares as to which the person or entity has sole or shared voting power or investment power. The number of shares shown includes, when applicable, shares owned of record by the identified person’s minor children and spouse and by other related individuals and entities over whose shares such person has custody, voting control, or power of disposition. The percentages shown are calculated based on [ ] shares outstanding on July 28, 2023. The numbers and percentages shown include shares actually owned on July 28, 2023, shares that the identified person or group had the right to acquire within 60 days of such date, and shares underlying RSUs that have or will have vested, but are not deliverable, within 60 days of such date. In calculating the percentage of ownership, all shares that the identified person or group had the right to acquire within 60 days of July 28, 2023 upon the exercise of options or the delivery of RSUs or PSUs and all shares underlying RSUs that have or will have vested, but are not deliverable, within 60 days of the record date are deemed to be outstanding for the purpose of computing the percentage of shares owned by that person or group, but are not deemed to be outstanding for the purpose of computing the percentage of shares stock owned by any other person or group.</w:t>
      </w:r>
    </w:p>
    <w:p>
      <w:pPr>
        <w:pStyle w:val="TextBody"/>
        <w:bidi w:val="0"/>
        <w:spacing w:before="0" w:after="0"/>
        <w:jc w:val="both"/>
        <w:rPr>
          <w:rFonts w:ascii="Arial" w:hAnsi="Arial"/>
          <w:b w:val="false"/>
          <w:sz w:val="16"/>
        </w:rPr>
      </w:pPr>
      <w:r>
        <w:rPr>
          <w:rFonts w:ascii="Arial" w:hAnsi="Arial"/>
          <w:b w:val="false"/>
          <w:sz w:val="16"/>
        </w:rPr>
        <w:t>(3)</w:t>
      </w:r>
    </w:p>
    <w:p>
      <w:pPr>
        <w:pStyle w:val="TextBody"/>
        <w:bidi w:val="0"/>
        <w:spacing w:before="0" w:after="0"/>
        <w:jc w:val="both"/>
        <w:rPr>
          <w:rFonts w:ascii="Arial;sans-serif" w:hAnsi="Arial;sans-serif"/>
          <w:b w:val="false"/>
          <w:sz w:val="16"/>
        </w:rPr>
      </w:pPr>
      <w:r>
        <w:rPr>
          <w:rFonts w:ascii="Arial;sans-serif" w:hAnsi="Arial;sans-serif"/>
          <w:b w:val="false"/>
          <w:sz w:val="16"/>
        </w:rPr>
        <w:t>Includes 7,238 shares underlying RSUs that will have vested and are deliverable within 60 days of the record date.</w:t>
      </w:r>
    </w:p>
    <w:p>
      <w:pPr>
        <w:pStyle w:val="TextBody"/>
        <w:bidi w:val="0"/>
        <w:spacing w:before="0" w:after="0"/>
        <w:jc w:val="both"/>
        <w:rPr>
          <w:rFonts w:ascii="Arial" w:hAnsi="Arial"/>
          <w:b w:val="false"/>
          <w:sz w:val="16"/>
        </w:rPr>
      </w:pPr>
      <w:r>
        <w:rPr>
          <w:rFonts w:ascii="Arial" w:hAnsi="Arial"/>
          <w:b w:val="false"/>
          <w:sz w:val="16"/>
        </w:rPr>
        <w:t>(4)</w:t>
      </w:r>
    </w:p>
    <w:p>
      <w:pPr>
        <w:pStyle w:val="TextBody"/>
        <w:bidi w:val="0"/>
        <w:spacing w:before="0" w:after="0"/>
        <w:jc w:val="both"/>
        <w:rPr>
          <w:rFonts w:ascii="Arial;sans-serif" w:hAnsi="Arial;sans-serif"/>
          <w:b w:val="false"/>
          <w:sz w:val="16"/>
        </w:rPr>
      </w:pPr>
      <w:r>
        <w:rPr>
          <w:rFonts w:ascii="Arial;sans-serif" w:hAnsi="Arial;sans-serif"/>
          <w:b w:val="false"/>
          <w:sz w:val="16"/>
        </w:rPr>
        <w:t>Includes 1,839 shares underlying RSUs that will have vested and are deliverable within 60 days of the record date. 2,300 shares are held by Ms. Cupero’s son.</w:t>
      </w:r>
    </w:p>
    <w:p>
      <w:pPr>
        <w:pStyle w:val="TextBody"/>
        <w:bidi w:val="0"/>
        <w:spacing w:before="0" w:after="0"/>
        <w:jc w:val="both"/>
        <w:rPr>
          <w:rFonts w:ascii="Arial" w:hAnsi="Arial"/>
          <w:b w:val="false"/>
          <w:sz w:val="16"/>
        </w:rPr>
      </w:pPr>
      <w:r>
        <w:rPr>
          <w:rFonts w:ascii="Arial" w:hAnsi="Arial"/>
          <w:b w:val="false"/>
          <w:sz w:val="16"/>
        </w:rPr>
        <w:t>(5)</w:t>
      </w:r>
    </w:p>
    <w:p>
      <w:pPr>
        <w:pStyle w:val="TextBody"/>
        <w:bidi w:val="0"/>
        <w:spacing w:before="0" w:after="0"/>
        <w:jc w:val="both"/>
        <w:rPr>
          <w:rFonts w:ascii="Arial;sans-serif" w:hAnsi="Arial;sans-serif"/>
          <w:b w:val="false"/>
          <w:sz w:val="16"/>
        </w:rPr>
      </w:pPr>
      <w:r>
        <w:rPr>
          <w:rFonts w:ascii="Arial;sans-serif" w:hAnsi="Arial;sans-serif"/>
          <w:b w:val="false"/>
          <w:sz w:val="16"/>
        </w:rPr>
        <w:t>Includes 6,725 shares underlying RSUs that have or will have vested and are deliverable within 60 days of the record date.</w:t>
      </w:r>
    </w:p>
    <w:p>
      <w:pPr>
        <w:pStyle w:val="TextBody"/>
        <w:bidi w:val="0"/>
        <w:spacing w:before="0" w:after="0"/>
        <w:jc w:val="both"/>
        <w:rPr>
          <w:rFonts w:ascii="Arial" w:hAnsi="Arial"/>
          <w:b w:val="false"/>
          <w:sz w:val="16"/>
        </w:rPr>
      </w:pPr>
      <w:r>
        <w:rPr>
          <w:rFonts w:ascii="Arial" w:hAnsi="Arial"/>
          <w:b w:val="false"/>
          <w:sz w:val="16"/>
        </w:rPr>
        <w:t>(6)</w:t>
      </w:r>
    </w:p>
    <w:p>
      <w:pPr>
        <w:pStyle w:val="TextBody"/>
        <w:bidi w:val="0"/>
        <w:spacing w:before="0" w:after="0"/>
        <w:jc w:val="both"/>
        <w:rPr>
          <w:rFonts w:ascii="Arial;sans-serif" w:hAnsi="Arial;sans-serif"/>
          <w:b w:val="false"/>
          <w:sz w:val="16"/>
        </w:rPr>
      </w:pPr>
      <w:r>
        <w:rPr>
          <w:rFonts w:ascii="Arial;sans-serif" w:hAnsi="Arial;sans-serif"/>
          <w:b w:val="false"/>
          <w:sz w:val="16"/>
        </w:rPr>
        <w:t>Includes 6,725 shares underlying RSUs that have or will have vested and are deliverable within 60 days of the record date.</w:t>
      </w:r>
    </w:p>
    <w:p>
      <w:pPr>
        <w:pStyle w:val="TextBody"/>
        <w:bidi w:val="0"/>
        <w:spacing w:before="0" w:after="0"/>
        <w:jc w:val="both"/>
        <w:rPr>
          <w:rFonts w:ascii="Arial" w:hAnsi="Arial"/>
          <w:b w:val="false"/>
          <w:sz w:val="16"/>
        </w:rPr>
      </w:pPr>
      <w:r>
        <w:rPr>
          <w:rFonts w:ascii="Arial" w:hAnsi="Arial"/>
          <w:b w:val="false"/>
          <w:sz w:val="16"/>
        </w:rPr>
        <w:t>(7)</w:t>
      </w:r>
    </w:p>
    <w:p>
      <w:pPr>
        <w:pStyle w:val="TextBody"/>
        <w:bidi w:val="0"/>
        <w:spacing w:before="0" w:after="0"/>
        <w:jc w:val="both"/>
        <w:rPr>
          <w:rFonts w:ascii="Arial;sans-serif" w:hAnsi="Arial;sans-serif"/>
          <w:b w:val="false"/>
          <w:sz w:val="16"/>
        </w:rPr>
      </w:pPr>
      <w:r>
        <w:rPr>
          <w:rFonts w:ascii="Arial;sans-serif" w:hAnsi="Arial;sans-serif"/>
          <w:b w:val="false"/>
          <w:sz w:val="16"/>
        </w:rPr>
        <w:t>Includes 6,725 shares underlying RSUs that have or will have vested and are deliverable within 60 days of the record date.</w:t>
      </w:r>
    </w:p>
    <w:p>
      <w:pPr>
        <w:pStyle w:val="TextBody"/>
        <w:bidi w:val="0"/>
        <w:spacing w:before="0" w:after="0"/>
        <w:jc w:val="both"/>
        <w:rPr>
          <w:rFonts w:ascii="Arial" w:hAnsi="Arial"/>
          <w:b w:val="false"/>
          <w:sz w:val="16"/>
        </w:rPr>
      </w:pPr>
      <w:r>
        <w:rPr>
          <w:rFonts w:ascii="Arial" w:hAnsi="Arial"/>
          <w:b w:val="false"/>
          <w:sz w:val="16"/>
        </w:rPr>
        <w:t>(8)</w:t>
      </w:r>
    </w:p>
    <w:p>
      <w:pPr>
        <w:pStyle w:val="TextBody"/>
        <w:bidi w:val="0"/>
        <w:spacing w:before="0" w:after="0"/>
        <w:jc w:val="both"/>
        <w:rPr>
          <w:rFonts w:ascii="Arial;sans-serif" w:hAnsi="Arial;sans-serif"/>
          <w:b w:val="false"/>
          <w:sz w:val="16"/>
        </w:rPr>
      </w:pPr>
      <w:r>
        <w:rPr>
          <w:rFonts w:ascii="Arial;sans-serif" w:hAnsi="Arial;sans-serif"/>
          <w:b w:val="false"/>
          <w:sz w:val="16"/>
        </w:rPr>
        <w:t>Includes 1,307 shares underlying RSUs that will have vested but are not deliverable within 60 days of the record date.</w:t>
      </w:r>
    </w:p>
    <w:p>
      <w:pPr>
        <w:pStyle w:val="TextBody"/>
        <w:bidi w:val="0"/>
        <w:spacing w:before="0" w:after="0"/>
        <w:jc w:val="both"/>
        <w:rPr>
          <w:rFonts w:ascii="Arial" w:hAnsi="Arial"/>
          <w:b w:val="false"/>
          <w:sz w:val="16"/>
        </w:rPr>
      </w:pPr>
      <w:r>
        <w:rPr>
          <w:rFonts w:ascii="Arial" w:hAnsi="Arial"/>
          <w:b w:val="false"/>
          <w:sz w:val="16"/>
        </w:rPr>
        <w:t>(9)</w:t>
      </w:r>
    </w:p>
    <w:p>
      <w:pPr>
        <w:pStyle w:val="TextBody"/>
        <w:bidi w:val="0"/>
        <w:spacing w:before="0" w:after="0"/>
        <w:jc w:val="both"/>
        <w:rPr>
          <w:rFonts w:ascii="Arial;sans-serif" w:hAnsi="Arial;sans-serif"/>
          <w:b w:val="false"/>
          <w:sz w:val="16"/>
        </w:rPr>
      </w:pPr>
      <w:r>
        <w:rPr>
          <w:rFonts w:ascii="Arial;sans-serif" w:hAnsi="Arial;sans-serif"/>
          <w:b w:val="false"/>
          <w:sz w:val="16"/>
        </w:rPr>
        <w:t>Includes (a) 6,725 shares underlying RSUs that have or will have vested and are deliverable within 60 days of the record date; and (b) 3,000 shares underlying RSUs that have vested but the delivery of which is deferred until retirement from the Board. The shares are held by Barry M. Monheit, Trustee, SEP PROP Monheit Family Trust U/A Dtd 7/16/2002.</w:t>
      </w:r>
    </w:p>
    <w:p>
      <w:pPr>
        <w:pStyle w:val="TextBody"/>
        <w:bidi w:val="0"/>
        <w:spacing w:before="0" w:after="0"/>
        <w:jc w:val="both"/>
        <w:rPr>
          <w:rFonts w:ascii="Arial" w:hAnsi="Arial"/>
          <w:b w:val="false"/>
          <w:sz w:val="16"/>
        </w:rPr>
      </w:pPr>
      <w:r>
        <w:rPr>
          <w:rFonts w:ascii="Arial" w:hAnsi="Arial"/>
          <w:b w:val="false"/>
          <w:sz w:val="16"/>
        </w:rPr>
        <w:t>(10)</w:t>
      </w:r>
    </w:p>
    <w:p>
      <w:pPr>
        <w:pStyle w:val="TextBody"/>
        <w:bidi w:val="0"/>
        <w:spacing w:before="0" w:after="0"/>
        <w:jc w:val="both"/>
        <w:rPr>
          <w:rFonts w:ascii="Arial;sans-serif" w:hAnsi="Arial;sans-serif"/>
          <w:b w:val="false"/>
          <w:sz w:val="16"/>
        </w:rPr>
      </w:pPr>
      <w:r>
        <w:rPr>
          <w:rFonts w:ascii="Arial;sans-serif" w:hAnsi="Arial;sans-serif"/>
          <w:b w:val="false"/>
          <w:sz w:val="16"/>
        </w:rPr>
        <w:t>Includes (a) 6,725 shares underlying RSUs that have or will have vested and are deliverable within 60 days of the record date; and (b) 3,000 shares underlying RSUs that have vested but the delivery of which is deferred until retirement from the Board.</w:t>
      </w:r>
    </w:p>
    <w:p>
      <w:pPr>
        <w:pStyle w:val="TextBody"/>
        <w:bidi w:val="0"/>
        <w:spacing w:before="0" w:after="0"/>
        <w:jc w:val="both"/>
        <w:rPr>
          <w:rFonts w:ascii="Arial" w:hAnsi="Arial"/>
          <w:b w:val="false"/>
          <w:sz w:val="16"/>
        </w:rPr>
      </w:pPr>
      <w:r>
        <w:rPr>
          <w:rFonts w:ascii="Arial" w:hAnsi="Arial"/>
          <w:b w:val="false"/>
          <w:sz w:val="16"/>
        </w:rPr>
        <w:t>(11)</w:t>
      </w:r>
    </w:p>
    <w:p>
      <w:pPr>
        <w:pStyle w:val="TextBody"/>
        <w:bidi w:val="0"/>
        <w:spacing w:before="0" w:after="0"/>
        <w:jc w:val="both"/>
        <w:rPr>
          <w:rFonts w:ascii="Arial;sans-serif" w:hAnsi="Arial;sans-serif"/>
          <w:b w:val="false"/>
          <w:sz w:val="16"/>
        </w:rPr>
      </w:pPr>
      <w:r>
        <w:rPr>
          <w:rFonts w:ascii="Arial;sans-serif" w:hAnsi="Arial;sans-serif"/>
          <w:b w:val="false"/>
          <w:sz w:val="16"/>
        </w:rPr>
        <w:t>Includes 6,725 shares underlying RSUs that have or will have vested and are deliverable within 60 days of the record date.</w:t>
      </w:r>
    </w:p>
    <w:p>
      <w:pPr>
        <w:pStyle w:val="TextBody"/>
        <w:bidi w:val="0"/>
        <w:spacing w:before="0" w:after="0"/>
        <w:jc w:val="both"/>
        <w:rPr>
          <w:rFonts w:ascii="Arial" w:hAnsi="Arial"/>
          <w:b w:val="false"/>
          <w:sz w:val="16"/>
        </w:rPr>
      </w:pPr>
      <w:r>
        <w:rPr>
          <w:rFonts w:ascii="Arial" w:hAnsi="Arial"/>
          <w:b w:val="false"/>
          <w:sz w:val="16"/>
        </w:rPr>
        <w:t>(12)</w:t>
      </w:r>
    </w:p>
    <w:p>
      <w:pPr>
        <w:pStyle w:val="TextBody"/>
        <w:bidi w:val="0"/>
        <w:jc w:val="both"/>
        <w:rPr>
          <w:rFonts w:ascii="Arial;sans-serif" w:hAnsi="Arial;sans-serif"/>
          <w:b w:val="false"/>
          <w:sz w:val="16"/>
        </w:rPr>
      </w:pPr>
      <w:r>
        <w:rPr>
          <w:rFonts w:ascii="Arial;sans-serif" w:hAnsi="Arial;sans-serif"/>
          <w:b w:val="false"/>
          <w:sz w:val="16"/>
        </w:rPr>
        <w:t>Includes (a) 9,427 shares underlying RSUs that have or will have vested and are deliverable within 60 days of the record date; (b) 1,307 shares underlying RSUs that will have vested but are not deliverable within 60 days of the record date; and (c) 6,000 shares underlying RSUs that have vested but the delivery of which is deferred until retirement from the Board.</w:t>
      </w:r>
    </w:p>
    <w:p>
      <w:pPr>
        <w:pStyle w:val="TextBody"/>
        <w:bidi w:val="0"/>
        <w:spacing w:before="0" w:after="0"/>
        <w:jc w:val="left"/>
        <w:rPr/>
      </w:pPr>
      <w:r>
        <w:rPr/>
        <w:t> </w:t>
      </w:r>
    </w:p>
    <w:tbl>
      <w:tblPr>
        <w:tblW w:w="3762" w:type="dxa"/>
        <w:jc w:val="left"/>
        <w:tblInd w:w="0" w:type="dxa"/>
        <w:tblLayout w:type="fixed"/>
        <w:tblCellMar>
          <w:top w:w="28" w:type="dxa"/>
          <w:left w:w="28" w:type="dxa"/>
          <w:bottom w:w="28" w:type="dxa"/>
          <w:right w:w="28" w:type="dxa"/>
        </w:tblCellMar>
      </w:tblPr>
      <w:tblGrid>
        <w:gridCol w:w="1466"/>
        <w:gridCol w:w="2296"/>
      </w:tblGrid>
      <w:tr>
        <w:trPr/>
        <w:tc>
          <w:tcPr>
            <w:tcW w:w="146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r>
      <w:tr>
        <w:trPr/>
        <w:tc>
          <w:tcPr>
            <w:tcW w:w="1466" w:type="dxa"/>
            <w:tcBorders/>
            <w:vAlign w:val="center"/>
          </w:tcPr>
          <w:p>
            <w:pPr>
              <w:pStyle w:val="TableContents"/>
              <w:bidi w:val="0"/>
              <w:spacing w:before="0" w:after="0"/>
              <w:ind w:left="0" w:right="0" w:hanging="0"/>
              <w:jc w:val="left"/>
              <w:rPr/>
            </w:pPr>
            <w:r>
              <w:rPr/>
              <w:drawing>
                <wp:inline distT="0" distB="0" distL="0" distR="0">
                  <wp:extent cx="828675" cy="190500"/>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828675" cy="190500"/>
                          </a:xfrm>
                          <a:prstGeom prst="rect">
                            <a:avLst/>
                          </a:prstGeom>
                        </pic:spPr>
                      </pic:pic>
                    </a:graphicData>
                  </a:graphic>
                </wp:inline>
              </w:drawing>
            </w:r>
            <w:r>
              <w:rPr/>
              <w:t> </w:t>
            </w:r>
          </w:p>
        </w:tc>
        <w:tc>
          <w:tcPr>
            <w:tcW w:w="229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2023 Proxy Statement I 57</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Arial;sans-serif" w:hAnsi="Arial;sans-serif"/>
          <w:b w:val="false"/>
          <w:sz w:val="20"/>
          <w:u w:val="single"/>
        </w:rPr>
      </w:pPr>
      <w:r>
        <w:rPr>
          <w:rFonts w:ascii="Arial;sans-serif" w:hAnsi="Arial;sans-serif"/>
          <w:b w:val="false"/>
          <w:sz w:val="20"/>
          <w:u w:val="single"/>
        </w:rPr>
        <w:t>Other Important Information</w:t>
      </w:r>
    </w:p>
    <w:p>
      <w:pPr>
        <w:pStyle w:val="TextBody"/>
        <w:bidi w:val="0"/>
        <w:spacing w:before="0" w:after="0"/>
        <w:jc w:val="both"/>
        <w:rPr>
          <w:rFonts w:ascii="Arial" w:hAnsi="Arial"/>
          <w:b w:val="false"/>
          <w:sz w:val="16"/>
        </w:rPr>
      </w:pPr>
      <w:r>
        <w:rPr>
          <w:rFonts w:ascii="Arial" w:hAnsi="Arial"/>
          <w:b w:val="false"/>
          <w:sz w:val="16"/>
        </w:rPr>
        <w:t>(13)</w:t>
      </w:r>
    </w:p>
    <w:p>
      <w:pPr>
        <w:pStyle w:val="TextBody"/>
        <w:bidi w:val="0"/>
        <w:spacing w:before="0" w:after="0"/>
        <w:jc w:val="both"/>
        <w:rPr/>
      </w:pPr>
      <w:r>
        <w:rPr>
          <w:rFonts w:ascii="Arial;sans-serif" w:hAnsi="Arial;sans-serif"/>
          <w:b w:val="false"/>
          <w:sz w:val="16"/>
        </w:rPr>
        <w:t>Based on the statement on Amendment No. 14 to Schedule 13G filed with the SEC on February 3, 2023, BlackRock, Inc. sole voting power over 3,846,424 shares and sole dispositive power over 3,926,393 shares. The address of BlackRock, Inc. is 55 East 52</w:t>
      </w:r>
      <w:r>
        <w:rPr>
          <w:rFonts w:ascii="Arial;sans-serif" w:hAnsi="Arial;sans-serif"/>
          <w:b w:val="false"/>
          <w:sz w:val="11"/>
        </w:rPr>
        <w:t>nd</w:t>
      </w:r>
      <w:r>
        <w:rPr/>
        <w:t xml:space="preserve"> </w:t>
      </w:r>
      <w:r>
        <w:rPr>
          <w:rFonts w:ascii="Arial;sans-serif" w:hAnsi="Arial;sans-serif"/>
          <w:b w:val="false"/>
          <w:sz w:val="16"/>
        </w:rPr>
        <w:t>Street, New York, NY 10055.</w:t>
      </w:r>
    </w:p>
    <w:p>
      <w:pPr>
        <w:pStyle w:val="TextBody"/>
        <w:bidi w:val="0"/>
        <w:spacing w:before="0" w:after="0"/>
        <w:jc w:val="both"/>
        <w:rPr>
          <w:rFonts w:ascii="Arial" w:hAnsi="Arial"/>
          <w:b w:val="false"/>
          <w:sz w:val="16"/>
        </w:rPr>
      </w:pPr>
      <w:r>
        <w:rPr>
          <w:rFonts w:ascii="Arial" w:hAnsi="Arial"/>
          <w:b w:val="false"/>
          <w:sz w:val="16"/>
        </w:rPr>
        <w:t>(14)</w:t>
      </w:r>
    </w:p>
    <w:p>
      <w:pPr>
        <w:pStyle w:val="TextBody"/>
        <w:bidi w:val="0"/>
        <w:spacing w:before="0" w:after="0"/>
        <w:jc w:val="both"/>
        <w:rPr>
          <w:rFonts w:ascii="Arial;sans-serif" w:hAnsi="Arial;sans-serif"/>
          <w:b w:val="false"/>
          <w:sz w:val="16"/>
        </w:rPr>
      </w:pPr>
      <w:r>
        <w:rPr>
          <w:rFonts w:ascii="Arial;sans-serif" w:hAnsi="Arial;sans-serif"/>
          <w:b w:val="false"/>
          <w:sz w:val="16"/>
        </w:rPr>
        <w:t>Based on the statement on Amendment No. 13 to Schedule 13G filed with the SEC on February 9, 2023, The Vanguard Group has shared voting power over 35,030 shares; sole dispositive power over 3,299,133 shares; and shared dispositive power over 74,076 shares. The address of The Vanguard Group is 100 Vanguard Blvd., Malvern, PA 19355.</w:t>
      </w:r>
    </w:p>
    <w:p>
      <w:pPr>
        <w:pStyle w:val="TextBody"/>
        <w:bidi w:val="0"/>
        <w:spacing w:before="0" w:after="0"/>
        <w:jc w:val="both"/>
        <w:rPr>
          <w:rFonts w:ascii="Arial" w:hAnsi="Arial"/>
          <w:b w:val="false"/>
          <w:sz w:val="16"/>
        </w:rPr>
      </w:pPr>
      <w:r>
        <w:rPr>
          <w:rFonts w:ascii="Arial" w:hAnsi="Arial"/>
          <w:b w:val="false"/>
          <w:sz w:val="16"/>
        </w:rPr>
        <w:t>(15)</w:t>
      </w:r>
    </w:p>
    <w:p>
      <w:pPr>
        <w:pStyle w:val="TextBody"/>
        <w:bidi w:val="0"/>
        <w:jc w:val="both"/>
        <w:rPr>
          <w:rFonts w:ascii="Arial;sans-serif" w:hAnsi="Arial;sans-serif"/>
          <w:b w:val="false"/>
          <w:sz w:val="16"/>
        </w:rPr>
      </w:pPr>
      <w:r>
        <w:rPr>
          <w:rFonts w:ascii="Arial;sans-serif" w:hAnsi="Arial;sans-serif"/>
          <w:b w:val="false"/>
          <w:sz w:val="16"/>
        </w:rPr>
        <w:t xml:space="preserve">Based on the statement on Amendment No. 4 to Schedule 13G filed with the SEC on February 13, 2023, Renaissance Technologies LLC and Renaissance Technologies Holdings Corporation each have sole voting and dispositive power over 2,511,072 shares. The address of Renaissance Technologies LLC and Renaissance Technologies Holdings Corporation is 800 Third Avenue, New York, New York 10022. </w:t>
      </w:r>
    </w:p>
    <w:p>
      <w:pPr>
        <w:pStyle w:val="TextBody"/>
        <w:bidi w:val="0"/>
        <w:spacing w:before="120" w:after="0"/>
        <w:jc w:val="both"/>
        <w:rPr>
          <w:rFonts w:ascii="Arial;sans-serif" w:hAnsi="Arial;sans-serif"/>
          <w:b/>
          <w:sz w:val="28"/>
        </w:rPr>
      </w:pPr>
      <w:bookmarkStart w:id="19" w:name="annual_report_on_form_10k"/>
      <w:bookmarkEnd w:id="19"/>
      <w:r>
        <w:rPr>
          <w:rFonts w:ascii="Arial;sans-serif" w:hAnsi="Arial;sans-serif"/>
          <w:b/>
          <w:sz w:val="28"/>
        </w:rPr>
        <w:t>ANNUAL REPORT ON FORM 10-K</w:t>
      </w:r>
    </w:p>
    <w:p>
      <w:pPr>
        <w:pStyle w:val="TextBody"/>
        <w:bidi w:val="0"/>
        <w:spacing w:before="0" w:after="0"/>
        <w:jc w:val="both"/>
        <w:rPr>
          <w:rFonts w:ascii="Arial;sans-serif" w:hAnsi="Arial;sans-serif"/>
          <w:b w:val="false"/>
          <w:sz w:val="20"/>
        </w:rPr>
      </w:pPr>
      <w:r>
        <w:rPr>
          <w:rFonts w:ascii="Arial;sans-serif" w:hAnsi="Arial;sans-serif"/>
          <w:b w:val="false"/>
          <w:sz w:val="20"/>
        </w:rPr>
        <w:t>We will provide, without charge, a copy of the Form 10-K as filed with the SEC to each stockholder of record as of the record date that requests a copy in writing. Any exhibits listed in the Form 10-K also will be furnished upon request at the actual expense we incur in furnishing such exhibits. Any such requests should be directed to our Secretary at the address of our executive offices set forth in this Proxy Statement.</w:t>
      </w:r>
    </w:p>
    <w:p>
      <w:pPr>
        <w:pStyle w:val="TextBody"/>
        <w:bidi w:val="0"/>
        <w:spacing w:before="360" w:after="0"/>
        <w:jc w:val="both"/>
        <w:rPr>
          <w:rFonts w:ascii="Arial;sans-serif" w:hAnsi="Arial;sans-serif"/>
          <w:b/>
          <w:sz w:val="28"/>
        </w:rPr>
      </w:pPr>
      <w:bookmarkStart w:id="20" w:name="delinquent_section_16a_reports"/>
      <w:bookmarkEnd w:id="20"/>
      <w:r>
        <w:rPr>
          <w:rFonts w:ascii="Arial;sans-serif" w:hAnsi="Arial;sans-serif"/>
          <w:b/>
          <w:sz w:val="28"/>
        </w:rPr>
        <w:t>DELINQUENT SECTION 16(a) REPORTS</w:t>
      </w:r>
    </w:p>
    <w:p>
      <w:pPr>
        <w:pStyle w:val="TextBody"/>
        <w:bidi w:val="0"/>
        <w:spacing w:before="0" w:after="0"/>
        <w:jc w:val="both"/>
        <w:rPr>
          <w:rFonts w:ascii="Arial;sans-serif" w:hAnsi="Arial;sans-serif"/>
          <w:b w:val="false"/>
          <w:sz w:val="20"/>
        </w:rPr>
      </w:pPr>
      <w:r>
        <w:rPr>
          <w:rFonts w:ascii="Arial;sans-serif" w:hAnsi="Arial;sans-serif"/>
          <w:b w:val="false"/>
          <w:sz w:val="20"/>
        </w:rPr>
        <w:t>Based solely upon our review of the copies of such reports received by us during fiscal 2023, we believe that each person who, at any time during such fiscal year, was a director, officer, or beneficial owner of more than 10 percent of our common stock complied with all Section 16(a) filing requirements during such fiscal year, except with respect to a Form 4 filing for Ms. Cupero.</w:t>
      </w:r>
    </w:p>
    <w:p>
      <w:pPr>
        <w:pStyle w:val="TextBody"/>
        <w:bidi w:val="0"/>
        <w:spacing w:before="360" w:after="0"/>
        <w:jc w:val="both"/>
        <w:rPr>
          <w:rFonts w:ascii="Arial;sans-serif" w:hAnsi="Arial;sans-serif"/>
          <w:b/>
          <w:sz w:val="28"/>
        </w:rPr>
      </w:pPr>
      <w:bookmarkStart w:id="21" w:name="frequently_asked_questions"/>
      <w:bookmarkEnd w:id="21"/>
      <w:r>
        <w:rPr>
          <w:rFonts w:ascii="Arial;sans-serif" w:hAnsi="Arial;sans-serif"/>
          <w:b/>
          <w:sz w:val="28"/>
        </w:rPr>
        <w:t>FREQUENTLY ASKED QUESTIONS REGARDING THE 2023 ANNUAL MEETING AND VOTING</w:t>
      </w:r>
    </w:p>
    <w:p>
      <w:pPr>
        <w:pStyle w:val="TextBody"/>
        <w:bidi w:val="0"/>
        <w:spacing w:before="120" w:after="0"/>
        <w:jc w:val="both"/>
        <w:rPr>
          <w:rFonts w:ascii="Arial;sans-serif" w:hAnsi="Arial;sans-serif"/>
          <w:b w:val="false"/>
          <w:sz w:val="24"/>
          <w:u w:val="single"/>
        </w:rPr>
      </w:pPr>
      <w:r>
        <w:rPr>
          <w:rFonts w:ascii="Arial;sans-serif" w:hAnsi="Arial;sans-serif"/>
          <w:b w:val="false"/>
          <w:sz w:val="24"/>
          <w:u w:val="single"/>
        </w:rPr>
        <w:t>What is the purpose of the 2023 Annual Meeting?</w:t>
      </w:r>
    </w:p>
    <w:p>
      <w:pPr>
        <w:pStyle w:val="TextBody"/>
        <w:bidi w:val="0"/>
        <w:spacing w:before="40" w:after="0"/>
        <w:jc w:val="both"/>
        <w:rPr>
          <w:rFonts w:ascii="Arial;sans-serif" w:hAnsi="Arial;sans-serif"/>
          <w:b w:val="false"/>
          <w:sz w:val="20"/>
        </w:rPr>
      </w:pPr>
      <w:r>
        <w:rPr>
          <w:rFonts w:ascii="Arial;sans-serif" w:hAnsi="Arial;sans-serif"/>
          <w:b w:val="false"/>
          <w:sz w:val="20"/>
        </w:rPr>
        <w:t>Stockholders will vote at the 2023 Annual Meeting on the matters summarized in this Proxy Statement.</w:t>
      </w:r>
    </w:p>
    <w:p>
      <w:pPr>
        <w:pStyle w:val="TextBody"/>
        <w:bidi w:val="0"/>
        <w:spacing w:before="240" w:after="0"/>
        <w:jc w:val="both"/>
        <w:rPr>
          <w:rFonts w:ascii="Arial;sans-serif" w:hAnsi="Arial;sans-serif"/>
          <w:b w:val="false"/>
          <w:sz w:val="24"/>
          <w:u w:val="single"/>
        </w:rPr>
      </w:pPr>
      <w:r>
        <w:rPr>
          <w:rFonts w:ascii="Arial;sans-serif" w:hAnsi="Arial;sans-serif"/>
          <w:b w:val="false"/>
          <w:sz w:val="24"/>
          <w:u w:val="single"/>
        </w:rPr>
        <w:t>Why did I receive these proxy materials?</w:t>
      </w:r>
    </w:p>
    <w:p>
      <w:pPr>
        <w:pStyle w:val="TextBody"/>
        <w:bidi w:val="0"/>
        <w:spacing w:before="40" w:after="0"/>
        <w:jc w:val="both"/>
        <w:rPr>
          <w:rFonts w:ascii="Arial;sans-serif" w:hAnsi="Arial;sans-serif"/>
          <w:b w:val="false"/>
          <w:sz w:val="20"/>
        </w:rPr>
      </w:pPr>
      <w:r>
        <w:rPr>
          <w:rFonts w:ascii="Arial;sans-serif" w:hAnsi="Arial;sans-serif"/>
          <w:b w:val="false"/>
          <w:sz w:val="20"/>
        </w:rPr>
        <w:t>You received these proxy materials because you are a Company stockholder and the Board is soliciting your proxy to vote your shares at the 2023 Annual Meeting. This Proxy Statement includes information that we are required to provide you under SEC rules and is designed to assist you in voting your shares.</w:t>
      </w:r>
    </w:p>
    <w:p>
      <w:pPr>
        <w:pStyle w:val="TextBody"/>
        <w:bidi w:val="0"/>
        <w:spacing w:before="240" w:after="0"/>
        <w:jc w:val="both"/>
        <w:rPr>
          <w:rFonts w:ascii="Arial;sans-serif" w:hAnsi="Arial;sans-serif"/>
          <w:b w:val="false"/>
          <w:sz w:val="24"/>
          <w:u w:val="single"/>
        </w:rPr>
      </w:pPr>
      <w:r>
        <w:rPr>
          <w:rFonts w:ascii="Arial;sans-serif" w:hAnsi="Arial;sans-serif"/>
          <w:b w:val="false"/>
          <w:sz w:val="24"/>
          <w:u w:val="single"/>
        </w:rPr>
        <w:t>What is included in these proxy materials? What is a Proxy Statement and a proxy?</w:t>
      </w:r>
    </w:p>
    <w:p>
      <w:pPr>
        <w:pStyle w:val="TextBody"/>
        <w:bidi w:val="0"/>
        <w:spacing w:before="40" w:after="0"/>
        <w:jc w:val="both"/>
        <w:rPr>
          <w:rFonts w:ascii="Times New Roman" w:hAnsi="Times New Roman"/>
          <w:sz w:val="20"/>
        </w:rPr>
      </w:pPr>
      <w:r>
        <w:rPr>
          <w:rFonts w:ascii="Arial;sans-serif" w:hAnsi="Arial;sans-serif"/>
          <w:b w:val="false"/>
          <w:sz w:val="20"/>
        </w:rPr>
        <w:t>The proxy materials for the 2023 Annual Meeting include the Notice of Annual Meeting, this Proxy Statement, and our annual report. If you received a paper copy of these materials, the proxy materials also include a proxy card or voting instruction form.</w:t>
      </w:r>
      <w:r>
        <w:rPr>
          <w:rFonts w:ascii="Times New Roman" w:hAnsi="Times New Roman"/>
          <w:sz w:val="20"/>
        </w:rPr>
        <w:t xml:space="preserve"> </w:t>
      </w:r>
    </w:p>
    <w:p>
      <w:pPr>
        <w:pStyle w:val="TextBody"/>
        <w:bidi w:val="0"/>
        <w:spacing w:before="40" w:after="0"/>
        <w:jc w:val="both"/>
        <w:rPr>
          <w:rFonts w:ascii="Arial;sans-serif" w:hAnsi="Arial;sans-serif"/>
          <w:b w:val="false"/>
          <w:sz w:val="20"/>
        </w:rPr>
      </w:pPr>
      <w:r>
        <w:rPr>
          <w:rFonts w:ascii="Arial;sans-serif" w:hAnsi="Arial;sans-serif"/>
          <w:b w:val="false"/>
          <w:sz w:val="20"/>
        </w:rPr>
        <w:t>A proxy statement is a document that SEC regulations require us to give you when we ask you to sign a proxy designating individuals to vote on your behalf. A proxy is your legal designation of another person to vote your shares, and that other person is called a proxy. If you designate someone as your proxy in a written document, that document is also called a proxy or a proxy card. We have designated Mark P. Smith and Deana L. McPherson as proxies for the 2023 Annual Meeting.</w:t>
      </w:r>
    </w:p>
    <w:p>
      <w:pPr>
        <w:pStyle w:val="TextBody"/>
        <w:bidi w:val="0"/>
        <w:spacing w:before="240" w:after="0"/>
        <w:jc w:val="both"/>
        <w:rPr>
          <w:rFonts w:ascii="Arial;sans-serif" w:hAnsi="Arial;sans-serif"/>
          <w:b w:val="false"/>
          <w:sz w:val="24"/>
          <w:u w:val="single"/>
        </w:rPr>
      </w:pPr>
      <w:r>
        <w:rPr>
          <w:rFonts w:ascii="Arial;sans-serif" w:hAnsi="Arial;sans-serif"/>
          <w:b w:val="false"/>
          <w:sz w:val="24"/>
          <w:u w:val="single"/>
        </w:rPr>
        <w:t>What does it mean if I receive more than one notice, proxy materials email, or proxy card?</w:t>
      </w:r>
    </w:p>
    <w:p>
      <w:pPr>
        <w:pStyle w:val="TextBody"/>
        <w:bidi w:val="0"/>
        <w:spacing w:before="40" w:after="0"/>
        <w:jc w:val="both"/>
        <w:rPr>
          <w:rFonts w:ascii="Arial;sans-serif" w:hAnsi="Arial;sans-serif"/>
          <w:b w:val="false"/>
          <w:sz w:val="20"/>
        </w:rPr>
      </w:pPr>
      <w:r>
        <w:rPr>
          <w:rFonts w:ascii="Arial;sans-serif" w:hAnsi="Arial;sans-serif"/>
          <w:b w:val="false"/>
          <w:sz w:val="20"/>
        </w:rPr>
        <w:t>If you receive more than one notice, proxy materials email, or proxy card, you likely have multiple accounts with brokers and/or our transfer agent and will need to vote separately with respect to each notice, proxy materials email, or proxy card you receive.</w:t>
      </w:r>
    </w:p>
    <w:p>
      <w:pPr>
        <w:pStyle w:val="TextBody"/>
        <w:bidi w:val="0"/>
        <w:spacing w:before="0" w:after="0"/>
        <w:jc w:val="left"/>
        <w:rPr/>
      </w:pPr>
      <w:r>
        <w:rPr/>
        <w:t> </w:t>
      </w:r>
    </w:p>
    <w:tbl>
      <w:tblPr>
        <w:tblW w:w="3762" w:type="dxa"/>
        <w:jc w:val="left"/>
        <w:tblInd w:w="0" w:type="dxa"/>
        <w:tblLayout w:type="fixed"/>
        <w:tblCellMar>
          <w:top w:w="28" w:type="dxa"/>
          <w:left w:w="28" w:type="dxa"/>
          <w:bottom w:w="28" w:type="dxa"/>
          <w:right w:w="28" w:type="dxa"/>
        </w:tblCellMar>
      </w:tblPr>
      <w:tblGrid>
        <w:gridCol w:w="2266"/>
        <w:gridCol w:w="1496"/>
      </w:tblGrid>
      <w:tr>
        <w:trPr/>
        <w:tc>
          <w:tcPr>
            <w:tcW w:w="226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58</w:t>
            </w:r>
            <w:r>
              <w:rPr>
                <w:rFonts w:ascii="Times New Roman" w:hAnsi="Times New Roman"/>
                <w:sz w:val="18"/>
              </w:rPr>
              <w:t> </w:t>
            </w:r>
            <w:r>
              <w:rPr>
                <w:rFonts w:ascii="Arial;sans-serif" w:hAnsi="Arial;sans-serif"/>
                <w:b w:val="false"/>
                <w:sz w:val="18"/>
              </w:rPr>
              <w:t>I 2023 Proxy Statement</w:t>
            </w:r>
          </w:p>
        </w:tc>
        <w:tc>
          <w:tcPr>
            <w:tcW w:w="1496" w:type="dxa"/>
            <w:tcBorders/>
            <w:vAlign w:val="center"/>
          </w:tcPr>
          <w:p>
            <w:pPr>
              <w:pStyle w:val="TableContents"/>
              <w:bidi w:val="0"/>
              <w:spacing w:before="0" w:after="0"/>
              <w:ind w:left="0" w:right="0" w:hanging="0"/>
              <w:jc w:val="right"/>
              <w:rPr/>
            </w:pPr>
            <w:r>
              <w:rPr/>
              <w:drawing>
                <wp:inline distT="0" distB="0" distL="0" distR="0">
                  <wp:extent cx="828675" cy="190500"/>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828675" cy="190500"/>
                          </a:xfrm>
                          <a:prstGeom prst="rect">
                            <a:avLst/>
                          </a:prstGeom>
                        </pic:spPr>
                      </pic:pic>
                    </a:graphicData>
                  </a:graphic>
                </wp:inline>
              </w:drawing>
            </w: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Arial;sans-serif" w:hAnsi="Arial;sans-serif"/>
          <w:b w:val="false"/>
          <w:sz w:val="20"/>
          <w:u w:val="single"/>
        </w:rPr>
      </w:pPr>
      <w:r>
        <w:rPr>
          <w:rFonts w:ascii="Arial;sans-serif" w:hAnsi="Arial;sans-serif"/>
          <w:b w:val="false"/>
          <w:sz w:val="20"/>
          <w:u w:val="single"/>
        </w:rPr>
        <w:t>Other Important Information</w:t>
      </w:r>
    </w:p>
    <w:p>
      <w:pPr>
        <w:pStyle w:val="TextBody"/>
        <w:bidi w:val="0"/>
        <w:spacing w:before="240" w:after="0"/>
        <w:jc w:val="both"/>
        <w:rPr>
          <w:rFonts w:ascii="Arial;sans-serif" w:hAnsi="Arial;sans-serif"/>
          <w:b w:val="false"/>
          <w:sz w:val="24"/>
          <w:u w:val="single"/>
        </w:rPr>
      </w:pPr>
      <w:r>
        <w:rPr>
          <w:rFonts w:ascii="Arial;sans-serif" w:hAnsi="Arial;sans-serif"/>
          <w:b w:val="false"/>
          <w:sz w:val="24"/>
          <w:u w:val="single"/>
        </w:rPr>
        <w:t>Why did I receive a one-page notice in the mail regarding the Internet availability of proxy materials instead of a full set of proxy materials?</w:t>
      </w:r>
    </w:p>
    <w:p>
      <w:pPr>
        <w:pStyle w:val="TextBody"/>
        <w:bidi w:val="0"/>
        <w:spacing w:before="40" w:after="0"/>
        <w:jc w:val="both"/>
        <w:rPr>
          <w:rFonts w:ascii="Arial;sans-serif" w:hAnsi="Arial;sans-serif"/>
          <w:b w:val="false"/>
          <w:sz w:val="20"/>
        </w:rPr>
      </w:pPr>
      <w:r>
        <w:rPr>
          <w:rFonts w:ascii="Arial;sans-serif" w:hAnsi="Arial;sans-serif"/>
          <w:b w:val="false"/>
          <w:sz w:val="20"/>
        </w:rPr>
        <w:t>The SEC permits us to furnish proxy materials by providing access to those documents on the Internet. Stockholders will not receive printed copies of the proxy materials unless they request them. The notice instructs you as to how to submit your proxy on the Internet. If you would like to receive a paper or email copy of the proxy materials, you should follow the instructions in the notice for requesting those materials.</w:t>
      </w:r>
    </w:p>
    <w:p>
      <w:pPr>
        <w:pStyle w:val="TextBody"/>
        <w:bidi w:val="0"/>
        <w:spacing w:before="240" w:after="0"/>
        <w:jc w:val="both"/>
        <w:rPr>
          <w:rFonts w:ascii="Arial;sans-serif" w:hAnsi="Arial;sans-serif"/>
          <w:b w:val="false"/>
          <w:sz w:val="24"/>
          <w:u w:val="single"/>
        </w:rPr>
      </w:pPr>
      <w:r>
        <w:rPr>
          <w:rFonts w:ascii="Arial;sans-serif" w:hAnsi="Arial;sans-serif"/>
          <w:b w:val="false"/>
          <w:sz w:val="24"/>
          <w:u w:val="single"/>
        </w:rPr>
        <w:t>Who may vote?</w:t>
      </w:r>
    </w:p>
    <w:p>
      <w:pPr>
        <w:pStyle w:val="TextBody"/>
        <w:bidi w:val="0"/>
        <w:spacing w:before="40" w:after="0"/>
        <w:jc w:val="both"/>
        <w:rPr>
          <w:rFonts w:ascii="Arial;sans-serif" w:hAnsi="Arial;sans-serif"/>
          <w:b w:val="false"/>
          <w:sz w:val="20"/>
        </w:rPr>
      </w:pPr>
      <w:r>
        <w:rPr>
          <w:rFonts w:ascii="Arial;sans-serif" w:hAnsi="Arial;sans-serif"/>
          <w:b w:val="false"/>
          <w:sz w:val="20"/>
        </w:rPr>
        <w:t>You may vote if you owned common stock as of the close of business on July 28, 2023, the record date.</w:t>
      </w:r>
    </w:p>
    <w:p>
      <w:pPr>
        <w:pStyle w:val="TextBody"/>
        <w:bidi w:val="0"/>
        <w:spacing w:before="240" w:after="0"/>
        <w:jc w:val="both"/>
        <w:rPr>
          <w:rFonts w:ascii="Arial;sans-serif" w:hAnsi="Arial;sans-serif"/>
          <w:b w:val="false"/>
          <w:sz w:val="24"/>
          <w:u w:val="single"/>
        </w:rPr>
      </w:pPr>
      <w:r>
        <w:rPr>
          <w:rFonts w:ascii="Arial;sans-serif" w:hAnsi="Arial;sans-serif"/>
          <w:b w:val="false"/>
          <w:sz w:val="24"/>
          <w:u w:val="single"/>
        </w:rPr>
        <w:t>How may I vote?</w:t>
      </w:r>
    </w:p>
    <w:p>
      <w:pPr>
        <w:pStyle w:val="TextBody"/>
        <w:bidi w:val="0"/>
        <w:spacing w:before="40" w:after="0"/>
        <w:jc w:val="both"/>
        <w:rPr>
          <w:rFonts w:ascii="Arial;sans-serif" w:hAnsi="Arial;sans-serif"/>
          <w:b w:val="false"/>
          <w:sz w:val="20"/>
        </w:rPr>
      </w:pPr>
      <w:r>
        <w:rPr>
          <w:rFonts w:ascii="Arial;sans-serif" w:hAnsi="Arial;sans-serif"/>
          <w:b w:val="false"/>
          <w:sz w:val="20"/>
        </w:rPr>
        <w:t>You may vote by any of the following methods:</w:t>
      </w:r>
    </w:p>
    <w:p>
      <w:pPr>
        <w:pStyle w:val="TextBody"/>
        <w:bidi w:val="0"/>
        <w:spacing w:before="120" w:after="120"/>
        <w:jc w:val="both"/>
        <w:rPr/>
      </w:pPr>
      <w:r>
        <w:rPr/>
        <w:t>•</w:t>
      </w:r>
    </w:p>
    <w:p>
      <w:pPr>
        <w:pStyle w:val="TextBody"/>
        <w:bidi w:val="0"/>
        <w:spacing w:before="120" w:after="120"/>
        <w:jc w:val="both"/>
        <w:rPr>
          <w:rFonts w:ascii="Arial;sans-serif" w:hAnsi="Arial;sans-serif"/>
          <w:b w:val="false"/>
          <w:sz w:val="20"/>
        </w:rPr>
      </w:pPr>
      <w:r>
        <w:rPr>
          <w:rFonts w:ascii="Arial;sans-serif" w:hAnsi="Arial;sans-serif"/>
          <w:b w:val="false"/>
          <w:sz w:val="20"/>
        </w:rPr>
        <w:t>Internet – follow the instructions on your notice, proxy and/or voting instruction card, or email notice.</w:t>
      </w:r>
    </w:p>
    <w:p>
      <w:pPr>
        <w:pStyle w:val="TextBody"/>
        <w:bidi w:val="0"/>
        <w:spacing w:before="0" w:after="120"/>
        <w:jc w:val="both"/>
        <w:rPr/>
      </w:pPr>
      <w:r>
        <w:rPr/>
        <w:t>•</w:t>
      </w:r>
    </w:p>
    <w:p>
      <w:pPr>
        <w:pStyle w:val="TextBody"/>
        <w:bidi w:val="0"/>
        <w:spacing w:before="0" w:after="120"/>
        <w:jc w:val="both"/>
        <w:rPr>
          <w:rFonts w:ascii="Arial;sans-serif" w:hAnsi="Arial;sans-serif"/>
          <w:b w:val="false"/>
          <w:sz w:val="20"/>
        </w:rPr>
      </w:pPr>
      <w:r>
        <w:rPr>
          <w:rFonts w:ascii="Arial;sans-serif" w:hAnsi="Arial;sans-serif"/>
          <w:b w:val="false"/>
          <w:sz w:val="20"/>
        </w:rPr>
        <w:t>Phone – follow the instructions on your notice, proxy and/or voting instruction card, or email notice.</w:t>
      </w:r>
    </w:p>
    <w:p>
      <w:pPr>
        <w:pStyle w:val="TextBody"/>
        <w:bidi w:val="0"/>
        <w:spacing w:before="0" w:after="120"/>
        <w:jc w:val="both"/>
        <w:rPr/>
      </w:pPr>
      <w:r>
        <w:rPr/>
        <w:t>•</w:t>
      </w:r>
    </w:p>
    <w:p>
      <w:pPr>
        <w:pStyle w:val="TextBody"/>
        <w:bidi w:val="0"/>
        <w:spacing w:before="0" w:after="120"/>
        <w:jc w:val="both"/>
        <w:rPr>
          <w:rFonts w:ascii="Arial;sans-serif" w:hAnsi="Arial;sans-serif"/>
          <w:b w:val="false"/>
          <w:sz w:val="20"/>
        </w:rPr>
      </w:pPr>
      <w:r>
        <w:rPr>
          <w:rFonts w:ascii="Arial;sans-serif" w:hAnsi="Arial;sans-serif"/>
          <w:b w:val="false"/>
          <w:sz w:val="20"/>
        </w:rPr>
        <w:t>Mail – complete, sign, and return the proxy and/or voting instruction card provided.</w:t>
      </w:r>
    </w:p>
    <w:p>
      <w:pPr>
        <w:pStyle w:val="TextBody"/>
        <w:bidi w:val="0"/>
        <w:spacing w:before="0" w:after="0"/>
        <w:jc w:val="both"/>
        <w:rPr/>
      </w:pPr>
      <w:r>
        <w:rPr/>
        <w:t>•</w:t>
      </w:r>
    </w:p>
    <w:p>
      <w:pPr>
        <w:pStyle w:val="TextBody"/>
        <w:bidi w:val="0"/>
        <w:jc w:val="both"/>
        <w:rPr>
          <w:rFonts w:ascii="Arial;sans-serif" w:hAnsi="Arial;sans-serif"/>
          <w:b w:val="false"/>
          <w:sz w:val="20"/>
        </w:rPr>
      </w:pPr>
      <w:r>
        <w:rPr>
          <w:rFonts w:ascii="Arial;sans-serif" w:hAnsi="Arial;sans-serif"/>
          <w:b w:val="false"/>
          <w:sz w:val="20"/>
        </w:rPr>
        <w:t>Virtually – follow the instructions on the website.</w:t>
      </w:r>
    </w:p>
    <w:p>
      <w:pPr>
        <w:pStyle w:val="TextBody"/>
        <w:bidi w:val="0"/>
        <w:spacing w:before="240" w:after="0"/>
        <w:jc w:val="both"/>
        <w:rPr>
          <w:rFonts w:ascii="Times New Roman" w:hAnsi="Times New Roman"/>
          <w:sz w:val="20"/>
        </w:rPr>
      </w:pPr>
      <w:r>
        <w:rPr>
          <w:rFonts w:ascii="Arial;sans-serif" w:hAnsi="Arial;sans-serif"/>
          <w:b w:val="false"/>
          <w:sz w:val="20"/>
        </w:rPr>
        <w:t>When voting on proposals, you may vote “for” or “against” the item, or you may abstain from voting.</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Only stockholders of record may vote electronically during the 2023 Annual Meeting. If you are a beneficial owner of shares and wish to vote electronically during the 2023 Annual Meeting, you must obtain a “legal proxy” from your broker, bank, or other nominee that holds your shares giving you the right to vote the shares at the 2023 Annual Meeting.</w:t>
      </w:r>
    </w:p>
    <w:p>
      <w:pPr>
        <w:pStyle w:val="TextBody"/>
        <w:bidi w:val="0"/>
        <w:spacing w:before="240" w:after="0"/>
        <w:jc w:val="both"/>
        <w:rPr>
          <w:rFonts w:ascii="Arial;sans-serif" w:hAnsi="Arial;sans-serif"/>
          <w:b w:val="false"/>
          <w:sz w:val="20"/>
        </w:rPr>
      </w:pPr>
      <w:r>
        <w:rPr>
          <w:rFonts w:ascii="Arial;sans-serif" w:hAnsi="Arial;sans-serif"/>
          <w:b w:val="false"/>
          <w:sz w:val="20"/>
        </w:rPr>
        <w:t>We encourage you to vote your proxy by Internet, telephone, or mail prior to the 2023 Annual Meeting, even if you plan to attend the 2023 Annual Meeting virtually.</w:t>
      </w:r>
    </w:p>
    <w:p>
      <w:pPr>
        <w:pStyle w:val="TextBody"/>
        <w:bidi w:val="0"/>
        <w:spacing w:before="240" w:after="0"/>
        <w:jc w:val="both"/>
        <w:rPr>
          <w:rFonts w:ascii="Arial;sans-serif" w:hAnsi="Arial;sans-serif"/>
          <w:b w:val="false"/>
          <w:sz w:val="24"/>
          <w:u w:val="single"/>
        </w:rPr>
      </w:pPr>
      <w:r>
        <w:rPr>
          <w:rFonts w:ascii="Arial;sans-serif" w:hAnsi="Arial;sans-serif"/>
          <w:b w:val="false"/>
          <w:sz w:val="24"/>
          <w:u w:val="single"/>
        </w:rPr>
        <w:t>May I attend the 2023 Annual Meeting in Person?</w:t>
      </w:r>
    </w:p>
    <w:p>
      <w:pPr>
        <w:pStyle w:val="TextBody"/>
        <w:bidi w:val="0"/>
        <w:spacing w:before="0" w:after="0"/>
        <w:jc w:val="both"/>
        <w:rPr>
          <w:rFonts w:ascii="Times New Roman" w:hAnsi="Times New Roman"/>
          <w:sz w:val="20"/>
        </w:rPr>
      </w:pPr>
      <w:r>
        <w:rPr>
          <w:rFonts w:ascii="Arial;sans-serif" w:hAnsi="Arial;sans-serif"/>
          <w:b w:val="false"/>
          <w:sz w:val="20"/>
        </w:rPr>
        <w:t xml:space="preserve">The 2023 Annual Meeting will be held exclusively online, with no option to attend in person. You may attend the meeting by visiting </w:t>
      </w:r>
      <w:r>
        <w:rPr>
          <w:rFonts w:ascii="Arial;sans-serif" w:hAnsi="Arial;sans-serif"/>
          <w:b w:val="false"/>
          <w:i/>
          <w:sz w:val="20"/>
        </w:rPr>
        <w:t>www.virtualshareholdermeeting.com/SWBI2023</w:t>
      </w:r>
      <w:r>
        <w:rPr>
          <w:rFonts w:ascii="Times New Roman" w:hAnsi="Times New Roman"/>
          <w:sz w:val="20"/>
        </w:rPr>
        <w:t xml:space="preserve"> </w:t>
      </w:r>
      <w:r>
        <w:rPr>
          <w:rFonts w:ascii="Arial;sans-serif" w:hAnsi="Arial;sans-serif"/>
          <w:b w:val="false"/>
          <w:sz w:val="20"/>
        </w:rPr>
        <w:t>and using your 16-digit control number included on your proxy card or in the instructions that accompanied your proxy materials to enter the meeting. If you do not have a 16-digit control number, you may still attend the meeting as a guest in listen-only mode. We encourage stockholders to log in to the website and access the webcast early, beginning approximately 15 minutes before the 2023 Annual Meeting’s 10:00 a.m. start time. If you experience technical difficulties, please contact the technical support telephone number posted on the virtual stockholder meeting login page.</w:t>
      </w:r>
    </w:p>
    <w:p>
      <w:pPr>
        <w:pStyle w:val="TextBody"/>
        <w:bidi w:val="0"/>
        <w:spacing w:before="240" w:after="0"/>
        <w:jc w:val="both"/>
        <w:rPr>
          <w:rFonts w:ascii="Times New Roman" w:hAnsi="Times New Roman"/>
          <w:sz w:val="20"/>
        </w:rPr>
      </w:pPr>
      <w:r>
        <w:rPr>
          <w:rFonts w:ascii="Arial;sans-serif" w:hAnsi="Arial;sans-serif"/>
          <w:b w:val="false"/>
          <w:sz w:val="20"/>
        </w:rPr>
        <w:t>If, as of the record date, your shares were held in an account at a brokerage firm, bank, or similar organization, then you are the beneficial owner of shares held in “street name,” and you will be required to provide proof of beneficial ownership, such as your most recent account statement as of the record date, a copy of the voting instruction form provided by your broker, bank, trustee, or nominee, or other similar evidence of ownership. If you do not comply with the procedures outlined above, you will not be admitted to the virtual annual meeting.</w:t>
      </w:r>
      <w:r>
        <w:rPr>
          <w:rFonts w:ascii="Times New Roman" w:hAnsi="Times New Roman"/>
          <w:sz w:val="20"/>
        </w:rPr>
        <w:t xml:space="preserve"> </w:t>
      </w:r>
    </w:p>
    <w:p>
      <w:pPr>
        <w:pStyle w:val="TextBody"/>
        <w:bidi w:val="0"/>
        <w:spacing w:before="0" w:after="0"/>
        <w:jc w:val="left"/>
        <w:rPr/>
      </w:pPr>
      <w:r>
        <w:rPr/>
        <w:t> </w:t>
      </w:r>
    </w:p>
    <w:tbl>
      <w:tblPr>
        <w:tblW w:w="3762" w:type="dxa"/>
        <w:jc w:val="left"/>
        <w:tblInd w:w="0" w:type="dxa"/>
        <w:tblLayout w:type="fixed"/>
        <w:tblCellMar>
          <w:top w:w="28" w:type="dxa"/>
          <w:left w:w="28" w:type="dxa"/>
          <w:bottom w:w="28" w:type="dxa"/>
          <w:right w:w="28" w:type="dxa"/>
        </w:tblCellMar>
      </w:tblPr>
      <w:tblGrid>
        <w:gridCol w:w="2266"/>
        <w:gridCol w:w="1496"/>
      </w:tblGrid>
      <w:tr>
        <w:trPr/>
        <w:tc>
          <w:tcPr>
            <w:tcW w:w="226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59</w:t>
            </w:r>
            <w:r>
              <w:rPr>
                <w:rFonts w:ascii="Times New Roman" w:hAnsi="Times New Roman"/>
                <w:sz w:val="18"/>
              </w:rPr>
              <w:t> </w:t>
            </w:r>
            <w:r>
              <w:rPr>
                <w:rFonts w:ascii="Arial;sans-serif" w:hAnsi="Arial;sans-serif"/>
                <w:b w:val="false"/>
                <w:sz w:val="18"/>
              </w:rPr>
              <w:t>I 2023 Proxy Statement</w:t>
            </w:r>
          </w:p>
        </w:tc>
        <w:tc>
          <w:tcPr>
            <w:tcW w:w="1496" w:type="dxa"/>
            <w:tcBorders/>
            <w:vAlign w:val="center"/>
          </w:tcPr>
          <w:p>
            <w:pPr>
              <w:pStyle w:val="TableContents"/>
              <w:bidi w:val="0"/>
              <w:spacing w:before="0" w:after="0"/>
              <w:ind w:left="0" w:right="0" w:hanging="0"/>
              <w:jc w:val="right"/>
              <w:rPr/>
            </w:pPr>
            <w:r>
              <w:rPr/>
              <w:drawing>
                <wp:inline distT="0" distB="0" distL="0" distR="0">
                  <wp:extent cx="828675" cy="190500"/>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0"/>
                          <a:stretch>
                            <a:fillRect/>
                          </a:stretch>
                        </pic:blipFill>
                        <pic:spPr bwMode="auto">
                          <a:xfrm>
                            <a:off x="0" y="0"/>
                            <a:ext cx="828675" cy="190500"/>
                          </a:xfrm>
                          <a:prstGeom prst="rect">
                            <a:avLst/>
                          </a:prstGeom>
                        </pic:spPr>
                      </pic:pic>
                    </a:graphicData>
                  </a:graphic>
                </wp:inline>
              </w:drawing>
            </w: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Arial;sans-serif" w:hAnsi="Arial;sans-serif"/>
          <w:b w:val="false"/>
          <w:sz w:val="20"/>
          <w:u w:val="single"/>
        </w:rPr>
      </w:pPr>
      <w:r>
        <w:rPr>
          <w:rFonts w:ascii="Arial;sans-serif" w:hAnsi="Arial;sans-serif"/>
          <w:b w:val="false"/>
          <w:sz w:val="20"/>
          <w:u w:val="single"/>
        </w:rPr>
        <w:t>Other Important Information</w:t>
      </w:r>
    </w:p>
    <w:p>
      <w:pPr>
        <w:pStyle w:val="TextBody"/>
        <w:bidi w:val="0"/>
        <w:spacing w:before="240" w:after="0"/>
        <w:jc w:val="both"/>
        <w:rPr>
          <w:rFonts w:ascii="Arial;sans-serif" w:hAnsi="Arial;sans-serif"/>
          <w:b w:val="false"/>
          <w:sz w:val="24"/>
          <w:u w:val="single"/>
        </w:rPr>
      </w:pPr>
      <w:r>
        <w:rPr>
          <w:rFonts w:ascii="Arial;sans-serif" w:hAnsi="Arial;sans-serif"/>
          <w:b w:val="false"/>
          <w:sz w:val="24"/>
          <w:u w:val="single"/>
        </w:rPr>
        <w:t>Will I be able to ask questions and participate in the virtual annual meeting?</w:t>
      </w:r>
    </w:p>
    <w:p>
      <w:pPr>
        <w:pStyle w:val="TextBody"/>
        <w:bidi w:val="0"/>
        <w:spacing w:before="40" w:after="0"/>
        <w:jc w:val="both"/>
        <w:rPr>
          <w:rFonts w:ascii="Arial;sans-serif" w:hAnsi="Arial;sans-serif"/>
          <w:b w:val="false"/>
          <w:sz w:val="20"/>
        </w:rPr>
      </w:pPr>
      <w:r>
        <w:rPr>
          <w:rFonts w:ascii="Arial;sans-serif" w:hAnsi="Arial;sans-serif"/>
          <w:b w:val="false"/>
          <w:sz w:val="20"/>
        </w:rPr>
        <w:t>Stockholders of record and proxy holders that provide their valid 16-digit control number will be able to participate in the 2023 Annual Meeting by asking questions and voting their shares as outlined above.</w:t>
      </w:r>
    </w:p>
    <w:p>
      <w:pPr>
        <w:pStyle w:val="TextBody"/>
        <w:bidi w:val="0"/>
        <w:spacing w:before="0" w:after="0"/>
        <w:jc w:val="both"/>
        <w:rPr>
          <w:rFonts w:ascii="Arial;sans-serif" w:hAnsi="Arial;sans-serif"/>
          <w:b w:val="false"/>
          <w:sz w:val="20"/>
        </w:rPr>
      </w:pPr>
      <w:r>
        <w:rPr>
          <w:rFonts w:ascii="Arial;sans-serif" w:hAnsi="Arial;sans-serif"/>
          <w:b w:val="false"/>
          <w:sz w:val="20"/>
        </w:rPr>
        <w:t>To submit questions during the meeting, stockholders may log into the virtual meeting website with their 16-digit control number, type the question into the “Ask a Question” field, and click “Submit.”</w:t>
      </w:r>
    </w:p>
    <w:p>
      <w:pPr>
        <w:pStyle w:val="TextBody"/>
        <w:bidi w:val="0"/>
        <w:spacing w:before="240" w:after="0"/>
        <w:jc w:val="both"/>
        <w:rPr>
          <w:rFonts w:ascii="Arial;sans-serif" w:hAnsi="Arial;sans-serif"/>
          <w:b w:val="false"/>
          <w:sz w:val="20"/>
        </w:rPr>
      </w:pPr>
      <w:r>
        <w:rPr>
          <w:rFonts w:ascii="Arial;sans-serif" w:hAnsi="Arial;sans-serif"/>
          <w:b w:val="false"/>
          <w:sz w:val="20"/>
        </w:rPr>
        <w:t>Only stockholders with a valid 16-digit control number will be allowed to ask questions and engage in dialogue. Questions and comments pertinent to meeting matters will be answered and addressed during the 2023 Annual Meeting as time allows. If we receive substantially similar written questions, we may group these questions together and provide a single response to avoid repetition and allow time for additional question topics. If we are unable to respond to a stockholder’s properly submitted question due to time constraints, we will endeavor to respond directly to that stockholder using the contact information provided.</w:t>
      </w:r>
    </w:p>
    <w:p>
      <w:pPr>
        <w:pStyle w:val="TextBody"/>
        <w:bidi w:val="0"/>
        <w:spacing w:before="240" w:after="0"/>
        <w:jc w:val="both"/>
        <w:rPr>
          <w:rFonts w:ascii="Arial;sans-serif" w:hAnsi="Arial;sans-serif"/>
          <w:b w:val="false"/>
          <w:sz w:val="20"/>
        </w:rPr>
      </w:pPr>
      <w:r>
        <w:rPr>
          <w:rFonts w:ascii="Arial;sans-serif" w:hAnsi="Arial;sans-serif"/>
          <w:b w:val="false"/>
          <w:sz w:val="20"/>
        </w:rPr>
        <w:t>Additional information regarding the rules and procedures for participating in the virtual annual meeting will be provided in our meeting rules of conduct, which stockholders may view during the 2023 Annual Meeting at the meeting website.</w:t>
      </w:r>
    </w:p>
    <w:p>
      <w:pPr>
        <w:pStyle w:val="TextBody"/>
        <w:bidi w:val="0"/>
        <w:spacing w:before="240" w:after="0"/>
        <w:jc w:val="both"/>
        <w:rPr>
          <w:rFonts w:ascii="Arial;sans-serif" w:hAnsi="Arial;sans-serif"/>
          <w:b w:val="false"/>
          <w:sz w:val="24"/>
          <w:u w:val="single"/>
        </w:rPr>
      </w:pPr>
      <w:r>
        <w:rPr>
          <w:rFonts w:ascii="Arial;sans-serif" w:hAnsi="Arial;sans-serif"/>
          <w:b w:val="false"/>
          <w:sz w:val="24"/>
          <w:u w:val="single"/>
        </w:rPr>
        <w:t>How many shares of Common Stock were outstanding and entitled to vote on the record date?</w:t>
      </w:r>
    </w:p>
    <w:p>
      <w:pPr>
        <w:pStyle w:val="TextBody"/>
        <w:bidi w:val="0"/>
        <w:spacing w:before="40" w:after="0"/>
        <w:jc w:val="both"/>
        <w:rPr>
          <w:rFonts w:ascii="Arial;sans-serif" w:hAnsi="Arial;sans-serif"/>
          <w:b w:val="false"/>
          <w:sz w:val="20"/>
        </w:rPr>
      </w:pPr>
      <w:r>
        <w:rPr>
          <w:rFonts w:ascii="Arial;sans-serif" w:hAnsi="Arial;sans-serif"/>
          <w:b w:val="false"/>
          <w:sz w:val="20"/>
        </w:rPr>
        <w:t>[ ] shares.</w:t>
      </w:r>
    </w:p>
    <w:p>
      <w:pPr>
        <w:pStyle w:val="TextBody"/>
        <w:bidi w:val="0"/>
        <w:spacing w:before="240" w:after="0"/>
        <w:jc w:val="both"/>
        <w:rPr>
          <w:rFonts w:ascii="Arial;sans-serif" w:hAnsi="Arial;sans-serif"/>
          <w:b w:val="false"/>
          <w:sz w:val="24"/>
          <w:u w:val="single"/>
        </w:rPr>
      </w:pPr>
      <w:r>
        <w:rPr>
          <w:rFonts w:ascii="Arial;sans-serif" w:hAnsi="Arial;sans-serif"/>
          <w:b w:val="false"/>
          <w:sz w:val="24"/>
          <w:u w:val="single"/>
        </w:rPr>
        <w:t>Can I change my vote or revoke my proxy after I vote?</w:t>
      </w:r>
    </w:p>
    <w:p>
      <w:pPr>
        <w:pStyle w:val="TextBody"/>
        <w:bidi w:val="0"/>
        <w:spacing w:before="40" w:after="0"/>
        <w:jc w:val="both"/>
        <w:rPr>
          <w:rFonts w:ascii="Times New Roman" w:hAnsi="Times New Roman"/>
          <w:sz w:val="20"/>
        </w:rPr>
      </w:pPr>
      <w:r>
        <w:rPr>
          <w:rFonts w:ascii="Arial;sans-serif" w:hAnsi="Arial;sans-serif"/>
          <w:b w:val="false"/>
          <w:sz w:val="20"/>
        </w:rPr>
        <w:t>Any person giving a proxy may revoke the proxy at any time before its use by delivering to us either a written notice of revocation or a duly executed proxy bearing a later date or by attending the meeting and voting electronically during the meeting.</w:t>
      </w:r>
      <w:r>
        <w:rPr>
          <w:rFonts w:ascii="Times New Roman" w:hAnsi="Times New Roman"/>
          <w:sz w:val="20"/>
        </w:rPr>
        <w:t xml:space="preserve"> </w:t>
      </w:r>
    </w:p>
    <w:p>
      <w:pPr>
        <w:pStyle w:val="TextBody"/>
        <w:bidi w:val="0"/>
        <w:spacing w:before="240" w:after="0"/>
        <w:jc w:val="both"/>
        <w:rPr>
          <w:rFonts w:ascii="Arial;sans-serif" w:hAnsi="Arial;sans-serif"/>
          <w:b w:val="false"/>
          <w:sz w:val="24"/>
          <w:u w:val="single"/>
        </w:rPr>
      </w:pPr>
      <w:r>
        <w:rPr>
          <w:rFonts w:ascii="Arial;sans-serif" w:hAnsi="Arial;sans-serif"/>
          <w:b w:val="false"/>
          <w:sz w:val="24"/>
          <w:u w:val="single"/>
        </w:rPr>
        <w:t>What constitutes a quorum at the 2023 Annual Meeting, and why is a quorum required?</w:t>
      </w:r>
    </w:p>
    <w:p>
      <w:pPr>
        <w:pStyle w:val="TextBody"/>
        <w:bidi w:val="0"/>
        <w:spacing w:before="40" w:after="0"/>
        <w:jc w:val="both"/>
        <w:rPr>
          <w:rFonts w:ascii="Arial;sans-serif" w:hAnsi="Arial;sans-serif"/>
          <w:b w:val="false"/>
          <w:sz w:val="20"/>
        </w:rPr>
      </w:pPr>
      <w:r>
        <w:rPr>
          <w:rFonts w:ascii="Arial;sans-serif" w:hAnsi="Arial;sans-serif"/>
          <w:b w:val="false"/>
          <w:sz w:val="20"/>
        </w:rPr>
        <w:t>The presence at the 2023 Annual Meeting, in person or by proxy, of the holders of a majority of the total number of shares of common stock entitled to vote on the record date will constitute a quorum. Votes cast electronically during the meeting or by proxy at the meeting will be tabulated by the election inspector appointed for the meeting, who will determine whether a quorum is present. A quorum of stockholders is necessary to hold a valid meeting.</w:t>
      </w:r>
    </w:p>
    <w:p>
      <w:pPr>
        <w:pStyle w:val="TextBody"/>
        <w:bidi w:val="0"/>
        <w:spacing w:before="240" w:after="0"/>
        <w:jc w:val="both"/>
        <w:rPr>
          <w:rFonts w:ascii="Arial;sans-serif" w:hAnsi="Arial;sans-serif"/>
          <w:b w:val="false"/>
          <w:sz w:val="24"/>
          <w:u w:val="single"/>
        </w:rPr>
      </w:pPr>
      <w:r>
        <w:rPr>
          <w:rFonts w:ascii="Arial;sans-serif" w:hAnsi="Arial;sans-serif"/>
          <w:b w:val="false"/>
          <w:sz w:val="24"/>
          <w:u w:val="single"/>
        </w:rPr>
        <w:t>What is the difference between holding shares as a “registered holder” and as a “beneficial holder?”</w:t>
      </w:r>
    </w:p>
    <w:p>
      <w:pPr>
        <w:pStyle w:val="TextBody"/>
        <w:bidi w:val="0"/>
        <w:spacing w:before="40" w:after="0"/>
        <w:jc w:val="both"/>
        <w:rPr>
          <w:rFonts w:ascii="Arial;sans-serif" w:hAnsi="Arial;sans-serif"/>
          <w:b w:val="false"/>
          <w:sz w:val="20"/>
        </w:rPr>
      </w:pPr>
      <w:r>
        <w:rPr>
          <w:rFonts w:ascii="Arial;sans-serif" w:hAnsi="Arial;sans-serif"/>
          <w:b w:val="false"/>
          <w:sz w:val="20"/>
        </w:rPr>
        <w:t>If your shares are registered directly in your name with our transfer agent, you are a registered holder. If your shares are held in the name of a bank, brokerage, or other nominee as custodian on your behalf, you are a beneficial holder.</w:t>
      </w:r>
    </w:p>
    <w:p>
      <w:pPr>
        <w:pStyle w:val="TextBody"/>
        <w:bidi w:val="0"/>
        <w:spacing w:before="240" w:after="0"/>
        <w:jc w:val="both"/>
        <w:rPr>
          <w:rFonts w:ascii="Arial;sans-serif" w:hAnsi="Arial;sans-serif"/>
          <w:b w:val="false"/>
          <w:sz w:val="24"/>
          <w:u w:val="single"/>
        </w:rPr>
      </w:pPr>
      <w:r>
        <w:rPr>
          <w:rFonts w:ascii="Arial;sans-serif" w:hAnsi="Arial;sans-serif"/>
          <w:b w:val="false"/>
          <w:sz w:val="24"/>
          <w:u w:val="single"/>
        </w:rPr>
        <w:t>What if I am a beneficial holder and do not give voting instructions to my broker?</w:t>
      </w:r>
    </w:p>
    <w:p>
      <w:pPr>
        <w:pStyle w:val="TextBody"/>
        <w:bidi w:val="0"/>
        <w:spacing w:before="40" w:after="0"/>
        <w:jc w:val="both"/>
        <w:rPr>
          <w:rFonts w:ascii="Arial;sans-serif" w:hAnsi="Arial;sans-serif"/>
          <w:b w:val="false"/>
          <w:sz w:val="20"/>
        </w:rPr>
      </w:pPr>
      <w:r>
        <w:rPr>
          <w:rFonts w:ascii="Arial;sans-serif" w:hAnsi="Arial;sans-serif"/>
          <w:b w:val="false"/>
          <w:sz w:val="20"/>
        </w:rPr>
        <w:t>As a beneficial holder, you must provide voting instructions to your bank, broker, or other nominee by the deadline provided in the materials you receive from your bank, broker, or other nominee to ensure your shares are voted in the way you would like. If you do not provide voting instructions to your bank, broker, or other nominee, whether your shares can be voted by such person will depend on the type of item being considered for vote. All proposals, other than Proposal 4, are “non-routine” matters and therefore non-discretionary items in that they may not be voted on by brokers, banks, or other nominees who have not received specific voting instructions from beneficial holders (so called “broker non-votes”). Proposal 4 is a “routine” matter and, therefore, a discretionary matter in that banks, brokers, and other nominees that do not receive voting instructions from beneficial holders may generally vote on this proposal in their discretion.</w:t>
      </w:r>
    </w:p>
    <w:p>
      <w:pPr>
        <w:pStyle w:val="TextBody"/>
        <w:bidi w:val="0"/>
        <w:spacing w:before="40" w:after="0"/>
        <w:jc w:val="both"/>
        <w:rPr/>
      </w:pPr>
      <w:r>
        <w:rPr/>
        <w:t> </w:t>
      </w:r>
    </w:p>
    <w:p>
      <w:pPr>
        <w:pStyle w:val="TextBody"/>
        <w:bidi w:val="0"/>
        <w:spacing w:before="0" w:after="0"/>
        <w:jc w:val="left"/>
        <w:rPr/>
      </w:pPr>
      <w:r>
        <w:rPr/>
        <w:t> </w:t>
      </w:r>
    </w:p>
    <w:tbl>
      <w:tblPr>
        <w:tblW w:w="3762" w:type="dxa"/>
        <w:jc w:val="left"/>
        <w:tblInd w:w="0" w:type="dxa"/>
        <w:tblLayout w:type="fixed"/>
        <w:tblCellMar>
          <w:top w:w="28" w:type="dxa"/>
          <w:left w:w="28" w:type="dxa"/>
          <w:bottom w:w="28" w:type="dxa"/>
          <w:right w:w="28" w:type="dxa"/>
        </w:tblCellMar>
      </w:tblPr>
      <w:tblGrid>
        <w:gridCol w:w="2266"/>
        <w:gridCol w:w="1496"/>
      </w:tblGrid>
      <w:tr>
        <w:trPr/>
        <w:tc>
          <w:tcPr>
            <w:tcW w:w="226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60</w:t>
            </w:r>
            <w:r>
              <w:rPr>
                <w:rFonts w:ascii="Times New Roman" w:hAnsi="Times New Roman"/>
                <w:sz w:val="18"/>
              </w:rPr>
              <w:t> </w:t>
            </w:r>
            <w:r>
              <w:rPr>
                <w:rFonts w:ascii="Arial;sans-serif" w:hAnsi="Arial;sans-serif"/>
                <w:b w:val="false"/>
                <w:sz w:val="18"/>
              </w:rPr>
              <w:t>I 2023 Proxy Statement</w:t>
            </w:r>
          </w:p>
        </w:tc>
        <w:tc>
          <w:tcPr>
            <w:tcW w:w="1496" w:type="dxa"/>
            <w:tcBorders/>
            <w:vAlign w:val="center"/>
          </w:tcPr>
          <w:p>
            <w:pPr>
              <w:pStyle w:val="TableContents"/>
              <w:bidi w:val="0"/>
              <w:spacing w:before="0" w:after="0"/>
              <w:ind w:left="0" w:right="0" w:hanging="0"/>
              <w:jc w:val="right"/>
              <w:rPr/>
            </w:pPr>
            <w:r>
              <w:rPr/>
              <w:drawing>
                <wp:inline distT="0" distB="0" distL="0" distR="0">
                  <wp:extent cx="828675" cy="190500"/>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1"/>
                          <a:stretch>
                            <a:fillRect/>
                          </a:stretch>
                        </pic:blipFill>
                        <pic:spPr bwMode="auto">
                          <a:xfrm>
                            <a:off x="0" y="0"/>
                            <a:ext cx="828675" cy="190500"/>
                          </a:xfrm>
                          <a:prstGeom prst="rect">
                            <a:avLst/>
                          </a:prstGeom>
                        </pic:spPr>
                      </pic:pic>
                    </a:graphicData>
                  </a:graphic>
                </wp:inline>
              </w:drawing>
            </w: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Arial;sans-serif" w:hAnsi="Arial;sans-serif"/>
          <w:b w:val="false"/>
          <w:sz w:val="20"/>
          <w:u w:val="single"/>
        </w:rPr>
      </w:pPr>
      <w:r>
        <w:rPr>
          <w:rFonts w:ascii="Arial;sans-serif" w:hAnsi="Arial;sans-serif"/>
          <w:b w:val="false"/>
          <w:sz w:val="20"/>
          <w:u w:val="single"/>
        </w:rPr>
        <w:t>Other Important Information</w:t>
      </w:r>
    </w:p>
    <w:p>
      <w:pPr>
        <w:pStyle w:val="TextBody"/>
        <w:bidi w:val="0"/>
        <w:spacing w:before="0" w:after="0"/>
        <w:jc w:val="both"/>
        <w:rPr>
          <w:rFonts w:ascii="Arial;sans-serif" w:hAnsi="Arial;sans-serif"/>
          <w:b w:val="false"/>
          <w:sz w:val="24"/>
          <w:u w:val="single"/>
        </w:rPr>
      </w:pPr>
      <w:r>
        <w:rPr>
          <w:rFonts w:ascii="Arial;sans-serif" w:hAnsi="Arial;sans-serif"/>
          <w:b w:val="false"/>
          <w:sz w:val="24"/>
          <w:u w:val="single"/>
        </w:rPr>
        <w:t>Will any other business be conducted at the Annual Meeting?</w:t>
      </w:r>
    </w:p>
    <w:p>
      <w:pPr>
        <w:pStyle w:val="TextBody"/>
        <w:bidi w:val="0"/>
        <w:spacing w:before="0" w:after="0"/>
        <w:jc w:val="both"/>
        <w:rPr>
          <w:rFonts w:ascii="Arial;sans-serif" w:hAnsi="Arial;sans-serif"/>
          <w:b w:val="false"/>
          <w:sz w:val="20"/>
        </w:rPr>
      </w:pPr>
      <w:r>
        <w:rPr>
          <w:rFonts w:ascii="Arial;sans-serif" w:hAnsi="Arial;sans-serif"/>
          <w:b w:val="false"/>
          <w:sz w:val="20"/>
        </w:rPr>
        <w:t>We are not aware of any items, other than those referred to in this Proxy Statement, that may properly come before the 2023 Annual Meeting. If other matters are properly brought before the 2023 Annual Meeting, the accompanying proxy will be voted at the discretion of the proxy holders.</w:t>
      </w:r>
    </w:p>
    <w:p>
      <w:pPr>
        <w:pStyle w:val="TextBody"/>
        <w:bidi w:val="0"/>
        <w:spacing w:before="0" w:after="0"/>
        <w:jc w:val="both"/>
        <w:rPr/>
      </w:pPr>
      <w:r>
        <w:rPr/>
        <w:t> </w:t>
      </w:r>
    </w:p>
    <w:p>
      <w:pPr>
        <w:pStyle w:val="TextBody"/>
        <w:bidi w:val="0"/>
        <w:spacing w:before="0" w:after="0"/>
        <w:jc w:val="both"/>
        <w:rPr>
          <w:rFonts w:ascii="Arial;sans-serif" w:hAnsi="Arial;sans-serif"/>
          <w:b w:val="false"/>
          <w:sz w:val="24"/>
          <w:u w:val="single"/>
        </w:rPr>
      </w:pPr>
      <w:r>
        <w:rPr>
          <w:rFonts w:ascii="Arial;sans-serif" w:hAnsi="Arial;sans-serif"/>
          <w:b w:val="false"/>
          <w:sz w:val="24"/>
          <w:u w:val="single"/>
        </w:rPr>
        <w:t>What is householding?</w:t>
      </w:r>
    </w:p>
    <w:p>
      <w:pPr>
        <w:pStyle w:val="TextBody"/>
        <w:bidi w:val="0"/>
        <w:spacing w:before="0" w:after="0"/>
        <w:jc w:val="both"/>
        <w:rPr>
          <w:rFonts w:ascii="Arial;sans-serif" w:hAnsi="Arial;sans-serif"/>
          <w:b w:val="false"/>
          <w:sz w:val="20"/>
        </w:rPr>
      </w:pPr>
      <w:r>
        <w:rPr>
          <w:rFonts w:ascii="Arial;sans-serif" w:hAnsi="Arial;sans-serif"/>
          <w:b w:val="false"/>
          <w:sz w:val="20"/>
        </w:rPr>
        <w:t>Beneficial holders who share a single address may receive only one copy of the notice or the proxy materials, as the case may be, unless their broker, bank, or other nominee has received contrary instructions from any beneficial holder at that address. This is known as householding. If any beneficial holder(s) sharing a single address wishes to discontinue householding and/or receive a separate copy of the notice or the proxy materials, or wishes to enroll in householding, the beneficial holder(s) should contact its broker, bank, or other nominee directly. Alternatively, if any such beneficial holder wishes to receive a separate copy of the proxy materials, we will deliver them promptly upon request in writing (by mailing a request to our principal executive offices).</w:t>
      </w:r>
    </w:p>
    <w:p>
      <w:pPr>
        <w:pStyle w:val="TextBody"/>
        <w:bidi w:val="0"/>
        <w:spacing w:before="240" w:after="0"/>
        <w:jc w:val="both"/>
        <w:rPr>
          <w:rFonts w:ascii="Arial;sans-serif" w:hAnsi="Arial;sans-serif"/>
          <w:b w:val="false"/>
          <w:sz w:val="24"/>
          <w:u w:val="single"/>
        </w:rPr>
      </w:pPr>
      <w:r>
        <w:rPr>
          <w:rFonts w:ascii="Arial;sans-serif" w:hAnsi="Arial;sans-serif"/>
          <w:b w:val="false"/>
          <w:sz w:val="24"/>
          <w:u w:val="single"/>
        </w:rPr>
        <w:t>Who pays for this proxy solicitation?</w:t>
      </w:r>
    </w:p>
    <w:p>
      <w:pPr>
        <w:pStyle w:val="TextBody"/>
        <w:bidi w:val="0"/>
        <w:spacing w:before="40" w:after="0"/>
        <w:jc w:val="both"/>
        <w:rPr>
          <w:rFonts w:ascii="Arial;sans-serif" w:hAnsi="Arial;sans-serif"/>
          <w:b w:val="false"/>
          <w:sz w:val="20"/>
        </w:rPr>
      </w:pPr>
      <w:r>
        <w:rPr>
          <w:rFonts w:ascii="Arial;sans-serif" w:hAnsi="Arial;sans-serif"/>
          <w:b w:val="false"/>
          <w:sz w:val="20"/>
        </w:rPr>
        <w:t>We bear the costs of soliciting proxies. We will reimburse brokerage firms and other persons representing beneficial owners of shares for expenses incurred in forwarding solicitation materials to such beneficial owners. Proxies also may be solicited by certain of our directors and officers, personally or by telephone or e-mail, without additional compensation.</w:t>
      </w:r>
    </w:p>
    <w:p>
      <w:pPr>
        <w:pStyle w:val="TextBody"/>
        <w:bidi w:val="0"/>
        <w:spacing w:before="240" w:after="0"/>
        <w:jc w:val="both"/>
        <w:rPr>
          <w:rFonts w:ascii="Arial;sans-serif" w:hAnsi="Arial;sans-serif"/>
          <w:b w:val="false"/>
          <w:sz w:val="20"/>
        </w:rPr>
      </w:pPr>
      <w:r>
        <w:rPr>
          <w:rFonts w:ascii="Arial;sans-serif" w:hAnsi="Arial;sans-serif"/>
          <w:b w:val="false"/>
          <w:sz w:val="20"/>
        </w:rPr>
        <w:t>We have retained Morrow Sodali LLC, a proxy solicitation firm, to perform various solicitation services in connection with the 2023 Annual Meeting. We will pay Morrow Sodali a fee of $10,000, plus phone and other related expenses, in connection with its solicitation services. Morrow Sodali has engaged approximately 15 of its employees to assist us in connection with the solicitation of proxies.</w:t>
      </w:r>
    </w:p>
    <w:p>
      <w:pPr>
        <w:pStyle w:val="TextBody"/>
        <w:bidi w:val="0"/>
        <w:spacing w:before="240" w:after="0"/>
        <w:jc w:val="both"/>
        <w:rPr>
          <w:rFonts w:ascii="Arial;sans-serif" w:hAnsi="Arial;sans-serif"/>
          <w:b w:val="false"/>
          <w:sz w:val="24"/>
          <w:u w:val="single"/>
        </w:rPr>
      </w:pPr>
      <w:r>
        <w:rPr>
          <w:rFonts w:ascii="Arial;sans-serif" w:hAnsi="Arial;sans-serif"/>
          <w:b w:val="false"/>
          <w:sz w:val="24"/>
          <w:u w:val="single"/>
        </w:rPr>
        <w:t>When will the Company announce the voting results?</w:t>
      </w:r>
    </w:p>
    <w:p>
      <w:pPr>
        <w:pStyle w:val="TextBody"/>
        <w:bidi w:val="0"/>
        <w:spacing w:before="40" w:after="0"/>
        <w:jc w:val="both"/>
        <w:rPr>
          <w:rFonts w:ascii="Arial;sans-serif" w:hAnsi="Arial;sans-serif"/>
          <w:b w:val="false"/>
          <w:sz w:val="20"/>
        </w:rPr>
      </w:pPr>
      <w:r>
        <w:rPr>
          <w:rFonts w:ascii="Arial;sans-serif" w:hAnsi="Arial;sans-serif"/>
          <w:b w:val="false"/>
          <w:sz w:val="20"/>
        </w:rPr>
        <w:t>We will announce preliminary voting results at the 2023 Annual Meeting and report the final results on our website and in a current report on Form 8-K filed with the SEC.</w:t>
      </w:r>
    </w:p>
    <w:p>
      <w:pPr>
        <w:pStyle w:val="TextBody"/>
        <w:bidi w:val="0"/>
        <w:spacing w:before="240" w:after="0"/>
        <w:jc w:val="both"/>
        <w:rPr>
          <w:rFonts w:ascii="Times New Roman" w:hAnsi="Times New Roman"/>
          <w:sz w:val="20"/>
        </w:rPr>
      </w:pPr>
      <w:r>
        <w:rPr>
          <w:rFonts w:ascii="Arial;sans-serif" w:hAnsi="Arial;sans-serif"/>
          <w:b w:val="false"/>
          <w:sz w:val="24"/>
          <w:u w:val="single"/>
        </w:rPr>
        <w:t>Important Notice Regarding the Availability of Proxy Materials for the 2023 Annual Meeting.</w:t>
      </w:r>
      <w:r>
        <w:rPr>
          <w:rFonts w:ascii="Times New Roman" w:hAnsi="Times New Roman"/>
          <w:sz w:val="20"/>
        </w:rPr>
        <w:t xml:space="preserve"> </w:t>
      </w:r>
    </w:p>
    <w:p>
      <w:pPr>
        <w:pStyle w:val="TextBody"/>
        <w:bidi w:val="0"/>
        <w:spacing w:before="0" w:after="0"/>
        <w:jc w:val="both"/>
        <w:rPr>
          <w:rFonts w:ascii="Times New Roman" w:hAnsi="Times New Roman"/>
          <w:sz w:val="20"/>
        </w:rPr>
      </w:pPr>
      <w:r>
        <w:rPr>
          <w:rFonts w:ascii="Arial;sans-serif" w:hAnsi="Arial;sans-serif"/>
          <w:b w:val="false"/>
          <w:sz w:val="20"/>
        </w:rPr>
        <w:t xml:space="preserve">These proxy materials, which include the notice of annual meeting, this Proxy Statement, and our annual report, are available at </w:t>
      </w:r>
      <w:r>
        <w:rPr>
          <w:rFonts w:ascii="Arial;sans-serif" w:hAnsi="Arial;sans-serif"/>
          <w:b w:val="false"/>
          <w:i/>
          <w:sz w:val="20"/>
        </w:rPr>
        <w:t>www.proxyvote.com</w:t>
      </w:r>
      <w:r>
        <w:rPr>
          <w:rFonts w:ascii="Arial;sans-serif" w:hAnsi="Arial;sans-serif"/>
          <w:b w:val="false"/>
          <w:sz w:val="20"/>
        </w:rPr>
        <w: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4"/>
          <w:u w:val="single"/>
        </w:rPr>
        <w:t>How does the Board recommend that you vote?</w:t>
      </w:r>
      <w:r>
        <w:rPr>
          <w:rFonts w:ascii="Times New Roman" w:hAnsi="Times New Roman"/>
          <w:sz w:val="20"/>
        </w:rPr>
        <w:t xml:space="preserve"> </w:t>
      </w:r>
    </w:p>
    <w:p>
      <w:pPr>
        <w:pStyle w:val="TextBody"/>
        <w:bidi w:val="0"/>
        <w:spacing w:before="40" w:after="0"/>
        <w:jc w:val="both"/>
        <w:rPr>
          <w:rFonts w:ascii="Times New Roman" w:hAnsi="Times New Roman"/>
          <w:sz w:val="20"/>
        </w:rPr>
      </w:pPr>
      <w:r>
        <w:rPr>
          <w:rFonts w:ascii="Arial;sans-serif" w:hAnsi="Arial;sans-serif"/>
          <w:b w:val="false"/>
          <w:sz w:val="20"/>
        </w:rPr>
        <w:t>The Board recommends that you vote as follows:</w:t>
      </w:r>
      <w:r>
        <w:rPr>
          <w:rFonts w:ascii="Times New Roman" w:hAnsi="Times New Roman"/>
          <w:sz w:val="20"/>
        </w:rPr>
        <w:t xml:space="preserve"> </w:t>
      </w:r>
    </w:p>
    <w:p>
      <w:pPr>
        <w:pStyle w:val="TextBody"/>
        <w:bidi w:val="0"/>
        <w:spacing w:before="120" w:after="0"/>
        <w:jc w:val="both"/>
        <w:rPr/>
      </w:pPr>
      <w:r>
        <w:rPr/>
        <w:t>•</w:t>
      </w:r>
    </w:p>
    <w:p>
      <w:pPr>
        <w:pStyle w:val="TextBody"/>
        <w:bidi w:val="0"/>
        <w:spacing w:before="120" w:after="0"/>
        <w:jc w:val="both"/>
        <w:rPr/>
      </w:pPr>
      <w:r>
        <w:rPr>
          <w:rFonts w:ascii="Arial;sans-serif" w:hAnsi="Arial;sans-serif"/>
          <w:b/>
          <w:sz w:val="20"/>
        </w:rPr>
        <w:t>FOR</w:t>
      </w:r>
      <w:r>
        <w:rPr/>
        <w:t xml:space="preserve"> </w:t>
      </w:r>
      <w:r>
        <w:rPr>
          <w:rFonts w:ascii="Arial;sans-serif" w:hAnsi="Arial;sans-serif"/>
          <w:b w:val="false"/>
          <w:sz w:val="20"/>
        </w:rPr>
        <w:t>the election of each of the nominee directors (Proposal 1)</w:t>
      </w:r>
    </w:p>
    <w:p>
      <w:pPr>
        <w:pStyle w:val="TextBody"/>
        <w:bidi w:val="0"/>
        <w:spacing w:before="120" w:after="0"/>
        <w:jc w:val="both"/>
        <w:rPr/>
      </w:pPr>
      <w:r>
        <w:rPr/>
        <w:t>•</w:t>
      </w:r>
    </w:p>
    <w:p>
      <w:pPr>
        <w:pStyle w:val="TextBody"/>
        <w:bidi w:val="0"/>
        <w:spacing w:before="120" w:after="0"/>
        <w:jc w:val="both"/>
        <w:rPr/>
      </w:pPr>
      <w:r>
        <w:rPr>
          <w:rFonts w:ascii="Arial;sans-serif" w:hAnsi="Arial;sans-serif"/>
          <w:b/>
          <w:sz w:val="20"/>
        </w:rPr>
        <w:t>FOR</w:t>
      </w:r>
      <w:r>
        <w:rPr/>
        <w:t xml:space="preserve"> </w:t>
      </w:r>
      <w:r>
        <w:rPr>
          <w:rFonts w:ascii="Arial;sans-serif" w:hAnsi="Arial;sans-serif"/>
          <w:b w:val="false"/>
          <w:sz w:val="20"/>
        </w:rPr>
        <w:t>the advisory vote on the compensation of our NEOs for fiscal 2023 (Proposal 2)</w:t>
      </w:r>
    </w:p>
    <w:p>
      <w:pPr>
        <w:pStyle w:val="TextBody"/>
        <w:bidi w:val="0"/>
        <w:spacing w:before="120" w:after="0"/>
        <w:jc w:val="both"/>
        <w:rPr/>
      </w:pPr>
      <w:r>
        <w:rPr/>
        <w:t>•</w:t>
      </w:r>
    </w:p>
    <w:p>
      <w:pPr>
        <w:pStyle w:val="TextBody"/>
        <w:bidi w:val="0"/>
        <w:spacing w:before="120" w:after="0"/>
        <w:jc w:val="both"/>
        <w:rPr/>
      </w:pPr>
      <w:r>
        <w:rPr>
          <w:rFonts w:ascii="Arial;sans-serif" w:hAnsi="Arial;sans-serif"/>
          <w:b/>
          <w:sz w:val="20"/>
        </w:rPr>
        <w:t xml:space="preserve">ONE YEAR </w:t>
      </w:r>
      <w:r>
        <w:rPr>
          <w:rFonts w:ascii="Arial;sans-serif" w:hAnsi="Arial;sans-serif"/>
          <w:b w:val="false"/>
          <w:sz w:val="20"/>
        </w:rPr>
        <w:t>for the advisory vote on the frequency of future say-on-pay votes (Proposal 3)</w:t>
      </w:r>
    </w:p>
    <w:p>
      <w:pPr>
        <w:pStyle w:val="TextBody"/>
        <w:bidi w:val="0"/>
        <w:spacing w:before="120" w:after="0"/>
        <w:jc w:val="both"/>
        <w:rPr/>
      </w:pPr>
      <w:r>
        <w:rPr/>
        <w:t>•</w:t>
      </w:r>
    </w:p>
    <w:p>
      <w:pPr>
        <w:pStyle w:val="TextBody"/>
        <w:bidi w:val="0"/>
        <w:spacing w:before="120" w:after="0"/>
        <w:jc w:val="both"/>
        <w:rPr/>
      </w:pPr>
      <w:r>
        <w:rPr>
          <w:rFonts w:ascii="Arial;sans-serif" w:hAnsi="Arial;sans-serif"/>
          <w:b/>
          <w:sz w:val="20"/>
        </w:rPr>
        <w:t>FOR</w:t>
      </w:r>
      <w:r>
        <w:rPr/>
        <w:t xml:space="preserve"> </w:t>
      </w:r>
      <w:r>
        <w:rPr>
          <w:rFonts w:ascii="Arial;sans-serif" w:hAnsi="Arial;sans-serif"/>
          <w:b w:val="false"/>
          <w:sz w:val="20"/>
        </w:rPr>
        <w:t>the ratification of the appointment of Deloitte &amp; Touche LLP as the independent registered public accountant of our company for the fiscal year ending April 30, 2024 (Proposal 4)</w:t>
      </w:r>
    </w:p>
    <w:p>
      <w:pPr>
        <w:pStyle w:val="TextBody"/>
        <w:bidi w:val="0"/>
        <w:spacing w:before="120" w:after="0"/>
        <w:jc w:val="both"/>
        <w:rPr/>
      </w:pPr>
      <w:r>
        <w:rPr/>
        <w:t>•</w:t>
      </w:r>
    </w:p>
    <w:p>
      <w:pPr>
        <w:pStyle w:val="TextBody"/>
        <w:bidi w:val="0"/>
        <w:spacing w:before="120" w:after="0"/>
        <w:jc w:val="both"/>
        <w:rPr/>
      </w:pPr>
      <w:r>
        <w:rPr>
          <w:rFonts w:ascii="Arial;sans-serif" w:hAnsi="Arial;sans-serif"/>
          <w:b/>
          <w:sz w:val="20"/>
        </w:rPr>
        <w:t>FOR</w:t>
      </w:r>
      <w:r>
        <w:rPr/>
        <w:t xml:space="preserve"> </w:t>
      </w:r>
      <w:r>
        <w:rPr>
          <w:rFonts w:ascii="Arial;sans-serif" w:hAnsi="Arial;sans-serif"/>
          <w:b w:val="false"/>
          <w:sz w:val="20"/>
        </w:rPr>
        <w:t>the advisory vote on the right to call special stockholder meetings (Proposal 5)</w:t>
      </w:r>
    </w:p>
    <w:p>
      <w:pPr>
        <w:pStyle w:val="TextBody"/>
        <w:bidi w:val="0"/>
        <w:spacing w:before="120" w:after="0"/>
        <w:jc w:val="both"/>
        <w:rPr/>
      </w:pPr>
      <w:r>
        <w:rPr/>
        <w:t>•</w:t>
      </w:r>
    </w:p>
    <w:p>
      <w:pPr>
        <w:pStyle w:val="TextBody"/>
        <w:bidi w:val="0"/>
        <w:spacing w:before="120" w:after="0"/>
        <w:jc w:val="both"/>
        <w:rPr/>
      </w:pPr>
      <w:r>
        <w:rPr>
          <w:rFonts w:ascii="Arial;sans-serif" w:hAnsi="Arial;sans-serif"/>
          <w:b/>
          <w:sz w:val="20"/>
        </w:rPr>
        <w:t>FOR</w:t>
      </w:r>
      <w:r>
        <w:rPr/>
        <w:t xml:space="preserve"> </w:t>
      </w:r>
      <w:r>
        <w:rPr>
          <w:rFonts w:ascii="Arial;sans-serif" w:hAnsi="Arial;sans-serif"/>
          <w:b w:val="false"/>
          <w:sz w:val="20"/>
        </w:rPr>
        <w:t>the ratification of the Nevada exclusive forum provision (Proposal 6)</w:t>
      </w:r>
    </w:p>
    <w:p>
      <w:pPr>
        <w:pStyle w:val="TextBody"/>
        <w:bidi w:val="0"/>
        <w:spacing w:before="120" w:after="0"/>
        <w:jc w:val="both"/>
        <w:rPr/>
      </w:pPr>
      <w:r>
        <w:rPr/>
        <w:t>•</w:t>
      </w:r>
    </w:p>
    <w:p>
      <w:pPr>
        <w:pStyle w:val="TextBody"/>
        <w:bidi w:val="0"/>
        <w:spacing w:before="120" w:after="0"/>
        <w:jc w:val="both"/>
        <w:rPr/>
      </w:pPr>
      <w:r>
        <w:rPr>
          <w:rFonts w:ascii="Arial;sans-serif" w:hAnsi="Arial;sans-serif"/>
          <w:b/>
          <w:sz w:val="20"/>
        </w:rPr>
        <w:t xml:space="preserve">AGAINST </w:t>
      </w:r>
      <w:r>
        <w:rPr>
          <w:rFonts w:ascii="Arial;sans-serif" w:hAnsi="Arial;sans-serif"/>
          <w:b w:val="false"/>
          <w:sz w:val="20"/>
        </w:rPr>
        <w:t>approval of a stockholder proposal about the right to call special meetings (Proposal 7)</w:t>
      </w:r>
    </w:p>
    <w:p>
      <w:pPr>
        <w:pStyle w:val="TextBody"/>
        <w:bidi w:val="0"/>
        <w:spacing w:before="120" w:after="0"/>
        <w:jc w:val="both"/>
        <w:rPr/>
      </w:pPr>
      <w:r>
        <w:rPr/>
        <w:t>•</w:t>
      </w:r>
    </w:p>
    <w:p>
      <w:pPr>
        <w:pStyle w:val="TextBody"/>
        <w:bidi w:val="0"/>
        <w:spacing w:before="120" w:after="283"/>
        <w:jc w:val="both"/>
        <w:rPr/>
      </w:pPr>
      <w:r>
        <w:rPr>
          <w:rFonts w:ascii="Arial;sans-serif" w:hAnsi="Arial;sans-serif"/>
          <w:b/>
          <w:sz w:val="20"/>
        </w:rPr>
        <w:t xml:space="preserve">AGAINST </w:t>
      </w:r>
      <w:r>
        <w:rPr>
          <w:rFonts w:ascii="Arial;sans-serif" w:hAnsi="Arial;sans-serif"/>
          <w:b w:val="false"/>
          <w:sz w:val="20"/>
        </w:rPr>
        <w:t>approval of a stockholder proposal about a human rights impact assessment (Proposal 8)</w:t>
      </w:r>
    </w:p>
    <w:p>
      <w:pPr>
        <w:pStyle w:val="TextBody"/>
        <w:bidi w:val="0"/>
        <w:spacing w:before="0" w:after="0"/>
        <w:jc w:val="both"/>
        <w:rPr/>
      </w:pPr>
      <w:r>
        <w:rPr/>
        <w:t> </w:t>
      </w:r>
    </w:p>
    <w:p>
      <w:pPr>
        <w:pStyle w:val="TextBody"/>
        <w:bidi w:val="0"/>
        <w:spacing w:before="0" w:after="0"/>
        <w:jc w:val="left"/>
        <w:rPr/>
      </w:pPr>
      <w:r>
        <w:rPr/>
        <w:t> </w:t>
      </w:r>
    </w:p>
    <w:tbl>
      <w:tblPr>
        <w:tblW w:w="3762" w:type="dxa"/>
        <w:jc w:val="left"/>
        <w:tblInd w:w="0" w:type="dxa"/>
        <w:tblLayout w:type="fixed"/>
        <w:tblCellMar>
          <w:top w:w="28" w:type="dxa"/>
          <w:left w:w="28" w:type="dxa"/>
          <w:bottom w:w="28" w:type="dxa"/>
          <w:right w:w="28" w:type="dxa"/>
        </w:tblCellMar>
      </w:tblPr>
      <w:tblGrid>
        <w:gridCol w:w="2266"/>
        <w:gridCol w:w="1496"/>
      </w:tblGrid>
      <w:tr>
        <w:trPr/>
        <w:tc>
          <w:tcPr>
            <w:tcW w:w="226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61</w:t>
            </w:r>
            <w:r>
              <w:rPr>
                <w:rFonts w:ascii="Times New Roman" w:hAnsi="Times New Roman"/>
                <w:sz w:val="18"/>
              </w:rPr>
              <w:t> </w:t>
            </w:r>
            <w:r>
              <w:rPr>
                <w:rFonts w:ascii="Arial;sans-serif" w:hAnsi="Arial;sans-serif"/>
                <w:b w:val="false"/>
                <w:sz w:val="18"/>
              </w:rPr>
              <w:t>I 2023 Proxy Statement</w:t>
            </w:r>
          </w:p>
        </w:tc>
        <w:tc>
          <w:tcPr>
            <w:tcW w:w="1496" w:type="dxa"/>
            <w:tcBorders/>
            <w:vAlign w:val="center"/>
          </w:tcPr>
          <w:p>
            <w:pPr>
              <w:pStyle w:val="TableContents"/>
              <w:bidi w:val="0"/>
              <w:spacing w:before="0" w:after="0"/>
              <w:ind w:left="0" w:right="0" w:hanging="0"/>
              <w:jc w:val="right"/>
              <w:rPr/>
            </w:pPr>
            <w:r>
              <w:rPr/>
              <w:drawing>
                <wp:inline distT="0" distB="0" distL="0" distR="0">
                  <wp:extent cx="828675" cy="190500"/>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2"/>
                          <a:stretch>
                            <a:fillRect/>
                          </a:stretch>
                        </pic:blipFill>
                        <pic:spPr bwMode="auto">
                          <a:xfrm>
                            <a:off x="0" y="0"/>
                            <a:ext cx="828675" cy="190500"/>
                          </a:xfrm>
                          <a:prstGeom prst="rect">
                            <a:avLst/>
                          </a:prstGeom>
                        </pic:spPr>
                      </pic:pic>
                    </a:graphicData>
                  </a:graphic>
                </wp:inline>
              </w:drawing>
            </w: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Arial;sans-serif" w:hAnsi="Arial;sans-serif"/>
          <w:b w:val="false"/>
          <w:sz w:val="20"/>
          <w:u w:val="single"/>
        </w:rPr>
      </w:pPr>
      <w:r>
        <w:rPr>
          <w:rFonts w:ascii="Arial;sans-serif" w:hAnsi="Arial;sans-serif"/>
          <w:b w:val="false"/>
          <w:sz w:val="20"/>
          <w:u w:val="single"/>
        </w:rPr>
        <w:t>Other Important Information</w:t>
      </w:r>
    </w:p>
    <w:p>
      <w:pPr>
        <w:pStyle w:val="TextBody"/>
        <w:bidi w:val="0"/>
        <w:spacing w:before="120" w:after="0"/>
        <w:jc w:val="both"/>
        <w:rPr>
          <w:rFonts w:ascii="Arial;sans-serif" w:hAnsi="Arial;sans-serif"/>
          <w:b/>
          <w:sz w:val="28"/>
        </w:rPr>
      </w:pPr>
      <w:r>
        <w:rPr>
          <w:rFonts w:ascii="Arial;sans-serif" w:hAnsi="Arial;sans-serif"/>
          <w:b/>
          <w:sz w:val="28"/>
        </w:rPr>
        <w:t>STOCKHOLDER PROPOSALS OR DIRECTOR NOMINATIONS FOR 2024 ANNUAL MEETING</w:t>
      </w:r>
    </w:p>
    <w:p>
      <w:pPr>
        <w:pStyle w:val="TextBody"/>
        <w:bidi w:val="0"/>
        <w:spacing w:before="0" w:after="0"/>
        <w:jc w:val="both"/>
        <w:rPr>
          <w:rFonts w:ascii="Arial;sans-serif" w:hAnsi="Arial;sans-serif"/>
          <w:b w:val="false"/>
          <w:sz w:val="20"/>
        </w:rPr>
      </w:pPr>
      <w:r>
        <w:rPr>
          <w:rFonts w:ascii="Arial;sans-serif" w:hAnsi="Arial;sans-serif"/>
          <w:b w:val="false"/>
          <w:sz w:val="20"/>
        </w:rPr>
        <w:t>SEC rules permit stockholders to submit proposals for inclusion in our proxy statement if the stockholder and the proposal meet the requirements specified in Rule 14a-8 under the Exchange Act. To be considered for inclusion in next year’s proxy statement, a stockholder proposal submitted in accordance with Rule 14a-8 must be received by us at our principal executive offices by no later than [ ] 2024, unless the date of the 2024 Annual Meeting shall have been accelerated or delayed by more than 30 days from September 19, 2024, in which case the deadline for submission of the stockholder proposal is a reasonable time before we begin to print and disseminate our definitive proxy materials.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Our Bylaws provide that any stockholder proposal (including director nominations) that is not submitted for inclusion in next year’s proxy statement under Rule 14a-8, but is instead sought to be presented directly at the 2024 Annual Meeting must be delivered to our principal executive offices not later than the close of business on the 90th day nor earlier than the close of business on the 120th day prior to the first anniversary of the 2023 Annual Meeting. In each case, the notice must include the information specified in our Bylaws. If the 2024 Annual Meeting is held more than 30 days before or more than 70 days after the anniversary date of the 2023 Annual Meeting, notice must be delivered not earlier than the close of business on the 120th day prior to the 2024 Annual Meeting and not later than the close of business on the later of the 90th day prior to the 2024 Annual Meeting or the 10</w:t>
      </w:r>
      <w:r>
        <w:rPr>
          <w:rFonts w:ascii="Arial;sans-serif" w:hAnsi="Arial;sans-serif"/>
          <w:b w:val="false"/>
          <w:sz w:val="13"/>
        </w:rPr>
        <w:t>th</w:t>
      </w:r>
      <w:r>
        <w:rPr>
          <w:rFonts w:ascii="Times New Roman" w:hAnsi="Times New Roman"/>
          <w:sz w:val="20"/>
        </w:rPr>
        <w:t xml:space="preserve"> </w:t>
      </w:r>
      <w:r>
        <w:rPr>
          <w:rFonts w:ascii="Arial;sans-serif" w:hAnsi="Arial;sans-serif"/>
          <w:b w:val="false"/>
          <w:sz w:val="20"/>
        </w:rPr>
        <w:t>day after the date on which a public announcement of the date of the 2024 Annual Meeting is first made by us. Accordingly, to submit any such proposal, stockholders must submit the required notice no earlier than the close of business on May 22, 2024 and no later than the close of business on June 21, 2024, except as described above.</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Arial;sans-serif" w:hAnsi="Arial;sans-serif"/>
          <w:b w:val="false"/>
          <w:sz w:val="20"/>
        </w:rPr>
      </w:pPr>
      <w:r>
        <w:rPr>
          <w:rFonts w:ascii="Arial;sans-serif" w:hAnsi="Arial;sans-serif"/>
          <w:b w:val="false"/>
          <w:sz w:val="20"/>
        </w:rPr>
        <w:t>Our Bylaws permit any eligible stockholder, or any group comprised of up to 20 eligible stockholders, who has beneficially owned 3% or more of our outstanding common stock continuously for at least three years to submit director nominations for inclusion in our proxy materials. The maximum number of qualified director-nominees that may be submitted for inclusion in our proxy materials pursuant to this bylaw (commonly referred to as “proxy access”) is the greater of (i) two or (ii) 20% of the total number of directors then serving in office at the deadline for proxy access nominations (rounded down to the nearest whole number). Any eligible stockholder desiring to nominate a qualified director for our 2024 Annual Meeting pursuant to our proxy access bylaw must give timely written notice of the nomination to our principle executive offices. To be timely, the notice must be delivered not later than the close of business on [ ], 2024, nor earlier than the close of business on [ ], 2024, unless the date of the 2024 Annual Meeting is held earlier than August 20, 2024 or later than November 18, 2024, in which case the notice must be delivered not earlier than the close of business on the 120th day prior to the 2024 Annual Meeting and not later than the close of business on the later of (i) the 90th day prior to the 2024 Annual Meeting or (ii) the 10th day after the date on which a public announcement of the date of the 2024 Annual Meeting is first made by us. Our Bylaws also provide that a stockholder is not eligible to submit a director nomination pursuant to our proxy access bylaw, and an individual is not qualified to be a director nominee pursuant to our proxy access bylaw, if such stockholder or individual, as the case may be, at any time during the three years prior to the date of such notice of nomination or our 2024 Annual Meeting, has initiated, financially sponsored, supported, or otherwise actively participated in any initiative, campaign, or other process seeking to (i) advance an agenda not directly related the enhancement of stockholder value or (ii) restrict, eliminate, or declare unlawful any business or operation of our company or any of our subsidiaries that has generated revenue, positive earnings, and/or net income in fiscal 2023.</w:t>
      </w:r>
    </w:p>
    <w:p>
      <w:pPr>
        <w:pStyle w:val="TextBody"/>
        <w:bidi w:val="0"/>
        <w:spacing w:before="240" w:after="0"/>
        <w:jc w:val="both"/>
        <w:rPr>
          <w:rFonts w:ascii="Arial;sans-serif" w:hAnsi="Arial;sans-serif"/>
          <w:b w:val="false"/>
          <w:sz w:val="20"/>
        </w:rPr>
      </w:pPr>
      <w:r>
        <w:rPr>
          <w:rFonts w:ascii="Arial;sans-serif" w:hAnsi="Arial;sans-serif"/>
          <w:b w:val="false"/>
          <w:sz w:val="20"/>
        </w:rPr>
        <w:t>Prior to making any submission to us, we encourage our stockholders to carefully review, as applicable, the full text of SEC Rule 14a-8 and the full text of our Bylaws for additional requirements to nominate a person for election to the Board or to submit a proposal for other business at the annual meeting. Proposals should be delivered to our principal executive offices to the attention of the Corporate Secretary. Delivery by email does not constitute delivery to our principal executive offices.</w:t>
      </w:r>
    </w:p>
    <w:p>
      <w:pPr>
        <w:pStyle w:val="TextBody"/>
        <w:bidi w:val="0"/>
        <w:spacing w:before="0" w:after="0"/>
        <w:jc w:val="left"/>
        <w:rPr/>
      </w:pPr>
      <w:r>
        <w:rPr/>
        <w:t> </w:t>
      </w:r>
    </w:p>
    <w:tbl>
      <w:tblPr>
        <w:tblW w:w="3762" w:type="dxa"/>
        <w:jc w:val="left"/>
        <w:tblInd w:w="0" w:type="dxa"/>
        <w:tblLayout w:type="fixed"/>
        <w:tblCellMar>
          <w:top w:w="28" w:type="dxa"/>
          <w:left w:w="28" w:type="dxa"/>
          <w:bottom w:w="28" w:type="dxa"/>
          <w:right w:w="28" w:type="dxa"/>
        </w:tblCellMar>
      </w:tblPr>
      <w:tblGrid>
        <w:gridCol w:w="2266"/>
        <w:gridCol w:w="1496"/>
      </w:tblGrid>
      <w:tr>
        <w:trPr/>
        <w:tc>
          <w:tcPr>
            <w:tcW w:w="226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rFonts w:ascii="Times New Roman" w:hAnsi="Times New Roman"/>
                <w:sz w:val="18"/>
              </w:rPr>
            </w:pPr>
            <w:r>
              <w:rPr>
                <w:rFonts w:ascii="Arial;sans-serif" w:hAnsi="Arial;sans-serif"/>
                <w:b w:val="false"/>
                <w:sz w:val="18"/>
              </w:rPr>
              <w:t>62</w:t>
            </w:r>
            <w:r>
              <w:rPr>
                <w:rFonts w:ascii="Times New Roman" w:hAnsi="Times New Roman"/>
                <w:sz w:val="18"/>
              </w:rPr>
              <w:t> </w:t>
            </w:r>
            <w:r>
              <w:rPr>
                <w:rFonts w:ascii="Arial;sans-serif" w:hAnsi="Arial;sans-serif"/>
                <w:b w:val="false"/>
                <w:sz w:val="18"/>
              </w:rPr>
              <w:t>I 2023 Proxy Statement</w:t>
            </w:r>
          </w:p>
        </w:tc>
        <w:tc>
          <w:tcPr>
            <w:tcW w:w="1496" w:type="dxa"/>
            <w:tcBorders/>
            <w:vAlign w:val="center"/>
          </w:tcPr>
          <w:p>
            <w:pPr>
              <w:pStyle w:val="TableContents"/>
              <w:bidi w:val="0"/>
              <w:spacing w:before="0" w:after="0"/>
              <w:ind w:left="0" w:right="0" w:hanging="0"/>
              <w:jc w:val="right"/>
              <w:rPr/>
            </w:pPr>
            <w:r>
              <w:rPr/>
              <w:drawing>
                <wp:inline distT="0" distB="0" distL="0" distR="0">
                  <wp:extent cx="828675" cy="190500"/>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3"/>
                          <a:stretch>
                            <a:fillRect/>
                          </a:stretch>
                        </pic:blipFill>
                        <pic:spPr bwMode="auto">
                          <a:xfrm>
                            <a:off x="0" y="0"/>
                            <a:ext cx="828675" cy="190500"/>
                          </a:xfrm>
                          <a:prstGeom prst="rect">
                            <a:avLst/>
                          </a:prstGeom>
                        </pic:spPr>
                      </pic:pic>
                    </a:graphicData>
                  </a:graphic>
                </wp:inline>
              </w:drawing>
            </w: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drawing>
          <wp:inline distT="0" distB="0" distL="0" distR="0">
            <wp:extent cx="5943600" cy="76485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4"/>
                    <a:stretch>
                      <a:fillRect/>
                    </a:stretch>
                  </pic:blipFill>
                  <pic:spPr bwMode="auto">
                    <a:xfrm>
                      <a:off x="0" y="0"/>
                      <a:ext cx="5943600" cy="7648575"/>
                    </a:xfrm>
                    <a:prstGeom prst="rect">
                      <a:avLst/>
                    </a:prstGeom>
                  </pic:spPr>
                </pic:pic>
              </a:graphicData>
            </a:graphic>
          </wp:inline>
        </w:drawing>
      </w:r>
      <w:r>
        <w:rPr/>
        <w:t> </w:t>
      </w:r>
    </w:p>
    <w:p>
      <w:pPr>
        <w:pStyle w:val="TextBody"/>
        <w:bidi w:val="0"/>
        <w:spacing w:before="0" w:after="0"/>
        <w:jc w:val="center"/>
        <w:rPr/>
      </w:pPr>
      <w:r>
        <w:rPr/>
        <w:t> </w:t>
      </w:r>
    </w:p>
    <w:p>
      <w:pPr>
        <w:pStyle w:val="TextBody"/>
        <w:bidi w:val="0"/>
        <w:spacing w:before="0" w:after="0"/>
        <w:jc w:val="left"/>
        <w:rPr/>
      </w:pPr>
      <w:r>
        <w:rPr/>
        <w:t> </w:t>
      </w:r>
    </w:p>
    <w:p>
      <w:pPr>
        <w:pStyle w:val="TextBody"/>
        <w:bidi w:val="0"/>
        <w:spacing w:before="0" w:after="0"/>
        <w:jc w:val="left"/>
        <w:rPr>
          <w:rFonts w:ascii="Arial;sans-serif" w:hAnsi="Arial;sans-serif"/>
          <w:b w:val="false"/>
          <w:sz w:val="2"/>
        </w:rPr>
      </w:pPr>
      <w:r>
        <w:rPr>
          <w:rFonts w:ascii="Arial;sans-serif" w:hAnsi="Arial;sans-serif"/>
          <w:b w:val="false"/>
          <w:sz w:val="2"/>
        </w:rPr>
        <w:t>Smith&amp;Wesson® SMITH &amp; WESSON BRANDS, INC. 2100 ROOSEVELT AVENUE SPRINGFIELD, MA 01104 SCAN TO VIEW MATERIALS &amp; VOTE VOTE BY INTERNET Before The Meeting - Go to www.proxyvote.com or scan the QR Barcode above 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 During The Meeting - Go to www.virtualshareholdermeeting.com/SWBI2022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Eastern Time the day before the cut-off date or meeting date.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D88647-P78625 KEEP THIS PORTION FOR YOUR RECORDS THIS PROXY CARD IS VALID ONLY WHEN SIGNED AND DATED. DETACH AND RETURN THIS PORTION ONLY SMITH &amp; WESSON BRANDS, INC. The Board of Directors recommends you vote FOR the following: 1. PROPOSAL 1: ELECTION OF DIRECTORS: To elect as directors all of the nominees listed below to serve until our next annual meeting of stockholders and until their successors are elected and qualified: Nominees: 01) Anita D. Britt 02) Fred M. Diaz 03) John B. Furman 04) Michael F. Golden 05) Barry M. Monheit 06) Robert L. Scott 07) Mark P. Smith 08) Denis G. Suggs For All Withhold All For All Except To withhold authority to vote for any individual nominee(s), mark "For All Except" and write the number(s) of the nominee(s) on the line below. The Board of Directors recommends you vote FOR the following proposals: 2. PROPOSAL 2: To approve on an advisory basis the compensation of our named executive officers for fiscal 2022 ("say-on-pay"). Against Abstain For The Board of Directors recommends you vote AGAINST the following proposals: 5. PROPOSAL 5: A stockholder proposal (develop a human rights policy). 6. PROPOSAL 6: A stockholder proposal (simple majority voting). and upon such matters which may properly come before the meeting or any adjournment or postponement thereof. The shares represented by this proxy, when properly executed, will be voted in the manner directed herein by the undersigned stockholder(s). If no directions are made, this proxy will be voted FOR all directors, FOR proposals 2, 3, and 4, and AGAINST proposals 5 and 6. If any other matters properly come before the meeting, the persons named in this proxy will vote in their discretion. For Against Abstain 3. PROPOSAL 3: To approve the Smith &amp; Wesson Brands, Inc. 2022 Incentive Stock Plan. 4. PROPOSAL 4: To ratify the appointment of Deloitte &amp; Touche LLP, an independent registered public accounting firm, as our independent registered public accountant for fiscal 2023. Please email address changes or comments to: investorrelations@smith-wesson.com. NOTE: Please sign exactly as your name or names appear(s)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 Signature [PLEASE SIGN WITHIN BOX] Date Signature (Joint Owners) Date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943600" cy="7696200"/>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75"/>
                    <a:stretch>
                      <a:fillRect/>
                    </a:stretch>
                  </pic:blipFill>
                  <pic:spPr bwMode="auto">
                    <a:xfrm>
                      <a:off x="0" y="0"/>
                      <a:ext cx="5943600" cy="7696200"/>
                    </a:xfrm>
                    <a:prstGeom prst="rect">
                      <a:avLst/>
                    </a:prstGeom>
                  </pic:spPr>
                </pic:pic>
              </a:graphicData>
            </a:graphic>
          </wp:inline>
        </w:drawing>
      </w:r>
      <w:r>
        <w:rPr/>
        <w:t> </w:t>
      </w:r>
    </w:p>
    <w:p>
      <w:pPr>
        <w:pStyle w:val="TextBody"/>
        <w:bidi w:val="0"/>
        <w:spacing w:before="0" w:after="0"/>
        <w:jc w:val="left"/>
        <w:rPr/>
      </w:pPr>
      <w:r>
        <w:rPr/>
        <w:t> </w:t>
      </w:r>
    </w:p>
    <w:p>
      <w:pPr>
        <w:pStyle w:val="TextBody"/>
        <w:bidi w:val="0"/>
        <w:spacing w:before="0" w:after="0"/>
        <w:jc w:val="left"/>
        <w:rPr>
          <w:rFonts w:ascii="Arial;sans-serif" w:hAnsi="Arial;sans-serif"/>
          <w:b w:val="false"/>
          <w:sz w:val="2"/>
        </w:rPr>
      </w:pPr>
      <w:r>
        <w:rPr>
          <w:rFonts w:ascii="Arial;sans-serif" w:hAnsi="Arial;sans-serif"/>
          <w:b w:val="false"/>
          <w:sz w:val="2"/>
        </w:rPr>
        <w:t>Important Notice Regarding the Availability of Proxy Materials for the Annual Meeting: The Notice and Proxy Statement and Annual Report are available at www.proxyvote.com. D88648-P78625 SMITH &amp; WESSON BRANDS, INC. THIS PROXY IS SOLICITED ON BEHALF OF THE BOARD OF DIRECTORS 2022 ANNUAL MEETING OF STOCKHOLDERS September 12, 2022 The undersigned stockholder of SMITH &amp; WESSON BRANDS, INC., a Nevada corporation (the "Company"), hereby acknowledges receipt of the Notice of Annual Meeting of Stockholders and Proxy Statement of the Company and hereby appoints Mark P. Smith and Deana L. McPherson and each of them, proxies and attorneys-in-fact, with full power to each of substitution, on behalf and in the name of the undersigned, to represent the undersigned at the 2022 Annual Meeting of Stockholders of the Company, to be held on Monday, September 12, 2022, at 10:00 a.m., Eastern Time, online at www.virtualshareholdermeeting.com/SWBI2022 and at any adjournment or postponement thereof, and to vote all shares of the Company's Common Stock that the undersigned would be entitled to vote if then and there personally present, on the matters set forth on the reverse side. This Proxy will be voted as directed or, if no contrary direction is indicated, will be voted FOR the election of the nominee directors; FOR the say-on-pay proposal; FOR approval of the Smith &amp; Wesson Brands, Inc. 2022 Incentive Stock Plan; FOR the ratification of the appointment of Deloitte &amp; Touche LLP as the independent registered public accountant of the Company for fiscal 2023; AGAINST two stockholder proposals; and as said proxies deem advisable on such other matters as may come before the meeting. A majority of such proxies or substitutes as shall be present and shall act at the meeting or any adjournment or postponement thereof (or if only one shall be present and act, then that one) shall have and may exercise all of the powers of said proxies hereunder. THE BOARD OF DIRECTORS RECOMMENDS A VOTE "FOR" THE ELECTION OF THE NOMINEE DIRECTORS, "FOR" THE SAY-ON-PAY PROPOSAL, "FOR" APPROVAL OF THE SMITH &amp; WESSON BRANDS, INC. 2022 INCENTIVE STOCK PLAN, "FOR" THE RATIFICATION OF THE APPOINTMENT OF DELOITTE &amp; TOUCHE LLPAS THE INDEPENDENT REGISTERED PUBLIC ACCOUNTANT OF THE COMPANY FOR FISCAL 2023, AND "AGAINST" TWO STOCKHOLDER PROPOSALS. PLEASE MARK, SIGN, DATE, AND RETURN THIS PROXY CARD PROMPTLY USING THE ENCLOSED REPLY ENVELOPE. CONTINUED AND TO BE SIGNED ON REVERSE SIDE.</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charset w:val="01"/>
    <w:family w:val="auto"/>
    <w:pitch w:val="default"/>
  </w:font>
  <w:font w:name="Arial">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6.jpeg"/><Relationship Id="rId9" Type="http://schemas.openxmlformats.org/officeDocument/2006/relationships/image" Target="media/image6.jpeg"/><Relationship Id="rId10" Type="http://schemas.openxmlformats.org/officeDocument/2006/relationships/image" Target="media/image6.jpeg"/><Relationship Id="rId11" Type="http://schemas.openxmlformats.org/officeDocument/2006/relationships/image" Target="media/image6.jpeg"/><Relationship Id="rId12" Type="http://schemas.openxmlformats.org/officeDocument/2006/relationships/image" Target="media/image6.jpeg"/><Relationship Id="rId13" Type="http://schemas.openxmlformats.org/officeDocument/2006/relationships/image" Target="media/image6.jpeg"/><Relationship Id="rId14" Type="http://schemas.openxmlformats.org/officeDocument/2006/relationships/image" Target="media/image6.jpeg"/><Relationship Id="rId15" Type="http://schemas.openxmlformats.org/officeDocument/2006/relationships/image" Target="media/image6.jpeg"/><Relationship Id="rId16" Type="http://schemas.openxmlformats.org/officeDocument/2006/relationships/image" Target="media/image6.jpeg"/><Relationship Id="rId17" Type="http://schemas.openxmlformats.org/officeDocument/2006/relationships/image" Target="media/image6.jpeg"/><Relationship Id="rId18" Type="http://schemas.openxmlformats.org/officeDocument/2006/relationships/image" Target="media/image6.jpeg"/><Relationship Id="rId19" Type="http://schemas.openxmlformats.org/officeDocument/2006/relationships/image" Target="media/image6.jpeg"/><Relationship Id="rId20" Type="http://schemas.openxmlformats.org/officeDocument/2006/relationships/image" Target="media/image6.jpeg"/><Relationship Id="rId21" Type="http://schemas.openxmlformats.org/officeDocument/2006/relationships/image" Target="media/image6.jpeg"/><Relationship Id="rId22" Type="http://schemas.openxmlformats.org/officeDocument/2006/relationships/image" Target="media/image6.jpeg"/><Relationship Id="rId23" Type="http://schemas.openxmlformats.org/officeDocument/2006/relationships/image" Target="media/image6.jpeg"/><Relationship Id="rId24" Type="http://schemas.openxmlformats.org/officeDocument/2006/relationships/image" Target="media/image6.jpeg"/><Relationship Id="rId25" Type="http://schemas.openxmlformats.org/officeDocument/2006/relationships/image" Target="media/image6.jpeg"/><Relationship Id="rId26" Type="http://schemas.openxmlformats.org/officeDocument/2006/relationships/image" Target="media/image6.jpeg"/><Relationship Id="rId27" Type="http://schemas.openxmlformats.org/officeDocument/2006/relationships/image" Target="media/image6.jpeg"/><Relationship Id="rId28" Type="http://schemas.openxmlformats.org/officeDocument/2006/relationships/image" Target="media/image6.jpeg"/><Relationship Id="rId29" Type="http://schemas.openxmlformats.org/officeDocument/2006/relationships/image" Target="media/image6.jpeg"/><Relationship Id="rId30" Type="http://schemas.openxmlformats.org/officeDocument/2006/relationships/image" Target="media/image6.jpeg"/><Relationship Id="rId31" Type="http://schemas.openxmlformats.org/officeDocument/2006/relationships/image" Target="media/image6.jpeg"/><Relationship Id="rId32" Type="http://schemas.openxmlformats.org/officeDocument/2006/relationships/image" Target="media/image6.jpeg"/><Relationship Id="rId33" Type="http://schemas.openxmlformats.org/officeDocument/2006/relationships/image" Target="media/image6.jpeg"/><Relationship Id="rId34" Type="http://schemas.openxmlformats.org/officeDocument/2006/relationships/image" Target="media/image6.jpeg"/><Relationship Id="rId35" Type="http://schemas.openxmlformats.org/officeDocument/2006/relationships/image" Target="media/image6.jpeg"/><Relationship Id="rId36" Type="http://schemas.openxmlformats.org/officeDocument/2006/relationships/image" Target="media/image6.jpeg"/><Relationship Id="rId37" Type="http://schemas.openxmlformats.org/officeDocument/2006/relationships/image" Target="media/image6.jpeg"/><Relationship Id="rId38" Type="http://schemas.openxmlformats.org/officeDocument/2006/relationships/image" Target="media/image6.jpeg"/><Relationship Id="rId39" Type="http://schemas.openxmlformats.org/officeDocument/2006/relationships/image" Target="media/image6.jpeg"/><Relationship Id="rId40" Type="http://schemas.openxmlformats.org/officeDocument/2006/relationships/image" Target="media/image6.jpeg"/><Relationship Id="rId41" Type="http://schemas.openxmlformats.org/officeDocument/2006/relationships/image" Target="media/image6.jpeg"/><Relationship Id="rId42" Type="http://schemas.openxmlformats.org/officeDocument/2006/relationships/image" Target="media/image6.jpeg"/><Relationship Id="rId43" Type="http://schemas.openxmlformats.org/officeDocument/2006/relationships/image" Target="media/image6.jpeg"/><Relationship Id="rId44" Type="http://schemas.openxmlformats.org/officeDocument/2006/relationships/image" Target="media/image6.jpeg"/><Relationship Id="rId45" Type="http://schemas.openxmlformats.org/officeDocument/2006/relationships/image" Target="media/image6.jpeg"/><Relationship Id="rId46" Type="http://schemas.openxmlformats.org/officeDocument/2006/relationships/image" Target="media/image7.jpeg"/><Relationship Id="rId47" Type="http://schemas.openxmlformats.org/officeDocument/2006/relationships/image" Target="media/image6.jpeg"/><Relationship Id="rId48" Type="http://schemas.openxmlformats.org/officeDocument/2006/relationships/image" Target="media/image8.jpeg"/><Relationship Id="rId49" Type="http://schemas.openxmlformats.org/officeDocument/2006/relationships/image" Target="media/image6.jpeg"/><Relationship Id="rId50" Type="http://schemas.openxmlformats.org/officeDocument/2006/relationships/image" Target="media/image9.jpeg"/><Relationship Id="rId51" Type="http://schemas.openxmlformats.org/officeDocument/2006/relationships/image" Target="media/image10.jpeg"/><Relationship Id="rId52" Type="http://schemas.openxmlformats.org/officeDocument/2006/relationships/image" Target="media/image6.jpeg"/><Relationship Id="rId53" Type="http://schemas.openxmlformats.org/officeDocument/2006/relationships/image" Target="media/image6.jpeg"/><Relationship Id="rId54" Type="http://schemas.openxmlformats.org/officeDocument/2006/relationships/image" Target="media/image6.jpeg"/><Relationship Id="rId55" Type="http://schemas.openxmlformats.org/officeDocument/2006/relationships/image" Target="media/image6.jpeg"/><Relationship Id="rId56" Type="http://schemas.openxmlformats.org/officeDocument/2006/relationships/image" Target="media/image6.jpeg"/><Relationship Id="rId57" Type="http://schemas.openxmlformats.org/officeDocument/2006/relationships/image" Target="media/image6.jpeg"/><Relationship Id="rId58" Type="http://schemas.openxmlformats.org/officeDocument/2006/relationships/image" Target="media/image6.jpeg"/><Relationship Id="rId59" Type="http://schemas.openxmlformats.org/officeDocument/2006/relationships/image" Target="media/image6.jpeg"/><Relationship Id="rId60" Type="http://schemas.openxmlformats.org/officeDocument/2006/relationships/image" Target="media/image11.jpeg"/><Relationship Id="rId61" Type="http://schemas.openxmlformats.org/officeDocument/2006/relationships/image" Target="media/image6.jpeg"/><Relationship Id="rId62" Type="http://schemas.openxmlformats.org/officeDocument/2006/relationships/image" Target="media/image6.jpeg"/><Relationship Id="rId63" Type="http://schemas.openxmlformats.org/officeDocument/2006/relationships/image" Target="media/image6.jpeg"/><Relationship Id="rId64" Type="http://schemas.openxmlformats.org/officeDocument/2006/relationships/image" Target="media/image6.jpeg"/><Relationship Id="rId65" Type="http://schemas.openxmlformats.org/officeDocument/2006/relationships/image" Target="media/image6.jpeg"/><Relationship Id="rId66" Type="http://schemas.openxmlformats.org/officeDocument/2006/relationships/image" Target="media/image6.jpeg"/><Relationship Id="rId67" Type="http://schemas.openxmlformats.org/officeDocument/2006/relationships/image" Target="media/image6.jpeg"/><Relationship Id="rId68" Type="http://schemas.openxmlformats.org/officeDocument/2006/relationships/image" Target="media/image6.jpeg"/><Relationship Id="rId69" Type="http://schemas.openxmlformats.org/officeDocument/2006/relationships/image" Target="media/image6.jpeg"/><Relationship Id="rId70" Type="http://schemas.openxmlformats.org/officeDocument/2006/relationships/image" Target="media/image6.jpeg"/><Relationship Id="rId71" Type="http://schemas.openxmlformats.org/officeDocument/2006/relationships/image" Target="media/image6.jpeg"/><Relationship Id="rId72" Type="http://schemas.openxmlformats.org/officeDocument/2006/relationships/image" Target="media/image6.jpeg"/><Relationship Id="rId73" Type="http://schemas.openxmlformats.org/officeDocument/2006/relationships/image" Target="media/image6.jpeg"/><Relationship Id="rId74" Type="http://schemas.openxmlformats.org/officeDocument/2006/relationships/image" Target="media/image12.jpeg"/><Relationship Id="rId75" Type="http://schemas.openxmlformats.org/officeDocument/2006/relationships/image" Target="media/image13.jpeg"/><Relationship Id="rId76" Type="http://schemas.openxmlformats.org/officeDocument/2006/relationships/fontTable" Target="fontTable.xml"/><Relationship Id="rId7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31807</Words>
  <Characters>172853</Characters>
  <CharactersWithSpaces>205934</CharactersWithSpaces>
  <Paragraphs>6409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