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40"/>
        <w:spacing w:after="0"/>
        <w:tabs>
          <w:tab w:leader="none" w:pos="6000" w:val="left"/>
        </w:tabs>
        <w:rPr>
          <w:sz w:val="20"/>
          <w:szCs w:val="20"/>
          <w:color w:val="auto"/>
        </w:rPr>
      </w:pPr>
      <w:r>
        <w:rPr>
          <w:rFonts w:ascii="Times New Roman" w:cs="Times New Roman" w:eastAsia="Times New Roman" w:hAnsi="Times New Roman"/>
          <w:sz w:val="7"/>
          <w:szCs w:val="7"/>
          <w:color w:val="auto"/>
        </w:rPr>
        <w:t>0</w:t>
      </w:r>
      <w:r>
        <w:rPr>
          <w:sz w:val="20"/>
          <w:szCs w:val="20"/>
          <w:color w:val="auto"/>
        </w:rPr>
        <w:tab/>
      </w:r>
      <w:r>
        <w:rPr>
          <w:rFonts w:ascii="Times New Roman" w:cs="Times New Roman" w:eastAsia="Times New Roman" w:hAnsi="Times New Roman"/>
          <w:sz w:val="7"/>
          <w:szCs w:val="7"/>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121920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2" w:lineRule="exact"/>
        <w:rPr>
          <w:sz w:val="24"/>
          <w:szCs w:val="24"/>
          <w:color w:val="auto"/>
        </w:rPr>
      </w:pPr>
    </w:p>
    <w:p>
      <w:pPr>
        <w:ind w:left="1320" w:hanging="340"/>
        <w:spacing w:after="0"/>
        <w:tabs>
          <w:tab w:leader="none" w:pos="13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1320" w:hanging="344"/>
        <w:spacing w:after="0"/>
        <w:tabs>
          <w:tab w:leader="none" w:pos="1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2019</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114300</wp:posOffset>
            </wp:positionV>
            <wp:extent cx="3422015" cy="87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201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American Outdoor Brands Corporation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14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87-0543688</w:t>
            </w:r>
          </w:p>
        </w:tc>
      </w:tr>
      <w:tr>
        <w:trPr>
          <w:trHeight w:val="149"/>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40" w:type="dxa"/>
            <w:vAlign w:val="bottom"/>
          </w:tcPr>
          <w:p>
            <w:pPr>
              <w:jc w:val="center"/>
              <w:ind w:left="39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40" w:type="dxa"/>
            <w:vAlign w:val="bottom"/>
          </w:tcPr>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2100 Roosevelt Avenue</w:t>
            </w:r>
          </w:p>
        </w:tc>
        <w:tc>
          <w:tcPr>
            <w:tcW w:w="5140" w:type="dxa"/>
            <w:vAlign w:val="bottom"/>
          </w:tcPr>
          <w:p>
            <w:pPr>
              <w:spacing w:after="0"/>
              <w:rPr>
                <w:sz w:val="24"/>
                <w:szCs w:val="24"/>
                <w:color w:val="auto"/>
              </w:rPr>
            </w:pPr>
          </w:p>
        </w:tc>
      </w:tr>
      <w:tr>
        <w:trPr>
          <w:trHeight w:val="214"/>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Springfield, Massachusetts</w:t>
            </w:r>
          </w:p>
        </w:tc>
        <w:tc>
          <w:tcPr>
            <w:tcW w:w="514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01104</w:t>
            </w: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4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2420" w:type="dxa"/>
            <w:vAlign w:val="bottom"/>
          </w:tcPr>
          <w:p>
            <w:pPr>
              <w:spacing w:after="0"/>
              <w:rPr>
                <w:sz w:val="24"/>
                <w:szCs w:val="24"/>
                <w:color w:val="auto"/>
              </w:rPr>
            </w:pPr>
          </w:p>
        </w:tc>
        <w:tc>
          <w:tcPr>
            <w:tcW w:w="514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(800) 331-0852</w:t>
            </w:r>
          </w:p>
        </w:tc>
      </w:tr>
      <w:tr>
        <w:trPr>
          <w:trHeight w:val="190"/>
        </w:trPr>
        <w:tc>
          <w:tcPr>
            <w:tcW w:w="2420" w:type="dxa"/>
            <w:vAlign w:val="bottom"/>
          </w:tcPr>
          <w:p>
            <w:pPr>
              <w:spacing w:after="0"/>
              <w:rPr>
                <w:sz w:val="16"/>
                <w:szCs w:val="16"/>
                <w:color w:val="auto"/>
              </w:rPr>
            </w:pPr>
          </w:p>
        </w:tc>
        <w:tc>
          <w:tcPr>
            <w:tcW w:w="5140" w:type="dxa"/>
            <w:vAlign w:val="bottom"/>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74930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4"/>
          <w:szCs w:val="24"/>
          <w:color w:val="auto"/>
        </w:rPr>
      </w:pPr>
    </w:p>
    <w:p>
      <w:pPr>
        <w:jc w:val="both"/>
        <w:ind w:right="22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70" w:lineRule="exact"/>
        <w:rPr>
          <w:sz w:val="24"/>
          <w:szCs w:val="24"/>
          <w:color w:val="auto"/>
        </w:rPr>
      </w:pPr>
    </w:p>
    <w:p>
      <w:pPr>
        <w:ind w:right="420"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36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54,557,948 shares of common stock, par value $0.001, outstanding as of March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60" w:type="dxa"/>
            <w:vAlign w:val="bottom"/>
            <w:gridSpan w:val="4"/>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AMERICAN OUTDOOR BRANDS CORPORATION</w:t>
            </w:r>
          </w:p>
        </w:tc>
        <w:tc>
          <w:tcPr>
            <w:tcW w:w="1680" w:type="dxa"/>
            <w:vAlign w:val="bottom"/>
          </w:tcPr>
          <w:p>
            <w:pPr>
              <w:spacing w:after="0"/>
              <w:rPr>
                <w:sz w:val="20"/>
                <w:szCs w:val="20"/>
                <w:color w:val="auto"/>
              </w:rPr>
            </w:pPr>
          </w:p>
        </w:tc>
      </w:tr>
      <w:tr>
        <w:trPr>
          <w:trHeight w:val="410"/>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4"/>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tc>
        <w:tc>
          <w:tcPr>
            <w:tcW w:w="168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0" w:type="dxa"/>
            <w:vAlign w:val="bottom"/>
            <w:gridSpan w:val="5"/>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For the Three and Nine Months Ended January 31, 2019 and 2018</w:t>
            </w:r>
          </w:p>
        </w:tc>
        <w:tc>
          <w:tcPr>
            <w:tcW w:w="1680" w:type="dxa"/>
            <w:vAlign w:val="bottom"/>
          </w:tcPr>
          <w:p>
            <w:pPr>
              <w:spacing w:after="0"/>
              <w:rPr>
                <w:sz w:val="20"/>
                <w:szCs w:val="20"/>
                <w:color w:val="auto"/>
              </w:rPr>
            </w:pPr>
          </w:p>
        </w:tc>
      </w:tr>
      <w:tr>
        <w:trPr>
          <w:trHeight w:val="459"/>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80" w:type="dxa"/>
            <w:vAlign w:val="bottom"/>
          </w:tcPr>
          <w:p>
            <w:pPr>
              <w:spacing w:after="0"/>
              <w:rPr>
                <w:sz w:val="24"/>
                <w:szCs w:val="24"/>
                <w:color w:val="auto"/>
              </w:rPr>
            </w:pPr>
          </w:p>
        </w:tc>
      </w:tr>
      <w:tr>
        <w:trPr>
          <w:trHeight w:val="419"/>
        </w:trPr>
        <w:tc>
          <w:tcPr>
            <w:tcW w:w="314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 FINANCIAL INFORMATION</w:t>
              </w:r>
            </w:hyperlink>
          </w:p>
        </w:tc>
        <w:tc>
          <w:tcPr>
            <w:tcW w:w="6600" w:type="dxa"/>
            <w:vAlign w:val="bottom"/>
            <w:gridSpan w:val="5"/>
          </w:tcPr>
          <w:p>
            <w:pPr>
              <w:spacing w:after="0"/>
              <w:rPr>
                <w:sz w:val="24"/>
                <w:szCs w:val="24"/>
                <w:color w:val="auto"/>
              </w:rPr>
            </w:pPr>
          </w:p>
        </w:tc>
        <w:tc>
          <w:tcPr>
            <w:tcW w:w="168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29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 Financial Statements (Unaudited)</w:t>
              </w:r>
            </w:hyperlink>
          </w:p>
        </w:tc>
        <w:tc>
          <w:tcPr>
            <w:tcW w:w="6460" w:type="dxa"/>
            <w:vAlign w:val="bottom"/>
            <w:gridSpan w:val="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00" w:type="dxa"/>
            <w:vAlign w:val="bottom"/>
          </w:tcPr>
          <w:p>
            <w:pPr>
              <w:spacing w:after="0"/>
              <w:rPr>
                <w:sz w:val="17"/>
                <w:szCs w:val="17"/>
                <w:color w:val="auto"/>
              </w:rPr>
            </w:pPr>
          </w:p>
        </w:tc>
        <w:tc>
          <w:tcPr>
            <w:tcW w:w="7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242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300" w:type="dxa"/>
            <w:vAlign w:val="bottom"/>
          </w:tcPr>
          <w:p>
            <w:pPr>
              <w:spacing w:after="0"/>
              <w:rPr>
                <w:sz w:val="17"/>
                <w:szCs w:val="17"/>
                <w:color w:val="auto"/>
              </w:rPr>
            </w:pPr>
          </w:p>
        </w:tc>
        <w:tc>
          <w:tcPr>
            <w:tcW w:w="4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Item 3. Quantitative and Qualitative Disclosures About Market Risk</w:t>
              </w:r>
            </w:hyperlink>
          </w:p>
        </w:tc>
        <w:tc>
          <w:tcPr>
            <w:tcW w:w="4520" w:type="dxa"/>
            <w:vAlign w:val="bottom"/>
            <w:gridSpan w:val="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300" w:type="dxa"/>
            <w:vAlign w:val="bottom"/>
          </w:tcPr>
          <w:p>
            <w:pPr>
              <w:spacing w:after="0"/>
              <w:rPr>
                <w:sz w:val="17"/>
                <w:szCs w:val="17"/>
                <w:color w:val="auto"/>
              </w:rPr>
            </w:pPr>
          </w:p>
        </w:tc>
        <w:tc>
          <w:tcPr>
            <w:tcW w:w="9440" w:type="dxa"/>
            <w:vAlign w:val="bottom"/>
            <w:gridSpan w:val="11"/>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4. Controls and Procedures</w:t>
              </w:r>
            </w:hyperlink>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8"/>
        </w:trPr>
        <w:tc>
          <w:tcPr>
            <w:tcW w:w="284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8"/>
              </w:rPr>
            </w:pPr>
            <w:hyperlink w:anchor="page36">
              <w:r>
                <w:rPr>
                  <w:rFonts w:ascii="Times New Roman" w:cs="Times New Roman" w:eastAsia="Times New Roman" w:hAnsi="Times New Roman"/>
                  <w:sz w:val="18"/>
                  <w:szCs w:val="18"/>
                  <w:b w:val="1"/>
                  <w:bCs w:val="1"/>
                  <w:color w:val="0000EE"/>
                  <w:w w:val="98"/>
                </w:rPr>
                <w:t>PART II - OTHER INFORMATION</w:t>
              </w:r>
            </w:hyperlink>
          </w:p>
        </w:tc>
        <w:tc>
          <w:tcPr>
            <w:tcW w:w="6900" w:type="dxa"/>
            <w:vAlign w:val="bottom"/>
            <w:gridSpan w:val="6"/>
          </w:tcPr>
          <w:p>
            <w:pPr>
              <w:spacing w:after="0"/>
              <w:rPr>
                <w:sz w:val="24"/>
                <w:szCs w:val="24"/>
                <w:color w:val="auto"/>
              </w:rPr>
            </w:pPr>
          </w:p>
        </w:tc>
        <w:tc>
          <w:tcPr>
            <w:tcW w:w="168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Item 1. Legal Proceedings</w:t>
              </w:r>
            </w:hyperlink>
          </w:p>
        </w:tc>
        <w:tc>
          <w:tcPr>
            <w:tcW w:w="7540" w:type="dxa"/>
            <w:vAlign w:val="bottom"/>
            <w:gridSpan w:val="8"/>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300" w:type="dxa"/>
            <w:vAlign w:val="bottom"/>
          </w:tcPr>
          <w:p>
            <w:pPr>
              <w:spacing w:after="0"/>
              <w:rPr>
                <w:sz w:val="17"/>
                <w:szCs w:val="17"/>
                <w:color w:val="auto"/>
              </w:rPr>
            </w:pPr>
          </w:p>
        </w:tc>
        <w:tc>
          <w:tcPr>
            <w:tcW w:w="9440" w:type="dxa"/>
            <w:vAlign w:val="bottom"/>
            <w:gridSpan w:val="11"/>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2. Unregistered Sales of Equity Securities and Use of Proceeds</w:t>
              </w:r>
            </w:hyperlink>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30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6">
              <w:r>
                <w:rPr>
                  <w:rFonts w:ascii="Times New Roman" w:cs="Times New Roman" w:eastAsia="Times New Roman" w:hAnsi="Times New Roman"/>
                  <w:sz w:val="18"/>
                  <w:szCs w:val="18"/>
                  <w:color w:val="0000EE"/>
                  <w:w w:val="98"/>
                </w:rPr>
                <w:t>Item 6. Exhibits</w:t>
              </w:r>
            </w:hyperlink>
          </w:p>
        </w:tc>
        <w:tc>
          <w:tcPr>
            <w:tcW w:w="3740" w:type="dxa"/>
            <w:vAlign w:val="bottom"/>
            <w:tcBorders>
              <w:top w:val="single" w:sz="8" w:color="0000EE"/>
            </w:tcBorders>
            <w:gridSpan w:val="6"/>
          </w:tcPr>
          <w:p>
            <w:pPr>
              <w:spacing w:after="0"/>
              <w:rPr>
                <w:sz w:val="17"/>
                <w:szCs w:val="17"/>
                <w:color w:val="auto"/>
              </w:rPr>
            </w:pPr>
          </w:p>
        </w:tc>
        <w:tc>
          <w:tcPr>
            <w:tcW w:w="4540" w:type="dxa"/>
            <w:vAlign w:val="bottom"/>
            <w:gridSpan w:val="3"/>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9740" w:type="dxa"/>
            <w:vAlign w:val="bottom"/>
            <w:gridSpan w:val="12"/>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Signatures</w:t>
              </w:r>
            </w:hyperlink>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37"/>
        </w:trPr>
        <w:tc>
          <w:tcPr>
            <w:tcW w:w="7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EX-31.1</w:t>
            </w:r>
          </w:p>
        </w:tc>
        <w:tc>
          <w:tcPr>
            <w:tcW w:w="8980" w:type="dxa"/>
            <w:vAlign w:val="bottom"/>
            <w:gridSpan w:val="10"/>
          </w:tcPr>
          <w:p>
            <w:pPr>
              <w:spacing w:after="0"/>
              <w:rPr>
                <w:sz w:val="20"/>
                <w:szCs w:val="20"/>
                <w:color w:val="auto"/>
              </w:rPr>
            </w:pPr>
          </w:p>
        </w:tc>
        <w:tc>
          <w:tcPr>
            <w:tcW w:w="16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EX-31.2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EX-32.2</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Bodyguard®, Governor®, SW22 Victory®, T/C ®, America’s Master Gunmaker ®, Compass®, Contender®, Dimension®, Encore®, Triumph®, Weather Shield®, Caldwell®, Delta Series®, Wheeler®, Tipton®, Frankford Arsenal®, Lockdown®, BOG-POD®, Golden Rod®, Mag Charger®, Hooyman®, Schrade®, Old Timer®, Uncle Henry®, Imperial®, Non-Typical Wildlife Solutions®, Crimson Trace®, Lasergrips®, Laserguard®, Rail Master®, Shockstop®, Laserlyte®, Key Gear®, U-Dig-It®, Bubba®, Bubba Blade®, One Cut and You’re Through®, Gemtech®, G-Core®, Halo®, Integra®, World Class Silencers®, LiNQ®, Stinky Bubba®, and Turkinator™ are some of the registered U.S. trademarks of our company or one of our subsidiaries. American Outdoor Brands CorporationSM, M2.0™, SDVE™, Thompson/Center Arms™, Impact!™, Strike™, Venture™, Defender Series™, Instinctive Activation™, Master Series™, UST™, Blast Jacket™, One™, The Professional’s Choice for Decades™, and World Class Ammunition™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the expected performance of acquired businesses; our assessment of factors relating to the valuation of assets acquired and liabilities assumed in acquisitions, the timing for such evaluations, and the potential adjustment in such evaluations; assessments that we make about determining segments and reporting units; the features of our outstanding debt and our expectation that our interest rate swap will not have any material effect on our earnings or our consolidated financial statements within the next 12 months; estimated amortization expense of intangible assets for future periods; the potential for impairment charges; potential repurchases of our common stock; the outcome of the lawsuits to which we are subject and their effect on us; our belief that inventory levels, both internally and in the distribution channel, in excess of demand, may negatively impact future operating results; our belief that it is difficult to forecast the potential impact of distributor inventories on future revenue and income as demand is impacted by many factors, including seasonality, new product introductions, news events, political events, and consumer tastes; our belief that inventory levels may continue to increase due to planned inventory to reduce the risk of shipping complications at the time that our national logistics facility becomes operational; the impact of the Tax Cuts and Jobs Act, or Tax Reform, on our operating results, including our belief that Tax Reform will be a benefit to us and reduce our effective tax rate; the effects of acquisitions on our overall financial performance; our assessment of our acquisitions, including the quality and strength of their products; our assessment of consumer demand and factors that stimulate demand for our products; the effect on our business of various factors, including terrorism and the level of political pressures on firearm laws and regulations; future investments for capital expenditures; future products and product developments; the features, quality, and performance of our products; the success of particular product or marketing programs; our market share and factors that affect our market share; and liquidity and anticipated cash needs and availability.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firearms-related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risks associated with the establishment of our new 632,000 square foot national logistics facility including the timing of completion and the expected benefits; our ability to introduce new products; the success of new products; our ability to expand our markets; our ability to integrate acquired businesses in a successful manner; the general growth of our outdoor products and accessories business; the potential for cancellation of orders from our backlog; and other factors detailed from time to time in our reports filed with the Securities and Exchange Commission, or the SEC, including our Annual Report on Form 10-K for the fiscal year ended April 30, 2018, filed with the SEC on June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03" w:lineRule="exact"/>
        <w:rPr>
          <w:sz w:val="20"/>
          <w:szCs w:val="20"/>
          <w:color w:val="auto"/>
        </w:rPr>
      </w:pPr>
    </w:p>
    <w:p>
      <w:pPr>
        <w:jc w:val="center"/>
        <w:ind w:left="260" w:right="27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 BRANDS CORPORATION AND SUBSIDIARIES CONDENSED CONSOLIDATED BALANCE SHEETS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2019</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April 30,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(In thousands, except par value and share data)</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37,470</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$1,943 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January 31, 2019 and $1,824 on April 30, 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297,407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772,838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745,060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3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33,895</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income taxes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profit sharing</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warranty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Current portion of notes and loans payable</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and loans payable, net of current portion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payable, net of current portion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340,851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20,000,000 shares authorized, no shares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issued or outstanding</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$.001 par value, 100,000,000 shares authorized,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72,715,052 issued and 54,548,190 shares outstanding 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January 31, 2019 and 72,433,705 shares issued and 54,266,843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on April 30, 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at cost (18,166,862 shares on January 31, 2019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30, 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(222,375)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(222,375)</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431,987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772,838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ind w:left="260" w:right="1140"/>
        <w:spacing w:after="0" w:line="278" w:lineRule="auto"/>
        <w:rPr>
          <w:sz w:val="20"/>
          <w:szCs w:val="20"/>
          <w:color w:val="auto"/>
        </w:rPr>
      </w:pPr>
      <w:r>
        <w:rPr>
          <w:rFonts w:ascii="Times New Roman" w:cs="Times New Roman" w:eastAsia="Times New Roman" w:hAnsi="Times New Roman"/>
          <w:sz w:val="18"/>
          <w:szCs w:val="18"/>
          <w:b w:val="1"/>
          <w:bCs w:val="1"/>
          <w:color w:val="auto"/>
        </w:rPr>
        <w:t>AMERICAN OUTDOOR BRANDS CORPORATION AND SUBSIDIARIES CONDENSED CONSOLIDATED STATEMENTS OF (LOSS)/INCOME AND COMPREHENSIVE (LOSS)/INCOME (Unaudited)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180" w:type="dxa"/>
            <w:vAlign w:val="bottom"/>
          </w:tcPr>
          <w:p>
            <w:pPr>
              <w:spacing w:after="0"/>
              <w:rPr>
                <w:sz w:val="15"/>
                <w:szCs w:val="15"/>
                <w:color w:val="auto"/>
              </w:rPr>
            </w:pPr>
          </w:p>
        </w:tc>
        <w:tc>
          <w:tcPr>
            <w:tcW w:w="29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162,008</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462,544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107,949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299,677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162,867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140,098</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(loss)/income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22,769</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(expense)/income, net: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(2,999)</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(6,822)</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(8,353)</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(Loss)/income from operations before income taxes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(8,465)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(8,803)</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(loss)/income: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unrealized (loss)/income on interest rate</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swap</w:t>
            </w: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(loss)/income, before income taxes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benefit/(expense) on other comprehensive</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(loss)/income, net of tax</w:t>
            </w: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(loss)/income per share:</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AMERICAN OUTDOOR BRANDS CORPORATION AND SUBSIDIARIES CONDENSED CONSOLIDATED STATEMENT OF CHANGES IN STOCKHOLDERS’ EQUITY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60" w:type="dxa"/>
            <w:vAlign w:val="bottom"/>
          </w:tcPr>
          <w:p>
            <w:pPr>
              <w:spacing w:after="0"/>
              <w:rPr>
                <w:sz w:val="14"/>
                <w:szCs w:val="14"/>
                <w:color w:val="auto"/>
              </w:rPr>
            </w:pPr>
          </w:p>
        </w:tc>
        <w:tc>
          <w:tcPr>
            <w:tcW w:w="1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5"/>
        </w:trPr>
        <w:tc>
          <w:tcPr>
            <w:tcW w:w="38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8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38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680" w:type="dxa"/>
            <w:vAlign w:val="bottom"/>
            <w:tcBorders>
              <w:top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w w:val="89"/>
              </w:rPr>
              <w:t>Amount</w:t>
            </w:r>
          </w:p>
        </w:tc>
        <w:tc>
          <w:tcPr>
            <w:tcW w:w="220" w:type="dxa"/>
            <w:vAlign w:val="bottom"/>
          </w:tcPr>
          <w:p>
            <w:pPr>
              <w:spacing w:after="0"/>
              <w:rPr>
                <w:sz w:val="13"/>
                <w:szCs w:val="13"/>
                <w:color w:val="auto"/>
              </w:rPr>
            </w:pPr>
          </w:p>
        </w:tc>
        <w:tc>
          <w:tcPr>
            <w:tcW w:w="8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114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6"/>
              </w:rPr>
              <w:t>Income/(Loss)</w:t>
            </w:r>
          </w:p>
        </w:tc>
        <w:tc>
          <w:tcPr>
            <w:tcW w:w="90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Borders>
              <w:top w:val="single" w:sz="8" w:color="auto"/>
            </w:tcBorders>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April 30, 2018</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72,434</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6"/>
              </w:rPr>
              <w:t>$ 253,616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6"/>
              </w:rPr>
              <w:t>$ 389,146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2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18,167</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0"/>
              </w:rPr>
              <w:t>$ (222,375)</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422,148</w:t>
            </w:r>
          </w:p>
        </w:tc>
        <w:tc>
          <w:tcPr>
            <w:tcW w:w="100" w:type="dxa"/>
            <w:vAlign w:val="bottom"/>
            <w:tcBorders>
              <w:top w:val="single" w:sz="8" w:color="CFF0FC"/>
            </w:tcBorders>
            <w:shd w:val="clear" w:color="auto" w:fill="CFF0FC"/>
          </w:tcPr>
          <w:p>
            <w:pPr>
              <w:spacing w:after="0"/>
              <w:rPr>
                <w:sz w:val="18"/>
                <w:szCs w:val="18"/>
                <w:color w:val="auto"/>
              </w:rPr>
            </w:pPr>
          </w:p>
        </w:tc>
      </w:tr>
      <w:tr>
        <w:trPr>
          <w:trHeight w:val="194"/>
        </w:trPr>
        <w:tc>
          <w:tcPr>
            <w:tcW w:w="38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Proceeds from exercise of</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employee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19"/>
                <w:szCs w:val="19"/>
                <w:color w:val="auto"/>
              </w:rPr>
            </w:pPr>
          </w:p>
        </w:tc>
      </w:tr>
      <w:tr>
        <w:trPr>
          <w:trHeight w:val="218"/>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6,070</w:t>
            </w:r>
          </w:p>
        </w:tc>
        <w:tc>
          <w:tcPr>
            <w:tcW w:w="100" w:type="dxa"/>
            <w:vAlign w:val="bottom"/>
            <w:shd w:val="clear" w:color="auto" w:fill="CFF0FC"/>
          </w:tcPr>
          <w:p>
            <w:pPr>
              <w:spacing w:after="0"/>
              <w:rPr>
                <w:sz w:val="18"/>
                <w:szCs w:val="18"/>
                <w:color w:val="auto"/>
              </w:rPr>
            </w:pPr>
          </w:p>
        </w:tc>
      </w:tr>
      <w:tr>
        <w:trPr>
          <w:trHeight w:val="194"/>
        </w:trPr>
        <w:tc>
          <w:tcPr>
            <w:tcW w:w="38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Shares issued under employee stock</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19"/>
                <w:szCs w:val="19"/>
                <w:color w:val="auto"/>
              </w:rPr>
            </w:pPr>
          </w:p>
        </w:tc>
      </w:tr>
      <w:tr>
        <w:trPr>
          <w:trHeight w:val="19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 in unrealized loss on</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interest rate swap, net of tax effect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(734)</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(734)</w:t>
            </w:r>
          </w:p>
        </w:tc>
      </w:tr>
      <w:tr>
        <w:trPr>
          <w:trHeight w:val="194"/>
        </w:trPr>
        <w:tc>
          <w:tcPr>
            <w:tcW w:w="38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Impact of adoption of accounting standard</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updates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(4,610)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(4,610)</w:t>
            </w:r>
          </w:p>
        </w:tc>
      </w:tr>
      <w:tr>
        <w:trPr>
          <w:trHeight w:val="19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 of common stock under</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restricted stock unit awards, net</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of shares surrendered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(632)</w:t>
            </w: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(631)</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8,586</w:t>
            </w:r>
          </w:p>
        </w:tc>
        <w:tc>
          <w:tcPr>
            <w:tcW w:w="100" w:type="dxa"/>
            <w:vAlign w:val="bottom"/>
          </w:tcPr>
          <w:p>
            <w:pPr>
              <w:spacing w:after="0"/>
              <w:rPr>
                <w:sz w:val="18"/>
                <w:szCs w:val="18"/>
                <w:color w:val="auto"/>
              </w:rPr>
            </w:pPr>
          </w:p>
        </w:tc>
      </w:tr>
      <w:tr>
        <w:trPr>
          <w:trHeight w:val="210"/>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January 31, 2019</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72,715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6"/>
              </w:rPr>
              <w:t>$ 260,212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6"/>
              </w:rPr>
              <w:t>$ 393,122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18,167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 (222,375</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431,987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 BRANDS CORPORATION AND SUBSIDIARIES CONDENSED CONSOLIDATED STATEMENTS OF CASH FLOWS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6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gridSpan w:val="4"/>
          </w:tcPr>
          <w:p>
            <w:pPr>
              <w:jc w:val="right"/>
              <w:ind w:right="9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8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160" w:type="dxa"/>
            <w:vAlign w:val="bottom"/>
          </w:tcPr>
          <w:p>
            <w:pPr>
              <w:spacing w:after="0"/>
              <w:rPr>
                <w:sz w:val="19"/>
                <w:szCs w:val="19"/>
                <w:color w:val="auto"/>
              </w:rPr>
            </w:pPr>
          </w:p>
        </w:tc>
        <w:tc>
          <w:tcPr>
            <w:tcW w:w="5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by/(used in) operating</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activities:</w:t>
            </w:r>
          </w:p>
        </w:tc>
        <w:tc>
          <w:tcPr>
            <w:tcW w:w="8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(Loss)/gain on sale/disposition of assets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losses on notes and accounts receivable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Goodwill impairment</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(20,186)</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profit sharing</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(8,532)</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warranty</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to acquire patents and software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(26,912)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loans and notes payable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capital lease obligation</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on notes and loans payable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(54,725)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exercise of options to acquire common stock, including employee</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purchase plan</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employee withholding tax related to restricted stock units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(11,390)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18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60" w:type="dxa"/>
            <w:vAlign w:val="bottom"/>
          </w:tcPr>
          <w:p>
            <w:pPr>
              <w:spacing w:after="0"/>
              <w:rPr>
                <w:sz w:val="19"/>
                <w:szCs w:val="19"/>
                <w:color w:val="auto"/>
              </w:rPr>
            </w:pPr>
          </w:p>
        </w:tc>
        <w:tc>
          <w:tcPr>
            <w:tcW w:w="5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184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69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9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7" w:name="page8"/>
    <w:bookmarkEnd w:id="7"/>
    <w:p>
      <w:pPr>
        <w:jc w:val="center"/>
        <w:ind w:left="260" w:right="246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 BRANDS CORPORATION AND SUBSIDIARIES CONDENSED CONSOLIDATED STATEMENTS OF CASH FLOWS - (Continued) (Unaudited)</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80" w:type="dxa"/>
            <w:vAlign w:val="bottom"/>
            <w:tcBorders>
              <w:bottom w:val="single" w:sz="8" w:color="auto"/>
            </w:tcBorders>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2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60" w:type="dxa"/>
            <w:vAlign w:val="bottom"/>
            <w:gridSpan w:val="2"/>
          </w:tcPr>
          <w:p>
            <w:pPr>
              <w:jc w:val="center"/>
              <w:ind w:right="483"/>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25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1,606</w:t>
            </w:r>
          </w:p>
        </w:tc>
        <w:tc>
          <w:tcPr>
            <w:tcW w:w="1280" w:type="dxa"/>
            <w:vAlign w:val="bottom"/>
            <w:shd w:val="clear" w:color="auto" w:fill="CFF0FC"/>
          </w:tcPr>
          <w:p>
            <w:pPr>
              <w:jc w:val="right"/>
              <w:ind w:right="963"/>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2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funded by capital lease</w:t>
            </w: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24,271</w:t>
            </w:r>
          </w:p>
        </w:tc>
        <w:tc>
          <w:tcPr>
            <w:tcW w:w="1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11,119</w:t>
            </w:r>
          </w:p>
        </w:tc>
        <w:tc>
          <w:tcPr>
            <w:tcW w:w="120" w:type="dxa"/>
            <w:vAlign w:val="bottom"/>
          </w:tcPr>
          <w:p>
            <w:pPr>
              <w:spacing w:after="0"/>
              <w:rPr>
                <w:sz w:val="19"/>
                <w:szCs w:val="19"/>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1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24,271</w:t>
            </w:r>
          </w:p>
        </w:tc>
        <w:tc>
          <w:tcPr>
            <w:tcW w:w="12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11,119</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jc w:val="center"/>
        <w:ind w:left="260" w:right="212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shooting, hunting, and rugged outdoor products and accessories, including knives and cutting tools, sighting lasers, shooting supplies, tree saws, and survival gear. We have two reporting segments: (1) Firearms (which includes the Firearms and Manufacturing Services divisions) and (2) Outdoor Products &amp; Accessories (which includes the Outdoor Products &amp; Accessories and Electro-Optics divisions).</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our Firearms segment,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Gemtech, and Thompson/Center Arms brands. We manufacture our firearm products at our facilities in Springfield, Massachusetts; Houlton, Maine; and Deep River, Connecticut. We perform research and development activities for our suppressors and accessories products at our facility in Meridian, Idaho. We also sell our manufacturing services to other businesses under our Smith &amp; Wesson and Smith &amp; Wesson Precision Components brands.</w:t>
      </w:r>
    </w:p>
    <w:p>
      <w:pPr>
        <w:spacing w:after="0" w:line="189" w:lineRule="exact"/>
        <w:rPr>
          <w:sz w:val="20"/>
          <w:szCs w:val="20"/>
          <w:color w:val="auto"/>
        </w:rPr>
      </w:pPr>
    </w:p>
    <w:p>
      <w:pPr>
        <w:ind w:right="80" w:firstLine="518"/>
        <w:spacing w:after="0" w:line="274" w:lineRule="auto"/>
        <w:rPr>
          <w:sz w:val="20"/>
          <w:szCs w:val="20"/>
          <w:color w:val="auto"/>
        </w:rPr>
      </w:pPr>
      <w:r>
        <w:rPr>
          <w:rFonts w:ascii="Times New Roman" w:cs="Times New Roman" w:eastAsia="Times New Roman" w:hAnsi="Times New Roman"/>
          <w:sz w:val="17"/>
          <w:szCs w:val="17"/>
          <w:color w:val="auto"/>
        </w:rPr>
        <w:t>In our Outdoor Products &amp; Accessories segment, we design, source, distribute, and manufacture reloading, gunsmithing, and gun cleaning supplies; high-quality stainless steel cutting tools and accessories; flashlights; tree saws and related trimming accessories; shooting supplies, rests, and other related accessories; fishing accessories; apparel; vault accessories; laser grips and laser sights; and a full range of products for survival and emergency preparedness. We sell our products under the Caldwell, Wheeler, Tipton, Frankford Arsenal, Smith &amp; Wesson, M&amp;P, Thompson/Center, Lockdown, Hooyman, BOG-POD, Golden Rod, Non-Typical Wildlife Solutions, Crimson Trace, Imperial, Schrade, Old Timer, Uncle Henry, Bubba Blade, UST, LaserLyte, and KeyGear brands. We develop and market our outdoor products and accessories at our facilities in Columbia, Missouri; Wilsonville, Oregon; and Jacksonville, Florida.</w:t>
      </w:r>
    </w:p>
    <w:p>
      <w:pPr>
        <w:spacing w:after="0" w:line="174"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 xml:space="preserve">During fiscal 2018, we acquired substantially all of the net assets of Gemini Technologies, Incorporated, or Gemtech, as well as Bubba Blade branded products and other assets from Fish Tales, LLC, in two separate transactions, which we refer to collectively as the 2018 Acquisitions. See Note 4 – </w:t>
      </w: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below for more information regarding these transactions.</w:t>
      </w:r>
    </w:p>
    <w:p>
      <w:pPr>
        <w:spacing w:after="0" w:line="176"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In January 2019, we acquired substantially all of the LaserLyte branded products and other assets, or LaserLyte, from P&amp;L Industries Inc., or P&amp;L Industries, for a purchase price of $2.0 million, subject to certain adjustments, utilizing cash on hand. P&amp;L Industries was a provider of laser training and sighting products for the consumer market. The operations of LaserLyte will be fully integrated into our facility located in Wilsonville, Oregon and reported in our Outdoor Products &amp; Accessories segment. This acquisition did not have a material impact on our condensed consolidated financial statements for all periods presented.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19"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Interim Financial Information – </w:t>
      </w:r>
      <w:r>
        <w:rPr>
          <w:rFonts w:ascii="Times New Roman" w:cs="Times New Roman" w:eastAsia="Times New Roman" w:hAnsi="Times New Roman"/>
          <w:sz w:val="18"/>
          <w:szCs w:val="18"/>
          <w:color w:val="auto"/>
        </w:rPr>
        <w:t>The condensed consolidated balance sheet as of January 31, 2019, the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(loss)/income and comprehensive (loss)/income for the three and nine months ended January 31, 2019 and 2018, the condensed consolidated statement of changes in stockholders’ equity for the nine months ended January 31, 2019, and the condensed consolidated statements of cash flows for the three and nine months ended January 31, 2019 and 2018 have been prepared by us without audit. In our opinion, all adjustments, which include only normal recurring adjustments necessary to fairly present the financial position, results of operations, changes in stockholders’ equity, and cash flows at January 31, 2019 and for the periods presented, have been included. All intercompany transactions have been eliminated in consolidation. The consolidated balance sheet as of April 30, 2018 has been derived from our audited consolidated financial statements.</w:t>
      </w:r>
    </w:p>
    <w:p>
      <w:pPr>
        <w:spacing w:after="0" w:line="18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2018. The results of operations for the three and nine months ended January 31, 2019 may not be indicative of the results that may be expected for the year ending April 30, 2019, or any other period.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16"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We recognize revenue in accordance with the provisions of Accounting Standards Update, or ASU,</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(Topic 606), which became effective for us on May 1, 2018. Generally, all performance obligations are satisfied and revenue is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risks and rewards of ownership have transferred to the customer, which is generally upon shipment but could be delayed until the receipt of customer acceptance.</w:t>
      </w:r>
    </w:p>
    <w:p>
      <w:pPr>
        <w:spacing w:after="0" w:line="182"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some instances, sales include multiple performance obligations. The most common of these instances relates to sales promotion programs under which customers are entitled to receive free goods based upon their purchase of our products. The fulfillment of these free goods are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Revenue is recognized proportionally as each performance obligation is satisfied, based on the relative transaction price of each product. The net change in contract liabilities for a given period is reported as an increase or decrease to sales.</w:t>
      </w:r>
    </w:p>
    <w:p>
      <w:pPr>
        <w:spacing w:after="0" w:line="18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product sales are generally sold free on board, or FOB, shipping point and provide payment terms to most commercial customers ranging from 20 to 90 days of product shipment with a discount available to some customers for early payment. For contracts with discounted terms, the transaction price is determined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83"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Valuation of Long-lived Tangible and Intangible Assets </w:t>
      </w:r>
      <w:r>
        <w:rPr>
          <w:rFonts w:ascii="Times New Roman" w:cs="Times New Roman" w:eastAsia="Times New Roman" w:hAnsi="Times New Roman"/>
          <w:sz w:val="18"/>
          <w:szCs w:val="18"/>
          <w:color w:val="auto"/>
        </w:rPr>
        <w:t>— We evaluate the recoverability of long-lived assets, or asset groups,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carrying 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fair value primarily using future anticipated cash flows that are directly associated with and are expected to arise as a direct result of the use and eventual disposition of the asset, or asset group, discounted using an interest rate commensurate with the risk involved.</w:t>
      </w:r>
    </w:p>
    <w:p>
      <w:pPr>
        <w:spacing w:after="0" w:line="18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have significant long-lived tangible and intangible assets, which are susceptible to valuation adjustments as a result of changes in various factors or conditions. The most significant long-lived tangible and intangible assets, other than goodwill, are property, plant, and equipment, developed technology, customer relationships, patents, trademarks, and trade names. We amortize all finite-lived intangible assets either on a straight-line basis or based upon patterns in which we expect to utilize the economic benefits of such assets. We initially determine the values of intangible assets by a risk-adjusted, discounted cash flow approach. We assess the potential impairment of identifiable intangible assets and fixed assets whenever events or changes in circumstances indicate that the carrying values may not be recoverable and at least annually. Factors we consider important, which could trigger an impairment of such assets, include the following:</w:t>
      </w:r>
    </w:p>
    <w:p>
      <w:pPr>
        <w:spacing w:after="0" w:line="81" w:lineRule="exact"/>
        <w:rPr>
          <w:sz w:val="20"/>
          <w:szCs w:val="20"/>
          <w:color w:val="auto"/>
        </w:rPr>
      </w:pPr>
    </w:p>
    <w:p>
      <w:pPr>
        <w:ind w:left="900" w:hanging="379"/>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or use of the assets or the strategy for our overall business;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decline in our stock price for a sustained period;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market capitalization below net book value.</w:t>
      </w:r>
    </w:p>
    <w:p>
      <w:pPr>
        <w:spacing w:after="0" w:line="225"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Future adverse changes in these or other unforeseeable factors could result in an impairment charge that could materially impact future results of operations and financial position in the reporting period identified.</w:t>
      </w:r>
    </w:p>
    <w:p>
      <w:pPr>
        <w:spacing w:after="0" w:line="160" w:lineRule="exact"/>
        <w:rPr>
          <w:sz w:val="20"/>
          <w:szCs w:val="20"/>
          <w:color w:val="auto"/>
        </w:rPr>
      </w:pPr>
    </w:p>
    <w:p>
      <w:pPr>
        <w:ind w:right="60" w:firstLine="518"/>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we test goodwill for impairment on an annual basis on February 1 and between annual tests if indicators of potential impairment exist. The impairment test compares the fair value of the operating units to their carrying amounts to assess whether impairment is present. We have reviewed the provisions of ASC 350-20, with respect to the criteria necessary to evaluate the number of reporting units that exist. Based on our review of ASC 350-20, we have determined that we have three operating units: Firearms, Outdoor Products &amp; Accessories, and Electro-Optics.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jc w:val="center"/>
        <w:ind w:left="260" w:right="212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1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estimate the fair value of our Firearms, Outdoor Products &amp; Accessories, and Electro-Optics operating units using an equal weighting of the fair values derived from the income approach and the market approach because we believe a market participant would equally weight both approaches when valuing the operating units. The income approach is based on the projected cash flows that are discounted to their present value using discount rates that consider the timing and risk of the forecasted cash flows. Fair value is estimated using internally developed forecasts and assumptions.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estimates fair values based on the determination of appropriate publicly traded market comparison companies and market multiples of revenue and earnings derived from those companies with similar operating and investment characteristics as the operating unit being valued. Finally, we compare and reconcile our overall fair value to our market capitalization in order to assess the reasonableness of the calculated fair values of our operating units. We recognize an impairment loss for goodwill if the implied fair value of goodwill is less than the carrying value.</w:t>
      </w:r>
    </w:p>
    <w:p>
      <w:pPr>
        <w:spacing w:after="0" w:line="227"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 combination of factors occurring in the firearms industry during the last few years, including changes in the political environment and reduced overall demand for both firearms and the accessories that are attached to firearms, such as laser sights, has resulted in us lowering our long-range sales volume, operating profit, and cash flow forecasts in our Electro-Optics operating unit. Based on those forecasts, we felt it important to seek out efficiencies in that operating unit to increase operating performance and as a result decided to combine our Electro-Optics operating units with our Outdoor Products &amp; Accessories operating unit. The lowered forecasts and the decision to reorganize those operating units caused us to evaluate the fair value of our operating units utilizing those forecasts. Because of that evaluation, we recorded a $10.4 million impairment of goodwill in our Electro-Optics operating unit during the three months ended January 31, 2019. This impairment was recorded in our Outdoor Products &amp; Accessories reporting segment.</w:t>
      </w:r>
    </w:p>
    <w:p>
      <w:pPr>
        <w:spacing w:after="0" w:line="21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We evaluated our other operating units and concluded that the fair value exceeded the carrying amount. The remeasurement of goodwill is classified as a Level 3 fair value assessment as described in Note 7 -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the significance of unobservable inputs developed using company-specific information.</w:t>
      </w:r>
    </w:p>
    <w:p>
      <w:pPr>
        <w:spacing w:after="0" w:line="174" w:lineRule="exact"/>
        <w:rPr>
          <w:sz w:val="20"/>
          <w:szCs w:val="20"/>
          <w:color w:val="auto"/>
        </w:rPr>
      </w:pPr>
    </w:p>
    <w:p>
      <w:pPr>
        <w:ind w:right="10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 </w:t>
      </w:r>
      <w:r>
        <w:rPr>
          <w:rFonts w:ascii="Times New Roman" w:cs="Times New Roman" w:eastAsia="Times New Roman" w:hAnsi="Times New Roman"/>
          <w:sz w:val="18"/>
          <w:szCs w:val="18"/>
          <w:color w:val="auto"/>
        </w:rPr>
        <w:t>In May 2014, the Financial Accounting Standards Board, or FASB, issued ASU 2014-09,</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(Topic 606), or ASU 2014-09. The core principle of ASU 2014-09 is that an entity should recognize revenue to depict the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promised goods or services to customers in an amount that reflects the consideration to which the entity expects to be entitled in exchange for those goods or services. We adopted the new standard on May 1, 2018 utilizing the modified retrospective approach. See Note 3 – </w:t>
      </w:r>
      <w:r>
        <w:rPr>
          <w:rFonts w:ascii="Times New Roman" w:cs="Times New Roman" w:eastAsia="Times New Roman" w:hAnsi="Times New Roman"/>
          <w:sz w:val="18"/>
          <w:szCs w:val="18"/>
          <w:i w:val="1"/>
          <w:iCs w:val="1"/>
          <w:color w:val="auto"/>
        </w:rPr>
        <w:t>Revenue Recognition and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below for more information.</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or ASU 2016-02, which amends the existing guidance to require lessees to recognize lease assets and liabilities arising from operating leases in a classified balance sheet. The requirements of this ASU are effective for financial statements for annual periods beginning after December 15, 2018, and early adoption is permitted. We are in the process of implementing leasing software to assist us in the accounting and tracking of leases and plan to use the optional transition method allowed by ASU 2016-02. Under this method, the standard will be applied in the comparative period presented in the year of adoption. We plan to elect to use the package of practical expedients, which permits us to not reassess certain lease contract provisions. Although we anticipate the effect of ASU 2016-02 will result in increasing our lease assets and liabilities on our consolidated balance sheet, we are still evaluating the impact it will have on our consolidated financial statements. We plan to adopt ASU 2016-02 in our first quarter of fiscal 2020.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 and Contracts with Customers: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 xml:space="preserve">On May 1, 2018, we adopted ASU 2014-09 using the modified retrospective approach, and recorded a contract liability, included in accrued expenses in the condensed consolidated balance sheet, for outstanding performance obligations related to sales promotions. Under the modified retrospective approach, results for reporting periods after May 1, 2018 will be presented in accordance with ASU 2014-09, while prior period amounts will not be adjusted and will continue to be reported in accordance with the previous guidance, Accounting Standards Codification, or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When evaluating our performance obligations, we disaggregate revenue based on major product lines, which correlate with our reportable segments disclosed in Note 12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Also, domestic sales account for 95% of our total net sales. There are no significant judgments or estimates used in the determination of performance obligations, and the transaction price for the performance obligations are allocated on a pro-rata basis. There are no other contract costs that need to be considered based on the nature of our performance obligations.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18"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outlines adjustments we recorded to our condensed consolidated balance sheet as a result of the adoption of ASU 2014-09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Opening Balance</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April 30, 2018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May 1, 2018</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from contracts with customers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At April 30, 2018, we had accrued $17.2 million of sales promotions, representing the cost of free goods earned but not yet shipped to our customers. On adoption of ASU 2014-09, we reversed this accrual and recorded deferred revenue of $23.3 million relating to these outstanding performance obligations, a deferred tax asset of $1.5 million, and a $4.6 million adjustment to reduce the opening balance of retained earnings at May 1, 2018. Deferred revenue is recorded in accrued expenses in the condensed consolidated balance sheet.</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impact of the adoption of ASU 2014-09 on revenue recognized during the nine-month period ended January 31, 2019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performance obligations with customers as of May 1, 2018</w:t>
            </w:r>
          </w:p>
        </w:tc>
        <w:tc>
          <w:tcPr>
            <w:tcW w:w="720" w:type="dxa"/>
            <w:vAlign w:val="bottom"/>
            <w:gridSpan w:val="2"/>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(13,998)</w:t>
            </w: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deferred</w:t>
            </w: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shd w:val="clear" w:color="auto" w:fill="CFF0FC"/>
          </w:tcPr>
          <w:p>
            <w:pPr>
              <w:spacing w:after="0"/>
              <w:rPr>
                <w:sz w:val="19"/>
                <w:szCs w:val="19"/>
                <w:color w:val="auto"/>
              </w:rPr>
            </w:pP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performance obligations with customers as of July 31, 2018</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(12,337)</w:t>
            </w:r>
          </w:p>
        </w:tc>
      </w:tr>
      <w:tr>
        <w:trPr>
          <w:trHeight w:val="230"/>
        </w:trPr>
        <w:tc>
          <w:tcPr>
            <w:tcW w:w="9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 deferred</w:t>
            </w:r>
          </w:p>
        </w:tc>
        <w:tc>
          <w:tcPr>
            <w:tcW w:w="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tcBorders>
              <w:bottom w:val="single" w:sz="8" w:color="CFF0FC"/>
            </w:tcBorders>
          </w:tcPr>
          <w:p>
            <w:pPr>
              <w:spacing w:after="0"/>
              <w:rPr>
                <w:sz w:val="19"/>
                <w:szCs w:val="19"/>
                <w:color w:val="auto"/>
              </w:rPr>
            </w:pPr>
          </w:p>
        </w:tc>
      </w:tr>
      <w:tr>
        <w:trPr>
          <w:trHeight w:val="223"/>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performance obligations with customers as of October 31, 2018</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(10,229)</w:t>
            </w: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deferred</w:t>
            </w: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shd w:val="clear" w:color="auto" w:fill="CFF0FC"/>
          </w:tcPr>
          <w:p>
            <w:pPr>
              <w:spacing w:after="0"/>
              <w:rPr>
                <w:sz w:val="19"/>
                <w:szCs w:val="19"/>
                <w:color w:val="auto"/>
              </w:rPr>
            </w:pP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performance obligations with customers as of January 31, 2019</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During the nine months ended January 31, 2019, we recognized $22.6 million of revenue previously deferred as of May 1, 2018 as the performance obligations relating to sales promotions was satisfied. In addition, we deferred $7.1 million during fiscal 2019, net of revenue recognized, as the performance obligations related to sales promotions have not been satisfied, resulting in an outstanding performance obligation liability of $7.8 million that is recorded in accrued expenses in the condensed consolidated balance sheet. During the nine months ended January 31, 2019, we recognized a $15.5 million net increase of revenue relating to the adoption of ASU 2014-09. We estimate that the majority of the revenue from the outstanding performance obligations as of January 31, 2019 will be recognized during fiscal 2019. As a result of the adoption of ASU 2014-09, for the three months ended January 31, 2019, gross margin was unfavorably impacted by 100 basis points and earnings per share was increased by $0.01, and for the nine months ended January 31, 2019, gross margin was unfavorably impacted by 600 basis points and earnings per share was increased by $0.05.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Acquisitions</w:t>
      </w:r>
    </w:p>
    <w:p>
      <w:pPr>
        <w:spacing w:after="0" w:line="11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August 2017, in two separate transactions, we acquired (1) substantially all of the net assets of Gemtech and (2) Bubba Blade branded products and other assets from Fish Tales, LLC. The aggregate purchase price for the two acquisitions was $23.1 million, subject to certain adjustments, for which we utilized a combination of cash on hand and borrowings under our revolving line of credit. In connection with the Gemtech acquisition, additional consideration of up to a maximum of $17.1 million may be paid contingent upon the cumulative three-year sales volume of Gemtech products. The valuation of this contingent consideration liability was established in accordance with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Based on current forecasted revenue, we believe it is unlikely that the acquired business will achieve the performance metrics. Therefore, as of January 31, 2019, the contingent liability was recorded at a fair value of $100,000 in non-current liabilities. Gemtech, based in Meridian, Idaho, is a provider of quality suppressors and accessories for the consumer, law enforcement, and military markets. Fish Tales, LLC, based in Oro Valley, Arizona and currently operated out of our Columbia, Missouri facility, was a provider of premium sportsmen knives and tools for fishing and hunting,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including the premium knife brand Bubba Blade. The valuations of the assets acquired and liabilities assumed in the 2018 Acquisitions are complete. During the three months ended October 31, 2018, we increased goodwill by $618,000 due to inventory valuation adjustments.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allocation of the purchase price for the 2018 Acquisitions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2018 Acquisitions</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Initially</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2018 Acquisitions</w:t>
            </w:r>
          </w:p>
        </w:tc>
      </w:tr>
      <w:tr>
        <w:trPr>
          <w:trHeight w:val="173"/>
        </w:trPr>
        <w:tc>
          <w:tcPr>
            <w:tcW w:w="45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2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0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0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23,120</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20" w:firstLine="518"/>
        <w:spacing w:after="0" w:line="282" w:lineRule="auto"/>
        <w:rPr>
          <w:sz w:val="20"/>
          <w:szCs w:val="20"/>
          <w:color w:val="auto"/>
        </w:rPr>
      </w:pPr>
      <w:r>
        <w:rPr>
          <w:rFonts w:ascii="Times New Roman" w:cs="Times New Roman" w:eastAsia="Times New Roman" w:hAnsi="Times New Roman"/>
          <w:sz w:val="18"/>
          <w:szCs w:val="18"/>
          <w:color w:val="auto"/>
        </w:rPr>
        <w:t>We amortize intangible assets in proportion to expected annual revenue generated from the intangibles that we acquire. The following are the identifiable intangible assets acquired (in thousands) in the 2018 Acquisitions and their respective weighted average lives: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9"/>
        </w:trPr>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r>
      <w:tr>
        <w:trPr>
          <w:trHeight w:val="223"/>
        </w:trPr>
        <w:tc>
          <w:tcPr>
            <w:tcW w:w="78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Pro forma results of operations assuming that the 2018 Acquisitions had occurred as of May 1, 2016 are not required because of the immaterial impact on our consolidated financial statements for all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and nine months ended January 31, 2019 by reporting segment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Outdoor</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Products &amp;</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Firearms</w:t>
            </w:r>
          </w:p>
        </w:tc>
        <w:tc>
          <w:tcPr>
            <w:tcW w:w="2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Accessories</w:t>
            </w:r>
          </w:p>
        </w:tc>
        <w:tc>
          <w:tcPr>
            <w:tcW w:w="240" w:type="dxa"/>
            <w:vAlign w:val="bottom"/>
          </w:tcPr>
          <w:p>
            <w:pPr>
              <w:spacing w:after="0"/>
              <w:rPr>
                <w:sz w:val="12"/>
                <w:szCs w:val="12"/>
                <w:color w:val="auto"/>
              </w:rPr>
            </w:pPr>
          </w:p>
        </w:tc>
        <w:tc>
          <w:tcPr>
            <w:tcW w:w="122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April 30, 2018</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172,797</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July 31, 2018</w:t>
            </w: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172,797</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9"/>
                <w:szCs w:val="19"/>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October 31, 2018</w:t>
            </w: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172,797</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191,821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(10,396)</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(10,396)</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31, 2019</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163,077</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182,101</w:t>
            </w:r>
          </w:p>
        </w:tc>
        <w:tc>
          <w:tcPr>
            <w:tcW w:w="12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 Basis of Presentation</w:t>
      </w:r>
      <w:r>
        <w:rPr>
          <w:rFonts w:ascii="Times New Roman" w:cs="Times New Roman" w:eastAsia="Times New Roman" w:hAnsi="Times New Roman"/>
          <w:sz w:val="18"/>
          <w:szCs w:val="18"/>
          <w:color w:val="auto"/>
        </w:rPr>
        <w:t xml:space="preserve"> for more detail on the goodwill impairment charge.</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12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more detail on segment financial information.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intangible assets as of January 31, 2019 and April 30, 2018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January 31, 2019</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30, 2018</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73"/>
        </w:trPr>
        <w:tc>
          <w:tcPr>
            <w:tcW w:w="3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56,657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92,360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(12,192)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(8,178)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0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trademarks, and trade names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(26,920)</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(22,099)</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34,619</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(1,150)</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7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172,365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171,358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Patents in progress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173,147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172,213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173,373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(76,165</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0" w:firstLine="518"/>
        <w:spacing w:after="0" w:line="258" w:lineRule="auto"/>
        <w:rPr>
          <w:sz w:val="20"/>
          <w:szCs w:val="20"/>
          <w:color w:val="auto"/>
        </w:rPr>
      </w:pPr>
      <w:r>
        <w:rPr>
          <w:rFonts w:ascii="Times New Roman" w:cs="Times New Roman" w:eastAsia="Times New Roman" w:hAnsi="Times New Roman"/>
          <w:sz w:val="18"/>
          <w:szCs w:val="18"/>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$5.5 million and $5.4 million for the three months ended January 31, 2019 and 2018, respectively. Amortization expense, excluding amortization of deferred financing costs, amounted to $16.5 million and $15.4 for the nine months ended January 31, 2019 and 2018, respectively.</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amortization expense of intangible assets for the remainder of fiscal 2019 and succeeding fiscal years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14,204</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28,840</w:t>
            </w:r>
          </w:p>
        </w:tc>
        <w:tc>
          <w:tcPr>
            <w:tcW w:w="100" w:type="dxa"/>
            <w:vAlign w:val="bottom"/>
            <w:tcBorders>
              <w:bottom w:val="single" w:sz="8" w:color="CFF0FC"/>
            </w:tcBorders>
          </w:tcPr>
          <w:p>
            <w:pPr>
              <w:spacing w:after="0"/>
              <w:rPr>
                <w:sz w:val="19"/>
                <w:szCs w:val="19"/>
                <w:color w:val="auto"/>
              </w:rPr>
            </w:pPr>
          </w:p>
        </w:tc>
      </w:tr>
      <w:tr>
        <w:trPr>
          <w:trHeight w:val="223"/>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Loans Payable, and Financing Arrangements:</w:t>
      </w:r>
    </w:p>
    <w:p>
      <w:pPr>
        <w:spacing w:after="0" w:line="119"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June 15, 2015, we and certain of our domestic subsidiaries entered into an unsecured credit facility, or the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TD Bank, N.A. and other lenders, or the Lenders, which included a $175.0 million revolving line of credit, or the Revolving Line, and a $105.0 million term loan, or the Term Loan, of which $82.9 million remained outstanding as of January 31, 2019.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Other than the changes described in the Second Amendment, we otherwise remain subject to the terms of the Credit Agreement, as described below. We incurred $525,000 of debt issuance costs related to this amendment and have recorded these costs in notes and loans payable in the condensed consolidated balance sheet.</w:t>
      </w:r>
    </w:p>
    <w:p>
      <w:pPr>
        <w:spacing w:after="0" w:line="19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As of January 31, 2019, we had $25.0 million of borrowings outstanding on the Revolving Line, which bore interest at 4.51%, equal to the LIBOR rate plus an applicable margin. The Term Loan, which bears interest at a variable rate, requires principal payments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jc w:val="center"/>
        <w:ind w:left="260" w:right="212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$6.3 million per annum plus interest, payable quarterly. Any remaining outstanding amount under the Term Loan on the maturity date of June 15, 2020 will be due in full.</w:t>
      </w:r>
    </w:p>
    <w:p>
      <w:pPr>
        <w:spacing w:after="0" w:line="162"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is subject to change based on changes in our consolidated leverage ratio. As of January 31, 2019, our interest rate on the Term Loan was 4.46%.</w:t>
      </w:r>
    </w:p>
    <w:p>
      <w:pPr>
        <w:spacing w:after="0" w:line="18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As of January 31, 2019, the interest rate swap was considered effective and had no effect on earnings. The fair value of the interest rate swap on January 31, 2019 was an asset of $1.1 million, which was recorded in other assets on our condensed consolidated balance sheet. We do not expect the interest rate swap to have any material impact on earnings within the next 12 months.</w:t>
      </w:r>
    </w:p>
    <w:p>
      <w:pPr>
        <w:spacing w:after="0" w:line="17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2018 Senior Notes </w:t>
      </w:r>
      <w:r>
        <w:rPr>
          <w:rFonts w:ascii="Times New Roman" w:cs="Times New Roman" w:eastAsia="Times New Roman" w:hAnsi="Times New Roman"/>
          <w:sz w:val="18"/>
          <w:szCs w:val="18"/>
          <w:color w:val="auto"/>
        </w:rPr>
        <w:t>– During fiscal 2015, we issued an aggregate of $75.0 million of 5.000% Senior Notes due 2018, or the 2018 Senior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institutional investors pursuant to the terms and conditions of an indenture and purchase agreements. The 2018 Senior Notes bore interest at a rate of 5.000% per annum payable on January 15 and July 15 of each year, beginning on January 15, 2015. We incurred $2.3 million of debt issuance costs related to the issuance of the 2018 Senior Notes. As discussed below, the 2018 Senior Notes were redeemed on March 8, 2018 with proceeds from the issuance of</w:t>
      </w:r>
    </w:p>
    <w:p>
      <w:pPr>
        <w:spacing w:after="0" w:line="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5.000% Senior Notes due 2020, or the 2020 Senior Notes. As part of the redemption, in fiscal 2018, we wrote off $226,000 of debt issuance costs related to the 2018 Senior Notes.</w:t>
      </w:r>
    </w:p>
    <w:p>
      <w:pPr>
        <w:spacing w:after="0" w:line="205"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2020 Senior Notes </w:t>
      </w:r>
      <w:r>
        <w:rPr>
          <w:rFonts w:ascii="Times New Roman" w:cs="Times New Roman" w:eastAsia="Times New Roman" w:hAnsi="Times New Roman"/>
          <w:sz w:val="18"/>
          <w:szCs w:val="18"/>
          <w:color w:val="auto"/>
        </w:rPr>
        <w:t>– On February 28, 2018, we issued an aggregate of $75.0 million of the 2020 Senior Notes to various institutional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terms and conditions of an indenture, or the 2020 Senior Notes Indenture, and purchase 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8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At any time prior to February 28, 2019, we may, at our option, upon not less than 30 nor more than 60 days’ prior notice, redeem all or a portion of the 2020 Senior Notes at a redemption price of 102.500% of the principal amount of the 2020 Senior Notes to be redeemed plus accrued and unpaid interest as of the applicable redemption date. On or after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Subject to certain restrictions and conditions, we may be required to make an offer to repurchase the 2020 Senior Notes from the holders of the 2020 Senior Notes in connection with a change of control or disposition of assets. If not redeemed by us or repaid pursuant to the holders’ right to require repurchase, the 2020 Senior Notes mature on August 28, 2020.</w:t>
      </w:r>
    </w:p>
    <w:p>
      <w:pPr>
        <w:spacing w:after="0" w:line="18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2020 Senior Notes are general, unsecured obligations of our company. The 2020 Senior Notes Indenture contains certain affirmative and negative covenants, including limitations on restricted payments (such as share repurchases, dividends, and early payment of indebtedness), limitations on indebtedness, limitations on the sale of assets, and limitations on liens. Payments that would otherwise be characterized as restricted payments are permitted under the 2020 Senior Notes Indenture in an amount not to exceed 50% of our consolidated net income for the period from the issue date to the date of the restricted payment, provided that at the time of making such payments, (a) no default has occurred or would result from the making of such payments, and</w:t>
      </w:r>
    </w:p>
    <w:p>
      <w:pPr>
        <w:spacing w:after="0" w:line="3" w:lineRule="exact"/>
        <w:rPr>
          <w:sz w:val="20"/>
          <w:szCs w:val="20"/>
          <w:color w:val="auto"/>
        </w:rPr>
      </w:pPr>
    </w:p>
    <w:p>
      <w:pPr>
        <w:ind w:right="8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able to satisfy the debt incurrence test under the 2020 Senior Notes Indenture, or the 2020 Senior Notes Lifetime Aggregate Limit. In addition, the 2020 Senior Notes Indenture provides for other exceptions to the restricted payments covenant, each of which are independent of the 2020 Senior Notes Lifetime Aggregate Limit. Among such exceptions are (i) the ability to make share repurchases each fiscal year in an amount not to exceed the lesser of</w:t>
      </w:r>
    </w:p>
    <w:p>
      <w:pPr>
        <w:spacing w:after="0" w:line="1" w:lineRule="exact"/>
        <w:rPr>
          <w:rFonts w:ascii="Times New Roman" w:cs="Times New Roman" w:eastAsia="Times New Roman" w:hAnsi="Times New Roman"/>
          <w:sz w:val="18"/>
          <w:szCs w:val="18"/>
          <w:color w:val="auto"/>
        </w:rPr>
      </w:pPr>
    </w:p>
    <w:p>
      <w:pPr>
        <w:jc w:val="both"/>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 million in any fiscal year or (B) 75.0% of our consolidated net income for the previous four consecutive published fiscal quarters prior to the date of the determination of such consolidated net income, and (ii) share repurchases over the life of the 2020 Senior Notes in an aggregate amount not to exceed $75.0 million.</w:t>
      </w:r>
    </w:p>
    <w:p>
      <w:pPr>
        <w:spacing w:after="0" w:line="186" w:lineRule="exact"/>
        <w:rPr>
          <w:sz w:val="20"/>
          <w:szCs w:val="20"/>
          <w:color w:val="auto"/>
        </w:rPr>
      </w:pPr>
    </w:p>
    <w:p>
      <w:pPr>
        <w:ind w:right="20" w:firstLine="518"/>
        <w:spacing w:after="0" w:line="271" w:lineRule="auto"/>
        <w:rPr>
          <w:sz w:val="20"/>
          <w:szCs w:val="20"/>
          <w:color w:val="auto"/>
        </w:rPr>
      </w:pPr>
      <w:r>
        <w:rPr>
          <w:rFonts w:ascii="Times New Roman" w:cs="Times New Roman" w:eastAsia="Times New Roman" w:hAnsi="Times New Roman"/>
          <w:sz w:val="18"/>
          <w:szCs w:val="18"/>
          <w:color w:val="auto"/>
        </w:rPr>
        <w:t>The limitation on indebtedness in the 2020 Senior Notes Indenture is only applicable at such time that the consolidated coverage ratio (as set forth in the 2020 Senior Notes Indenture) for us and our restricted subsidiaries is less than 3.00 to 1.00. In general, as set forth in the 2020 Senior Notes Indenture, the consolidated coverage ratio is determined by comparing our prior four quarters’ consolidated EBITDA (earnings before interest, taxes, depreciation, and amortization) to our consolidated interest expense. The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5" w:name="page16"/>
    <w:bookmarkEnd w:id="15"/>
    <w:p>
      <w:pPr>
        <w:jc w:val="center"/>
        <w:ind w:left="280" w:right="210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 of our 2020 Senior Notes as of January 31, 2019 approximated the fair value in considering Level 2 inputs within the hierarchy.</w:t>
      </w:r>
    </w:p>
    <w:p>
      <w:pPr>
        <w:spacing w:after="0" w:line="225"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At January 31, 2019, we had outstanding letters of credit aggregating $1.0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119"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5"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condensed consolidated balance sheets are categorized based on the inputs to the valuation techniques as follows:</w:t>
      </w:r>
    </w:p>
    <w:p>
      <w:pPr>
        <w:spacing w:after="0" w:line="160" w:lineRule="exact"/>
        <w:rPr>
          <w:sz w:val="20"/>
          <w:szCs w:val="20"/>
          <w:color w:val="auto"/>
        </w:rPr>
      </w:pPr>
    </w:p>
    <w:p>
      <w:pPr>
        <w:ind w:right="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ability to access at the measurement date (examples include active exchange-traded equity securities, listed derivatives, and most U.S. Government and agency securities).</w:t>
      </w:r>
    </w:p>
    <w:p>
      <w:pPr>
        <w:spacing w:after="0" w:line="176"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$37.5 million and $48.9 million as of January 31, 2019 and April 30, 2018, respectively. We utilized Level 1 of the value hierarchy to determine the fair values of these assets.</w:t>
      </w:r>
    </w:p>
    <w:p>
      <w:pPr>
        <w:spacing w:after="0" w:line="160" w:lineRule="exact"/>
        <w:rPr>
          <w:sz w:val="20"/>
          <w:szCs w:val="20"/>
          <w:color w:val="auto"/>
        </w:rPr>
      </w:pPr>
    </w:p>
    <w:p>
      <w:pPr>
        <w:ind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quoted prices of instruments with similar attributes in active markets. Level 2 inputs include the following:</w:t>
      </w:r>
    </w:p>
    <w:p>
      <w:pPr>
        <w:spacing w:after="0" w:line="52"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117"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2"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 xml:space="preserve">The carrying value of our Term Loan approximated the fair value as of January 31, 2019 in considering Level 2 inputs within the hierarchy. The carrying value of our 2020 Senior Notes as of January 31, 2019 approximated the fair value in considering Level 2 inputs within the hierarchy as our 2020 Senior Notes are not frequently traded. The fair value of our interest rate swap was estimated by a third party using inputs that are observable or that can be corroborated by observable market data, such as interest rate yield curves, and, therefore, is classified within Level 2 of the valuation hierarchy. For more information regarding the interest rate swap, refer to Note 6 — </w:t>
      </w:r>
      <w:r>
        <w:rPr>
          <w:rFonts w:ascii="Times New Roman" w:cs="Times New Roman" w:eastAsia="Times New Roman" w:hAnsi="Times New Roman"/>
          <w:sz w:val="18"/>
          <w:szCs w:val="18"/>
          <w:i w:val="1"/>
          <w:iCs w:val="1"/>
          <w:color w:val="auto"/>
        </w:rPr>
        <w:t>Notes, Loans Payable, and Financing Arrangements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assumptions about the assumptions a market participant would use in pricing the asset or liability.</w:t>
      </w:r>
    </w:p>
    <w:p>
      <w:pPr>
        <w:spacing w:after="0" w:line="176"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acquisition-related contingent consideration liability represents the estimated fair value of additional future earn-outs payable for acquisitions of businesses that included earn-out clauses. The valuation of the contingent consideration will be evaluated on an ongoing basis and is based on management estimates and entity-specific assumptions, which are considered Level 3 inputs.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6" w:name="page17"/>
    <w:bookmarkEnd w:id="16"/>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18" w:lineRule="exact"/>
        <w:rPr>
          <w:sz w:val="20"/>
          <w:szCs w:val="20"/>
          <w:color w:val="auto"/>
        </w:rPr>
      </w:pPr>
    </w:p>
    <w:p>
      <w:pPr>
        <w:ind w:right="36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our acquisition of substantially all the net assets of Ultimate Survival Technologies, Inc. in fiscal 2017, up to an additional $2.0 million could have been paid by us over a period of two years, contingent upon the financial performance of the acquired business. The valuation of this contingent consideration liability was established in accordance with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initial fair value of this contingent consideration liability was $1.7 million. Based on the forecasted revenue, during fiscal 2018, we recorded a $1.6 million reduction in the fair value of this contingent consideration liability because we did not expect that the acquired business would achieve the performance metrics. During the three months ended January 31, 2019, we recorded a $60,000 reduction in the remaining fair value of this contingent liability because we confirmed the performance metrics were not achieved. These reductions were recorded in other income on the condensed consolidated statements of income.</w:t>
      </w:r>
    </w:p>
    <w:p>
      <w:pPr>
        <w:spacing w:after="0" w:line="189" w:lineRule="exact"/>
        <w:rPr>
          <w:sz w:val="20"/>
          <w:szCs w:val="20"/>
          <w:color w:val="auto"/>
        </w:rPr>
      </w:pPr>
    </w:p>
    <w:p>
      <w:pPr>
        <w:jc w:val="both"/>
        <w:ind w:right="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Gemtech acquisition, up to a maximum of $17.1 million may be paid contingent upon the cumulative three-year sales volume of Gemtech products. The valuation of this contingent consideration liability was established in accordance with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Based on current forecasted revenue, we believe it is unlikely that the acquired business will achieve the performance metrics. Therefore, as of January 31, 2019, the contingent liability was recorded at a fair value of $100,000 in non-current liabilities.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regarding our remeasurement of goodwill in considering Level 3 inputs within the hierarchy.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inventories, net of reserves, stated at lower of cost or net realizable value, as of January 31,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2018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January 31, 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2018</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115,679</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Finished parts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173,515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During fiscal 2017, our board of directors authorized the repurchase of up to $50.0 million of our common stock, subject to certain conditions, in the open market or in privately negotiated transactions until March 28, 2019. As of January 31, 2019, there were no share repurchases under this stock repurchase program.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share for the three and nine months ended January 31, 2019 and 2018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4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3"/>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83"/>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12"/>
                <w:szCs w:val="12"/>
                <w:color w:val="auto"/>
              </w:rPr>
            </w:pPr>
          </w:p>
        </w:tc>
      </w:tr>
      <w:tr>
        <w:trPr>
          <w:trHeight w:val="173"/>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r>
      <w:tr>
        <w:trPr>
          <w:trHeight w:val="210"/>
        </w:trPr>
        <w:tc>
          <w:tcPr>
            <w:tcW w:w="4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(5,725)</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54,544</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11,395</w:t>
            </w:r>
          </w:p>
        </w:tc>
        <w:tc>
          <w:tcPr>
            <w:tcW w:w="2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54,122</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right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0.21</w:t>
            </w:r>
          </w:p>
        </w:tc>
        <w:tc>
          <w:tcPr>
            <w:tcW w:w="2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54,544</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11,395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54,657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right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0.21</w:t>
            </w:r>
          </w:p>
        </w:tc>
        <w:tc>
          <w:tcPr>
            <w:tcW w:w="2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w w:val="99"/>
              </w:rPr>
              <w:t>17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4"/>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3"/>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3"/>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60" w:type="dxa"/>
            <w:vAlign w:val="bottom"/>
          </w:tcPr>
          <w:p>
            <w:pPr>
              <w:spacing w:after="0"/>
              <w:rPr>
                <w:sz w:val="12"/>
                <w:szCs w:val="12"/>
                <w:color w:val="auto"/>
              </w:rPr>
            </w:pPr>
          </w:p>
        </w:tc>
      </w:tr>
      <w:tr>
        <w:trPr>
          <w:trHeight w:val="173"/>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4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w:t>
            </w:r>
          </w:p>
        </w:tc>
        <w:tc>
          <w:tcPr>
            <w:tcW w:w="160" w:type="dxa"/>
            <w:vAlign w:val="bottom"/>
            <w:tcBorders>
              <w:top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2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54,444</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12,464</w:t>
            </w:r>
          </w:p>
        </w:tc>
        <w:tc>
          <w:tcPr>
            <w:tcW w:w="2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54,024</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w:t>
            </w: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55,132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All our outstanding stock options and restricted stock units, or RSUs, were included in the computation of diluted earnings per share for the three and nine months ended January 31, 2019 and 2018.</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and Employee Stock Purchase Plans</w:t>
      </w:r>
    </w:p>
    <w:p>
      <w:pPr>
        <w:spacing w:after="0" w:line="11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have two incentive stock plans: the 2004 Incentive Stock Plan and the 2013 Incentive Stock Plan. New grants under the 2004 Incentive Stock Plan have not been made since the approval of the 2013 Incentive Stock Plan at our September 23, 2013 annual meeting of stockholders. All new grants covering all participants are issued under the 2013 Incentive Stock Plan. Except in specific circumstances, grants vest over a period of three or four years and stock options are exercisable for a period of 10 years from the date of grant. The plan also permits the grant of awards to non-employees, which our board of directors has authorized in the past.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shares and weighted average exercise prices of stock options for the nine months ended January 31, 2019 and 2018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rPr>
                <w:sz w:val="13"/>
                <w:szCs w:val="13"/>
                <w:color w:val="auto"/>
              </w:rPr>
            </w:pPr>
          </w:p>
        </w:tc>
        <w:tc>
          <w:tcPr>
            <w:tcW w:w="1520" w:type="dxa"/>
            <w:vAlign w:val="bottom"/>
            <w:tcBorders>
              <w:bottom w:val="single" w:sz="8" w:color="auto"/>
            </w:tcBorders>
            <w:gridSpan w:val="3"/>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Borders>
              <w:bottom w:val="single" w:sz="8" w:color="auto"/>
            </w:tcBorders>
            <w:gridSpan w:val="4"/>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beginning of year</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316,160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335,160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(32,899)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end of period</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FF0FC"/>
            </w:tcBorders>
            <w:vMerge w:val="continue"/>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 years</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CFF0FC"/>
            </w:tcBorders>
          </w:tcPr>
          <w:p>
            <w:pPr>
              <w:spacing w:after="0"/>
              <w:rPr>
                <w:sz w:val="21"/>
                <w:szCs w:val="21"/>
                <w:color w:val="auto"/>
              </w:rPr>
            </w:pPr>
          </w:p>
        </w:tc>
        <w:tc>
          <w:tcPr>
            <w:tcW w:w="1060" w:type="dxa"/>
            <w:vAlign w:val="bottom"/>
            <w:tcBorders>
              <w:top w:val="single" w:sz="8" w:color="auto"/>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 years</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CFF0FC"/>
            </w:tcBorders>
          </w:tcPr>
          <w:p>
            <w:pPr>
              <w:spacing w:after="0"/>
              <w:rPr>
                <w:sz w:val="21"/>
                <w:szCs w:val="21"/>
                <w:color w:val="auto"/>
              </w:rPr>
            </w:pPr>
          </w:p>
        </w:tc>
        <w:tc>
          <w:tcPr>
            <w:tcW w:w="1080" w:type="dxa"/>
            <w:vAlign w:val="bottom"/>
            <w:tcBorders>
              <w:top w:val="single" w:sz="8" w:color="auto"/>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end of period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283,261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331,160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 years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 years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aggregate intrinsic value of outstanding and exercisable stock options as of January 31, 2019 and 2018 was $1.5 million and $1.8 million,</w:t>
      </w:r>
    </w:p>
    <w:p>
      <w:pPr>
        <w:spacing w:after="0" w:line="2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respectively. There were no stock options exercised in the three months ended January 31, 2019. The aggregate intrinsic value of the stock options exercised in the three months ended January 31, 2018 was $28,600. The aggregate intrinsic value of the stock options exercised in the nine months ended January 31, 2019 and 2018 was $230,000 and $23,600, respectively. At January 31, 2019, there was no unrecognized compensation expense relating to outstanding stock options.</w:t>
      </w:r>
    </w:p>
    <w:p>
      <w:pPr>
        <w:spacing w:after="0" w:line="17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have an Employee Stock Purchase Plan, or ESPP, in which each participant is granted an option to purchase our common stock on each subsequent exercise date during the offering period (as such terms are defined in the ESPP) in accordance with the terms of the ESPP. During the nine months ended January 31, 2019 and 2018, 107,525 and 81,643 shares were purchased under our ESPP, respectively.</w:t>
      </w:r>
    </w:p>
    <w:p>
      <w:pPr>
        <w:spacing w:after="0" w:line="176"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total stock-based compensation expense, including stock options, purchases under our ESPP, RSUs, and performance-based RSUs, or PSUs, was $6.1 million and $5.8 million for the nine months ended January 31, 2019 and 2018, respectively. Stock-based compensation expense is included in cost of sales, sales and marketing, research and development, and general and administrative expenses.</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grant service-based RSUs to employees and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The aggregate fair value of our RSU grants is amortized to compensation expense over the vesting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18"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62"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During the nine months ended January 31, 2019, we granted an aggregate of 192,085 service-based RSUs, including 142,576 to non-executive officer employees and 49,509 RSUs to our directors. Compensation expense recognized related to grants of RSUs and PSUs was $5.8 million for the nine months ended January 31, 2019. During the nine months ended January 31, 2019, we cancelled 112,000 PSUs as a result of the performance metric not being met and 25,453 service-based RSUs as a result of the service condition not being met. In connection with the vesting of RSUs, during the nine months ended January 31, 2019, we delivered common stock to our employees and directors, including our executive officers, with a total market value of $2.4 million.</w:t>
      </w:r>
    </w:p>
    <w:p>
      <w:pPr>
        <w:spacing w:after="0" w:line="184"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18"/>
          <w:szCs w:val="18"/>
          <w:color w:val="auto"/>
        </w:rPr>
        <w:t>During the nine months ended January 31, 2018, we granted an aggregate of 232,672 service-based RSUs, including 189,360 to non-executive officer employees and 43,312 to our directors. In addition, in connection with a 2014 grant of 105,500 PSUs (i.e., the target amount granted), which achieved 115.2% of the targeted award, or the maximum award possible, we vested and delivered awards totaling 121,504 shares to certain of our executive officers.</w:t>
      </w:r>
    </w:p>
    <w:p>
      <w:pPr>
        <w:spacing w:after="0" w:line="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Compensation expense recognized related to grants of RSUs and PSUs was $5.2 million for the nine months ended January 31, 2018. During the nine months ended January 31, 2018, we cancelled 230,441 service-based RSUs as a result of the service condition not being met. We delivered common stock to our employees, including our executive officers, during the nine months ended January 31, 2018 under vested RSUs and PSUs with a total market value of $6.2 million.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the nine months ended January 31, 2019 and 2018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Pr>
          <w:p>
            <w:pPr>
              <w:spacing w:after="0"/>
              <w:rPr>
                <w:sz w:val="13"/>
                <w:szCs w:val="13"/>
                <w:color w:val="auto"/>
              </w:rPr>
            </w:pPr>
          </w:p>
        </w:tc>
        <w:tc>
          <w:tcPr>
            <w:tcW w:w="1540" w:type="dxa"/>
            <w:vAlign w:val="bottom"/>
            <w:tcBorders>
              <w:bottom w:val="single" w:sz="8" w:color="auto"/>
            </w:tcBorders>
            <w:gridSpan w:val="3"/>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Borders>
              <w:bottom w:val="single" w:sz="8" w:color="auto"/>
            </w:tcBorders>
            <w:gridSpan w:val="4"/>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Total #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9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PSUs outstanding, beginning of period</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1,442,316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1,428,848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(195,808)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(298,727)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(137,453)</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1,301,140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As of January 31, 2019, there was $6.5 million of unrecognized compensation expense related to unvested RSUs and PSUs. This expense is expected to be recognized over a weighted average remaining contractual term of 1.3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provisions for interim periods are based on estimated effective annual income tax rates and include federal and state income taxes.</w:t>
      </w:r>
    </w:p>
    <w:p>
      <w:pPr>
        <w:spacing w:after="0" w:line="225" w:lineRule="exact"/>
        <w:rPr>
          <w:sz w:val="20"/>
          <w:szCs w:val="20"/>
          <w:color w:val="auto"/>
        </w:rPr>
      </w:pPr>
    </w:p>
    <w:p>
      <w:pPr>
        <w:jc w:val="both"/>
        <w:ind w:right="240" w:firstLine="518"/>
        <w:spacing w:after="0" w:line="261" w:lineRule="auto"/>
        <w:rPr>
          <w:sz w:val="20"/>
          <w:szCs w:val="20"/>
          <w:color w:val="auto"/>
        </w:rPr>
      </w:pPr>
      <w:r>
        <w:rPr>
          <w:rFonts w:ascii="Times New Roman" w:cs="Times New Roman" w:eastAsia="Times New Roman" w:hAnsi="Times New Roman"/>
          <w:sz w:val="18"/>
          <w:szCs w:val="18"/>
          <w:color w:val="auto"/>
        </w:rPr>
        <w:t>On December 22, 2017, the U.S. federal government enacted comprehensive tax legislation with the Tax Cuts and Jobs Act, or Tax Reform, which made broad and complex changes to the U.S. tax code. Tax Reform significantly revised the corporate federal income tax by, among other things, lowering the corporate federal income tax rate, limiting various deductions, and repealing the domestic manufacturing deduction. We expect to see net benefits from the lower federal tax rate, although there are offsetting effects from other components of Tax Reform.</w:t>
      </w:r>
    </w:p>
    <w:p>
      <w:pPr>
        <w:spacing w:after="0" w:line="180"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Tax Reform reduced the U.S. federal statutory income tax rate from 35% to 21% generally effective for tax years beginning on or after January 1, 2018. Our U.S. federal statutory tax rate will be 21.0% in fiscal 2019.</w:t>
      </w:r>
    </w:p>
    <w:p>
      <w:pPr>
        <w:spacing w:after="0" w:line="162"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On December 22, 2017, the SEC issued Staff Accounting Bulletin 118, or SAB118, that provided additional guidance allowing companies to use a measurement period, similar to that used in business combinations, to account for the impacts of Tax Reform in their financial statements. In accordance with SAB 118, to the extent that a company’s accounting for certain income tax effects of the Tax Reform was incomplete, the company was allowed a one-year period after the enactment date of Tax Reform to finalize the recording of the related tax accounting effects.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jc w:val="center"/>
        <w:ind w:left="260" w:right="212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18"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We estimated the impact of Tax Reform, based on currently available information and interpretations of the law, to be a benefit to us of $8.7 million, which was included in our fiscal 2018 tax benefit. The majority of the tax benefit is due to remeasurement of deferred tax assets and liabilities at lower enacted corporate federal tax rates, which did not have a cash impact in fiscal 2018. During the three months ended January 31, 2019, we completed our accounting and made no material adjustments to the provisional amounts previously recorded.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income tax provisions represented effective tax rates of -26.3% and -288.9% for the three months ended January 31, 2019 and 2018,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provisions represented effective tax rates of 46.3% and -240.5% for the nine months ended January 31, 2019 and 2018,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January 2018, Gemini Technologies, Incorporated, or Gemini, commenced an action against us and Smith &amp; Wesson Corp. in the United States District Court for the District of Idaho, or District Court. The complaint alleges, among other things, that the defendants breached the earn-out and other provisions of the Asset Purchase Agreement and ancillary agreements between the parties in connection with Smith &amp; Wesson Corp.’s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In June 2018, Gemini appealed the decision dismissing its complaint to the U.S. Court of Appeals for the Ninth Circuit. We believe the claims asserted in the complaint have no merit, and we intend to aggressively defend this action.</w:t>
      </w:r>
    </w:p>
    <w:p>
      <w:pPr>
        <w:spacing w:after="0" w:line="18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are a defendant in six product liability cases and are aware of seven other product liability claims, primarily alleging defective product design, defective manufacturing, or failure to provide adequate warnings. In addition, we are a co-defendant in a case filed on August 27, 1999 by the city of Gary, Indiana against numerous firearm manufacturers, distributors, and dealers seeking to recover monetary damages, as well as injunctive relief, allegedly arising out of the misuse of firearms by third parties. In January 2018, the trial court granted defendants’ Motion for Judgement on the Pleadings, dismissing the case in its entirety. In February 2018, plaintiffs appealed the dismissal to the Indiana Court of Appeals. In May 2018, we were named in an action related to the Parkland, Florida shooting, filed in the Circuit Court, Broward County, Florida, seeking a declaratory judgement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w:t>
      </w:r>
    </w:p>
    <w:p>
      <w:pPr>
        <w:spacing w:after="0" w:line="18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incident and any results from them were due to negligence or misuse of the firearm by the claimant or a third party.</w:t>
      </w:r>
    </w:p>
    <w:p>
      <w:pPr>
        <w:spacing w:after="0" w:line="162"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and employment matters, which arise in the ordinary course of business.</w:t>
      </w:r>
    </w:p>
    <w:p>
      <w:pPr>
        <w:spacing w:after="0" w:line="162" w:lineRule="exact"/>
        <w:rPr>
          <w:sz w:val="20"/>
          <w:szCs w:val="20"/>
          <w:color w:val="auto"/>
        </w:rPr>
      </w:pPr>
    </w:p>
    <w:p>
      <w:pPr>
        <w:ind w:firstLine="518"/>
        <w:spacing w:after="0" w:line="281" w:lineRule="auto"/>
        <w:rPr>
          <w:sz w:val="20"/>
          <w:szCs w:val="20"/>
          <w:color w:val="auto"/>
        </w:rPr>
      </w:pPr>
      <w:r>
        <w:rPr>
          <w:rFonts w:ascii="Times New Roman" w:cs="Times New Roman" w:eastAsia="Times New Roman" w:hAnsi="Times New Roman"/>
          <w:sz w:val="17"/>
          <w:szCs w:val="17"/>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$350,000. In our experience, initial demands do not generally bear a reasonable relationship to the facts and circumstances of a particular matter. We believe that our accruals for product liability cases and claims, as described below, are a reasonable quantitative measure of the cost to us of product liability cases and claims.</w:t>
      </w:r>
    </w:p>
    <w:p>
      <w:pPr>
        <w:spacing w:after="0" w:line="165"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0" w:name="page21"/>
    <w:bookmarkEnd w:id="20"/>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1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disclose an estimate of the possible loss or range of loss, if such estimate could be made, or disclose that an estimate could not be made. We believe that we have provided adequate accruals for defense costs.</w:t>
      </w:r>
    </w:p>
    <w:p>
      <w:pPr>
        <w:spacing w:after="0" w:line="162"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this time, an estimated range of reasonably possible additional losses relating to unfavorable outcomes cannot be made.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00" w:firstLine="518"/>
        <w:spacing w:after="0" w:line="263" w:lineRule="auto"/>
        <w:rPr>
          <w:sz w:val="20"/>
          <w:szCs w:val="20"/>
          <w:color w:val="auto"/>
        </w:rPr>
      </w:pPr>
      <w:r>
        <w:rPr>
          <w:rFonts w:ascii="Times New Roman" w:cs="Times New Roman" w:eastAsia="Times New Roman" w:hAnsi="Times New Roman"/>
          <w:sz w:val="18"/>
          <w:szCs w:val="18"/>
          <w:color w:val="auto"/>
        </w:rPr>
        <w:t>In fiscal 2017, we announced a plan to establish a national logistics facility in Boone County, Missouri. We ultimately plan to rely on this logistics facility for substantially all of our product distribution. In fiscal 2018, we broke ground on our new 633,000 square foot facility, which was completed in November 2018 and will become operational over the course of the remainder of the fiscal year. As part of the completion of the building, we entered into a lease agreement with the developer of the building for $46.2 million. The lease has an effective interest rate of approximately 5.0% and is payable in</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240 monthly installments through fiscal 2039. Leases are accounted for under the provisions of ASC 840-10,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requires that leases be evaluated and classified as operating or capital leases for financial reporting purposes. Based on our evaluation under ASC 840-10, we determined that the lease qualified as a capital lease because the net present value of future lease payments exceeded 90% of the fair market value of the leased building. The building is pledged to secure the amounts outstanding. We included $615,000 of short-term capital lease obligation in accrued expenses and $45.6 million in long-term capital lease obligation on the condensed consolidated balance sheet. As noted above, we plan to adopt ASU 2016-02 -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our first quarter of fiscal 2020. Upon adoption, we plan to remove the current finance obligation and capital lease asset and record a right of use asset and lease liability equal to the net present value of future minimum lease payments. We expect the lease liability to be $40.8 million and right of use asset to be $41.6 million upon adoption of ASU 2016-02.</w:t>
      </w:r>
    </w:p>
    <w:p>
      <w:pPr>
        <w:spacing w:after="0" w:line="188"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Future minimum lease payments, including all our capital leases, for the remainder of fiscal 2019 and the succeeding fiscal years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 Lease Obligation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5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5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5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maturities of capital lease</w:t>
            </w:r>
          </w:p>
        </w:tc>
        <w:tc>
          <w:tcPr>
            <w:tcW w:w="5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maturities of capital lease</w:t>
            </w:r>
          </w:p>
        </w:tc>
        <w:tc>
          <w:tcPr>
            <w:tcW w:w="5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060" w:type="dxa"/>
            <w:vAlign w:val="bottom"/>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4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1" w:name="page22"/>
    <w:bookmarkEnd w:id="21"/>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UST Transition</w:t>
      </w:r>
    </w:p>
    <w:p>
      <w:pPr>
        <w:spacing w:after="0" w:line="11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August 2018, we announced a plan to transition our Ultimate Survival Technologies, LLC, or UST, business and operations into our Columbia, Missouri facility. That plan includes (i) closing our Jacksonville, Florida facility as part of our previously announced strategy to consolidate warehousing and logistics operations into the national logistics facility that we are constructing in Missouri and (ii) relocating our Jacksonville-based UST sales, marketing, and research and development activities to Columbia, Missouri. In connection with the integration, we expect to incur restructuring charges of approximately $1.5 million to $2.5 million relating to tangible asset impairment, severance, retention, and relocation beginning in our second quarter of fiscal 2019 and concluding in our first quarter of fiscal 2020, with cash outlays primarily being incurred in our first quarter of fiscal 2020. For the nine months ended January 31, 2019, we have recorded approximately $741,000 of costs associated with this transition.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We report our results of operations in two segments: (1) Firearms (which includes Firearms and Manufacturing Services divisions) and (2) Outdoor Products &amp; Accessories (which includes the Outdoor Products &amp; Accessories and Electro-Optics divisions). Our two segments are defined based on the reporting and review process used by the chief operating decision maker, our Chief Executive Officer. The Firearms segment has been determined to be a single operating segment and reporting segment based on our reliance on production metrics, such as gross margin per unit produced, units produced per day, incoming orders per day, and revenue produced by trade channel, all of which are particular to the Firearms segment. The Outdoor Products &amp; Accessories segment represents two operating segments that have been aggregated into a reportable segment, which are evaluated by a measurement of incoming orders per day and sales and gross margin by customer and brand.</w:t>
      </w:r>
    </w:p>
    <w:p>
      <w:pPr>
        <w:spacing w:after="0" w:line="189"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Firearms segment includes our firearms, services, and other components, which we manufacture or provide at our facilities in Springfield, Massachusetts; Houlton, Maine; Meridian, Idaho; and Deep River, Connecticut, and our firearm products, which we develop, assemble, and market in our Springfield, Massachusetts facility. The Outdoor Products &amp; Accessories segment includes our accessories products, which we develop, source, market, and distribute at our facilities in Columbia, Missouri and Jacksonville, Florida, and our electro-optics products, which we develop, market, and assemble in our Wilsonville, Oregon facility. We report operating costs based on the activities performed within each segment.</w:t>
      </w:r>
    </w:p>
    <w:p>
      <w:pPr>
        <w:spacing w:after="0" w:line="184"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Segment assets are those directly used in or clearly allocable to a reportable segment’s operations. Assets by business segment are presented in the following table as of January 31, 2019 and April 30, 2018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20" w:type="dxa"/>
            <w:vAlign w:val="bottom"/>
            <w:tcBorders>
              <w:bottom w:val="single" w:sz="8" w:color="auto"/>
            </w:tcBorders>
            <w:gridSpan w:val="5"/>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As of January 31, 2019</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April 30, 2018</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388,395</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384,443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772,838</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346,517</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398,543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172,517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146,154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107,816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163,077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182,101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172,797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Results by business segment are presented in the following tables for the three months ended January 31, 2019 and 2018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9"/>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 2019 (a)</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1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120" w:type="dxa"/>
            <w:vAlign w:val="bottom"/>
          </w:tcPr>
          <w:p>
            <w:pPr>
              <w:spacing w:after="0"/>
              <w:rPr>
                <w:sz w:val="12"/>
                <w:szCs w:val="12"/>
                <w:color w:val="auto"/>
              </w:rPr>
            </w:pPr>
          </w:p>
        </w:tc>
        <w:tc>
          <w:tcPr>
            <w:tcW w:w="120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36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1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123,045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38,963</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(3,526)</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123,623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41,911</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107,949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19,347</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54,059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(13,529) (b)</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(11,427)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2" w:name="page23"/>
    <w:bookmarkEnd w:id="2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and Nine Months Ended January 31, 2019 and 2018</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9"/>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 2018 (a)</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1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140" w:type="dxa"/>
            <w:vAlign w:val="bottom"/>
          </w:tcPr>
          <w:p>
            <w:pPr>
              <w:spacing w:after="0"/>
              <w:rPr>
                <w:sz w:val="12"/>
                <w:szCs w:val="12"/>
                <w:color w:val="auto"/>
              </w:rPr>
            </w:pPr>
          </w:p>
        </w:tc>
        <w:tc>
          <w:tcPr>
            <w:tcW w:w="11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360" w:type="dxa"/>
            <w:vAlign w:val="bottom"/>
            <w:gridSpan w:val="3"/>
            <w:vMerge w:val="continue"/>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1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116,882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(4,992)</w:t>
            </w: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117,644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(10,517)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(7,421)</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(15,563)</w:t>
            </w:r>
          </w:p>
        </w:tc>
        <w:tc>
          <w:tcPr>
            <w:tcW w:w="1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Results by business segment are presented in the following tables for the nine months ended January 31, 2019 and 2018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13"/>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 2019 (a)</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338,513</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124,031</w:t>
            </w: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(13,212)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340,638</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135,118</w:t>
            </w: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239,639</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73,474</w:t>
            </w: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100,999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61,644</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(15,550) (b)</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(33,168)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3"/>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 2018 (a)</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315,545</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119,280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(11,726)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318,500</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128,051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236,224</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70,463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22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82,276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57,588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2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(33,030)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20,581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(7,988)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(21,396)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690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5" w:lineRule="exact"/>
        <w:rPr>
          <w:sz w:val="20"/>
          <w:szCs w:val="20"/>
          <w:color w:val="auto"/>
        </w:rPr>
      </w:pPr>
    </w:p>
    <w:p>
      <w:pPr>
        <w:ind w:left="900" w:right="520" w:hanging="379"/>
        <w:spacing w:after="0" w:line="26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allocate all of corporate overhead expenses except for interest and income taxes, such as general and administrative expenses and other corporate-level expenses, to both our Firearms and Outdoor Products &amp; Accessories segments.</w:t>
      </w: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a non-cash goodwill impairment charge of $10.4 million recorded during the three months ended January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ind w:right="41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Please refer to the Management’s Discussion and Analysis of Financial Condition and Results of Operations in our Annual Report on Form 10-K for the fiscal year ended April 30, 2018 and our unaudited condensed consolidated financial statements included in Item 1 of this Quarterly Report on Form 10-Q. This section sets forth key objectives and performance indicators used by us as well as key industry data tracked by us.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report our results of operations in two segments: (1) Firearms and (2) Outdoor Products &amp; Accessories.</w:t>
      </w:r>
    </w:p>
    <w:p>
      <w:pPr>
        <w:spacing w:after="0" w:line="225"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fiscal 2018, in two separate transactions, we acquired substantially all of the net assets of Gemini Technologies, Incorporated, or Gemtech, and Bubba Blade branded products and other assets from Fish Tales, LLC. The aggregate purchase price for the two acquisitions was $23.1 million, subject to certain adjustments, utilizing a combination of cash on hand and borrowings under our revolving line of credit. Gemtech, based in Meridian, Idaho, is a provider of quality suppressors and accessories for the consumer, law enforcement, and military markets. Fish Tales, LLC, based in Oro Valley, Arizona and currently operated out of our Columbia, Missouri facility, was a provider of premium sportsman knives and tools for fishing and hunting, including the premium knife brand Bubba Blade. We collectively refer to the acquisitions of Gemtech and Bubba Blade branded products as the 2018 Acquisitions.</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January 2019, we acquired substantially all of the LaserLyte branded products and other assets, or LaserLyte, from P&amp;L Industries Inc., for a purchase price of $2.0 million, subject to certain adjustments, utilizing cash on hand. P&amp;L Industries was a provider of laser training and sighting products for the consumer market. The operations of LaserLyte will be fully integrated into our facility located in Wilsonville, Oregon and reported in our Outdoor Products &amp; Accessories segment. This acquisition did not have a material impact on our condensed consolidated financial statements for all periods presented.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2019 Highlights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three months ended January 31, 2019 included the following:</w:t>
      </w:r>
    </w:p>
    <w:p>
      <w:pPr>
        <w:spacing w:after="0" w:line="117" w:lineRule="exact"/>
        <w:rPr>
          <w:sz w:val="20"/>
          <w:szCs w:val="20"/>
          <w:color w:val="auto"/>
        </w:rPr>
      </w:pPr>
    </w:p>
    <w:p>
      <w:pPr>
        <w:ind w:left="1420" w:hanging="386"/>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net sales were $162.0 million, an increase of $4.6 million, or 2.9%, over the comparable quarter last year.</w:t>
      </w:r>
    </w:p>
    <w:p>
      <w:pPr>
        <w:spacing w:after="0" w:line="11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Firearms segment gross sales were $123.6 million, which included $578,000 of inter-segment revenue, an increase of $6.0 million, or</w:t>
      </w:r>
    </w:p>
    <w:p>
      <w:pPr>
        <w:spacing w:after="0" w:line="27" w:lineRule="exact"/>
        <w:rPr>
          <w:rFonts w:ascii="Times New Roman" w:cs="Times New Roman" w:eastAsia="Times New Roman" w:hAnsi="Times New Roman"/>
          <w:sz w:val="18"/>
          <w:szCs w:val="18"/>
          <w:color w:val="auto"/>
        </w:rPr>
      </w:pPr>
    </w:p>
    <w:p>
      <w:pPr>
        <w:ind w:left="1420" w:right="3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5.1%, over the comparable quarter last year, primarily because of increased demand and promotional activity for our modern sporting rifles and a change in accounting standards that impacted the timing of revenue recognition when shipping promotional products.</w:t>
      </w:r>
    </w:p>
    <w:p>
      <w:pPr>
        <w:spacing w:after="0" w:line="49" w:lineRule="exact"/>
        <w:rPr>
          <w:rFonts w:ascii="Times New Roman" w:cs="Times New Roman" w:eastAsia="Times New Roman" w:hAnsi="Times New Roman"/>
          <w:sz w:val="18"/>
          <w:szCs w:val="18"/>
          <w:color w:val="auto"/>
        </w:rPr>
      </w:pPr>
    </w:p>
    <w:p>
      <w:pPr>
        <w:ind w:left="1420" w:hanging="386"/>
        <w:spacing w:after="0" w:line="313" w:lineRule="auto"/>
        <w:tabs>
          <w:tab w:leader="none" w:pos="1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Outdoor Products &amp; Accessories segment gross sales were $41.9 million, which included $2.9 million of inter-segment revenue, a decrease of $2.8 million, or 6.3%, from the comparable quarter last year, with such decrease entirely related to our Electro-Optics division.</w:t>
      </w:r>
    </w:p>
    <w:p>
      <w:pPr>
        <w:spacing w:after="0" w:line="30" w:lineRule="exact"/>
        <w:rPr>
          <w:rFonts w:ascii="Times New Roman" w:cs="Times New Roman" w:eastAsia="Times New Roman" w:hAnsi="Times New Roman"/>
          <w:sz w:val="17"/>
          <w:szCs w:val="17"/>
          <w:color w:val="auto"/>
        </w:rPr>
      </w:pPr>
    </w:p>
    <w:p>
      <w:pPr>
        <w:ind w:left="1420" w:hanging="386"/>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gross margin was 33.4%, an increase of 360 basis points over the comparable quarter last year.</w:t>
      </w:r>
    </w:p>
    <w:p>
      <w:pPr>
        <w:spacing w:after="0" w:line="117" w:lineRule="exact"/>
        <w:rPr>
          <w:rFonts w:ascii="Times New Roman" w:cs="Times New Roman" w:eastAsia="Times New Roman" w:hAnsi="Times New Roman"/>
          <w:sz w:val="18"/>
          <w:szCs w:val="18"/>
          <w:color w:val="auto"/>
        </w:rPr>
      </w:pPr>
    </w:p>
    <w:p>
      <w:pPr>
        <w:ind w:left="1420" w:right="60" w:hanging="386"/>
        <w:spacing w:after="0" w:line="255"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factors occurring in the firearms industry during the last few years, including changes in the political environment and reduced overall demand for both firearms and the accessories that are attached to firearms, such as laser sights, resulted in us lowering our long-range sales volume, operating profit, and cash flow forecasts in our Electro-Optics operating unit. Based on those forecasts, we felt it important to seek out efficiencies in that operating unit to increase operating performance and as a result decided to combine our Electro-Optics operating unit with our Outdoor Products &amp; Accessories operating unit. The lowered forecasts and the decision to reorganize those operating units caused us to evaluate the fair value of our operating units utilizing those forecasts. Based on the results of this evaluation, we recorded a $10.4 million non-cash impairment of goodwill in our Outdoor Products &amp; Accessories segment.</w:t>
      </w:r>
    </w:p>
    <w:p>
      <w:pPr>
        <w:spacing w:after="0" w:line="81" w:lineRule="exact"/>
        <w:rPr>
          <w:rFonts w:ascii="Times New Roman" w:cs="Times New Roman" w:eastAsia="Times New Roman" w:hAnsi="Times New Roman"/>
          <w:sz w:val="18"/>
          <w:szCs w:val="18"/>
          <w:color w:val="auto"/>
        </w:rPr>
      </w:pPr>
    </w:p>
    <w:p>
      <w:pPr>
        <w:ind w:left="1420" w:right="40" w:hanging="386"/>
        <w:spacing w:after="0" w:line="261"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net loss was $5.7 million compared with net income of $11.4 million for the comparable quarter last year. The three months ended January 31, 2018 included an estimated $9.4 million tax benefit because of Tax Reform. The non-cash impairment charge described above had a $0.19 negative impact on basic and fully diluted earnings per share for the three months ended January 31, 2019. Company net income without the non-cash goodwill impairment charge was $4.7 million, or $0.09 per diluted share.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Our operating results for the nine months ended January 31, 2019 included the following:</w:t>
      </w:r>
    </w:p>
    <w:p>
      <w:pPr>
        <w:spacing w:after="0" w:line="117" w:lineRule="exact"/>
        <w:rPr>
          <w:sz w:val="20"/>
          <w:szCs w:val="20"/>
          <w:color w:val="auto"/>
        </w:rPr>
      </w:pPr>
    </w:p>
    <w:p>
      <w:pPr>
        <w:ind w:left="1420" w:hanging="386"/>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net sales were $462.5 million, an increase of $27.7 million, or 6.4%, over the prior year comparable period.</w:t>
      </w:r>
    </w:p>
    <w:p>
      <w:pPr>
        <w:spacing w:after="0" w:line="117" w:lineRule="exact"/>
        <w:rPr>
          <w:rFonts w:ascii="Times New Roman" w:cs="Times New Roman" w:eastAsia="Times New Roman" w:hAnsi="Times New Roman"/>
          <w:sz w:val="18"/>
          <w:szCs w:val="18"/>
          <w:color w:val="auto"/>
        </w:rPr>
      </w:pPr>
    </w:p>
    <w:p>
      <w:pPr>
        <w:ind w:left="1420" w:right="100" w:hanging="386"/>
        <w:spacing w:after="0" w:line="266"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Firearms segment gross sales were $340.6 million, which included $2.1 million of inter-segment revenue, an increase of $22.1 million, or 7.0%, over the prior year comparable period, primarily because of a change in accounting standards that impacted the timing of revenue recognition when shipping promotional products.</w:t>
      </w:r>
    </w:p>
    <w:p>
      <w:pPr>
        <w:spacing w:after="0" w:line="68" w:lineRule="exact"/>
        <w:rPr>
          <w:rFonts w:ascii="Times New Roman" w:cs="Times New Roman" w:eastAsia="Times New Roman" w:hAnsi="Times New Roman"/>
          <w:sz w:val="18"/>
          <w:szCs w:val="18"/>
          <w:color w:val="auto"/>
        </w:rPr>
      </w:pPr>
    </w:p>
    <w:p>
      <w:pPr>
        <w:ind w:left="1420" w:right="380" w:hanging="386"/>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Products &amp; Accessories segment gross sales were $135.1 million, which included $11.1 million of inter-segment revenue, an increase of $7.1 million, or 5.5%, over the prior year comparable period.</w:t>
      </w:r>
    </w:p>
    <w:p>
      <w:pPr>
        <w:spacing w:after="0" w:line="53"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gross margin was 35.2%, an increase of 340 basis points over the prior year comparable period.</w:t>
      </w:r>
    </w:p>
    <w:p>
      <w:pPr>
        <w:spacing w:after="0" w:line="117" w:lineRule="exact"/>
        <w:rPr>
          <w:rFonts w:ascii="Times New Roman" w:cs="Times New Roman" w:eastAsia="Times New Roman" w:hAnsi="Times New Roman"/>
          <w:sz w:val="18"/>
          <w:szCs w:val="18"/>
          <w:color w:val="auto"/>
        </w:rPr>
      </w:pPr>
    </w:p>
    <w:p>
      <w:pPr>
        <w:ind w:left="1420" w:right="80" w:hanging="386"/>
        <w:spacing w:after="0" w:line="258"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net income was $8.6 million, or $0.16 per diluted share, compared with net income of $12.5 million, or $0.23 per diluted share, for the prior year comparable period. The nine months ended January 31, 2018 included an estimated $9.4 million tax benefit because of Tax Reform. The non-cash impairment charge described above had a $0.18 negative impact on diluted earnings per share for the nine months ended January 31, 2019. Company net income without the non-cash impairment charge was $19.0 million, or $0.34 per diluted share.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 For the Three Months Ended January 31, 2019</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net sales for the three months ended January 31, 2019 and 2018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Borders>
              <w:bottom w:val="single" w:sz="8" w:color="CFF0FC"/>
            </w:tcBorders>
          </w:tcPr>
          <w:p>
            <w:pPr>
              <w:spacing w:after="0"/>
              <w:rPr>
                <w:sz w:val="15"/>
                <w:szCs w:val="15"/>
                <w:color w:val="auto"/>
              </w:rPr>
            </w:pPr>
          </w:p>
        </w:tc>
        <w:tc>
          <w:tcPr>
            <w:tcW w:w="14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Firearms Segment</w:t>
            </w:r>
          </w:p>
        </w:tc>
        <w:tc>
          <w:tcPr>
            <w:tcW w:w="1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Outdoor Products &amp; Accessories Segment</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(1,531)</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Net Sales</w:t>
            </w:r>
          </w:p>
        </w:tc>
        <w:tc>
          <w:tcPr>
            <w:tcW w:w="14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157,376</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trade channel net sales for the three months ended January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Sporting Goods Channel</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Channel</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157,376</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We include domestic handgun, long gun, and parts revenue as well as revenue from Outdoor Products &amp; Accessories in our sporting goods channel. We include international and law enforcement handgun, long gun, and handcuff revenue in our professional channel, and we include specialty services and plastic injection molding revenue in other products and services.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Firearms</w:t>
      </w:r>
    </w:p>
    <w:p>
      <w:pPr>
        <w:spacing w:after="0" w:line="14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Net sales for our Firearms segment for the three months ended January 31, 2019 increased 530 basis points over the comparable quarter last year, of which 100 basis points was a result of a change in accounting standards that impacted the timing of revenue recognition when shipping promotional products and 430 basis points was a result of increased demand for our modern sporting rifles and the effect of higher promotional activity.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5" w:name="page26"/>
    <w:bookmarkEnd w:id="25"/>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three months ended January 31, 2019 and 2018 (units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4640" w:type="dxa"/>
            <w:vAlign w:val="bottom"/>
            <w:tcBorders>
              <w:top w:val="single" w:sz="8" w:color="CFF0FC"/>
            </w:tcBorders>
            <w:gridSpan w:val="3"/>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6"/>
              </w:rPr>
              <w:t>273</w:t>
            </w:r>
          </w:p>
        </w:tc>
        <w:tc>
          <w:tcPr>
            <w:tcW w:w="2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9"/>
              </w:rPr>
              <w:t>21</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7.7%</w:t>
            </w:r>
          </w:p>
        </w:tc>
        <w:tc>
          <w:tcPr>
            <w:tcW w:w="120" w:type="dxa"/>
            <w:vAlign w:val="bottom"/>
            <w:tcBorders>
              <w:top w:val="single" w:sz="8" w:color="CFF0FC"/>
            </w:tcBorders>
            <w:shd w:val="clear" w:color="auto" w:fill="CFF0FC"/>
          </w:tcPr>
          <w:p>
            <w:pPr>
              <w:spacing w:after="0"/>
              <w:rPr>
                <w:sz w:val="18"/>
                <w:szCs w:val="18"/>
                <w:color w:val="auto"/>
              </w:rPr>
            </w:pPr>
          </w:p>
        </w:tc>
      </w:t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0"/>
                <w:szCs w:val="20"/>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0"/>
                <w:szCs w:val="20"/>
                <w:color w:val="auto"/>
              </w:rPr>
            </w:pP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8.6%</w:t>
            </w:r>
          </w:p>
        </w:tc>
        <w:tc>
          <w:tcPr>
            <w:tcW w:w="120" w:type="dxa"/>
            <w:vAlign w:val="bottom"/>
          </w:tcPr>
          <w:p>
            <w:pPr>
              <w:spacing w:after="0"/>
              <w:rPr>
                <w:sz w:val="20"/>
                <w:szCs w:val="20"/>
                <w:color w:val="auto"/>
              </w:rPr>
            </w:pPr>
          </w:p>
        </w:tc>
      </w:tr>
      <w:tr>
        <w:trPr>
          <w:trHeight w:val="434"/>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3420" w:type="dxa"/>
            <w:vAlign w:val="bottom"/>
          </w:tcPr>
          <w:p>
            <w:pPr>
              <w:spacing w:after="0"/>
              <w:rPr>
                <w:sz w:val="24"/>
                <w:szCs w:val="24"/>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24"/>
                <w:szCs w:val="24"/>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586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6"/>
              </w:rPr>
              <w:t>251</w:t>
            </w:r>
          </w:p>
        </w:tc>
        <w:tc>
          <w:tcPr>
            <w:tcW w:w="2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9"/>
              </w:rPr>
              <w:t>25</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tcBorders>
              <w:top w:val="single" w:sz="8" w:color="CFF0FC"/>
            </w:tcBorders>
            <w:shd w:val="clear" w:color="auto" w:fill="CFF0FC"/>
          </w:tcPr>
          <w:p>
            <w:pPr>
              <w:spacing w:after="0"/>
              <w:rPr>
                <w:sz w:val="18"/>
                <w:szCs w:val="18"/>
                <w:color w:val="auto"/>
              </w:rPr>
            </w:pPr>
          </w:p>
        </w:tc>
      </w:t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20"/>
                <w:szCs w:val="20"/>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20"/>
                <w:szCs w:val="20"/>
                <w:color w:val="auto"/>
              </w:rPr>
            </w:pP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w:t>
            </w:r>
          </w:p>
        </w:tc>
        <w:tc>
          <w:tcPr>
            <w:tcW w:w="120" w:type="dxa"/>
            <w:vAlign w:val="bottom"/>
          </w:tcPr>
          <w:p>
            <w:pPr>
              <w:spacing w:after="0"/>
              <w:rPr>
                <w:sz w:val="20"/>
                <w:szCs w:val="20"/>
                <w:color w:val="auto"/>
              </w:rPr>
            </w:pPr>
          </w:p>
        </w:tc>
      </w:tr>
      <w:tr>
        <w:trPr>
          <w:trHeight w:val="44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3640" w:type="dxa"/>
            <w:vAlign w:val="bottom"/>
            <w:gridSpan w:val="2"/>
          </w:tcPr>
          <w:p>
            <w:pPr>
              <w:spacing w:after="0"/>
              <w:rPr>
                <w:sz w:val="24"/>
                <w:szCs w:val="24"/>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24"/>
                <w:szCs w:val="24"/>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586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tcBorders>
              <w:top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-18.2%</w:t>
            </w:r>
          </w:p>
        </w:tc>
        <w:tc>
          <w:tcPr>
            <w:tcW w:w="120" w:type="dxa"/>
            <w:vAlign w:val="bottom"/>
            <w:tcBorders>
              <w:top w:val="single" w:sz="8" w:color="CFF0FC"/>
            </w:tcBorders>
            <w:shd w:val="clear" w:color="auto" w:fill="CFF0FC"/>
          </w:tcPr>
          <w:p>
            <w:pPr>
              <w:spacing w:after="0"/>
              <w:rPr>
                <w:sz w:val="18"/>
                <w:szCs w:val="18"/>
                <w:color w:val="auto"/>
              </w:rPr>
            </w:pPr>
          </w:p>
        </w:tc>
      </w:t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Pr>
          <w:p>
            <w:pPr>
              <w:spacing w:after="0"/>
              <w:rPr>
                <w:sz w:val="20"/>
                <w:szCs w:val="20"/>
                <w:color w:val="auto"/>
              </w:rPr>
            </w:pP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120" w:type="dxa"/>
            <w:vAlign w:val="bottom"/>
          </w:tcPr>
          <w:p>
            <w:pPr>
              <w:spacing w:after="0"/>
              <w:rPr>
                <w:sz w:val="20"/>
                <w:szCs w:val="20"/>
                <w:color w:val="auto"/>
              </w:rPr>
            </w:pPr>
          </w:p>
        </w:tc>
      </w:tr>
    </w:tbl>
    <w:p>
      <w:pPr>
        <w:spacing w:after="0" w:line="193"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Revenue for our handguns decreased $1.0 million, or 1.2%, from the comparable quarter last year, primarily because of lower shipments of Performance Center branded polymer pistols, revolvers, and product mix, partially offset by the recognition of deferred revenue on shipments of promotional products and increased demand for concealed carry M&amp;P branded polymer pistols. Despite a decline in revenue, actual unit shipments into the sporting goods channel for our handgun products increased 10.0% from the comparable quarter last year primarily as a result of a shift in mix to lower priced products and successful seasonal promotional programs, including a promotion that bundled one of our handgun products with a shooting accessories product. Although overall consumer demand for handguns decreased 8.0% compared with the comparable quarter last year (as indicated by adjusted background checks reported in the National Instant Criminal Background Check System, or NICS), we believe consistent demand for the broad array of quality products that we offer, combined with a normalized level of distributor inventory (compared with a sharp decline in such inventory in the prior comparable quarter), had a positive impact on our quarterly results.</w:t>
      </w:r>
    </w:p>
    <w:p>
      <w:pPr>
        <w:spacing w:after="0" w:line="189"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Revenue for our long guns increased $6.3 million, or 26.5%, over the comparable quarter last year, primarily because of product mix and higher demand for our M&amp;P branded Sport model modern sporting rifle, which was a part of several successful promotional programs, including a promotion that bundled a firearm with a shooting accessories product.</w:t>
      </w:r>
    </w:p>
    <w:p>
      <w:pPr>
        <w:spacing w:after="0" w:line="176"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increased $809,000, or 10.3%, over the comparable quarter last year, primarily because of higher sales of component parts.</w:t>
      </w:r>
    </w:p>
    <w:p>
      <w:pPr>
        <w:spacing w:after="0" w:line="162"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New products in our Firearms segment, defined as any new SKU not shipped in the comparable quarter last year, represented 15.1% of firearm revenue for the three months ended January 31, 2019 and included our new concealed carry M&amp;P branded polymer pistol and many other new product line extensions for our M&amp;P and Thompson/Center Arms branded products. The increase in the number of units sold favorably impacted firearm revenue by 1.0%.</w:t>
      </w:r>
    </w:p>
    <w:p>
      <w:pPr>
        <w:spacing w:after="0" w:line="180" w:lineRule="exact"/>
        <w:rPr>
          <w:sz w:val="20"/>
          <w:szCs w:val="20"/>
          <w:color w:val="auto"/>
        </w:rPr>
      </w:pPr>
    </w:p>
    <w:p>
      <w:pPr>
        <w:ind w:right="260" w:firstLine="518"/>
        <w:spacing w:after="0" w:line="256" w:lineRule="auto"/>
        <w:rPr>
          <w:sz w:val="20"/>
          <w:szCs w:val="20"/>
          <w:color w:val="auto"/>
        </w:rPr>
      </w:pPr>
      <w:r>
        <w:rPr>
          <w:rFonts w:ascii="Times New Roman" w:cs="Times New Roman" w:eastAsia="Times New Roman" w:hAnsi="Times New Roman"/>
          <w:sz w:val="18"/>
          <w:szCs w:val="18"/>
          <w:color w:val="auto"/>
        </w:rPr>
        <w:t>Our firearm inventory levels decreased during the three months ended January 31, 2019 as a result of increased shipments to fulfill seasonal promotional programs and increased demand for our modern sporting rifles, offset by increased inventory in anticipation of new product launches and to reduce the risk of potential shipping disruptions when our national logistics facility in Boone County, Missouri becomes fully operational. While inventory levels, both internally and in the distribution channel, in excess of demand may negatively impact future operating results, it is difficult to forecast the potential impact of distributor inventories on future revenue and income since demand is impacted by many factors, including seasonality, new product introductions, news events, political events, and consumer tastes.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Outdoor Products &amp; Accessories</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Net sales for our Outdoor Products &amp; Accessories segment for the three months ended January 31, 2019 decreased $1.5 million, or 3.8%, from the comparable quarter last year. Net sales decreased primarily from lower electro-optics products revenue as a result of a general decline in firearm market conditions. The decline in revenue was partially offset by 3.2% higher revenue in our outdoor products and accessories products, which we believe was due to market acceptance for newly introduced products over the past several years and increased revenue to strategic retailers, including internet retailers.</w:t>
      </w:r>
    </w:p>
    <w:p>
      <w:pPr>
        <w:spacing w:after="0" w:line="180"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New products in our Outdoor Products &amp; Accessories segment represented 4.8% of Outdoor Products &amp; Accessories revenue for the three months ended January 31, 2019 and included over 300 new products. Net sales for our Outdoor Products &amp; Accessories segment was 24.1% of total company net sales compared with 25.7% for the comparable quarter last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As expected, our Outdoor Products &amp; Accessories inventory levels increased during the three months ended January 31, 2019, primarily because of preparations for new product launches, the timing of international supplier shut downs, and increased inventory purchases to mitigate tariff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 For the Nine Months Ended January 31, 2019</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net sales for the nine months ended January 31, 2019 and 2018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Borders>
              <w:bottom w:val="single" w:sz="8" w:color="CFF0FC"/>
            </w:tcBorders>
          </w:tcPr>
          <w:p>
            <w:pPr>
              <w:spacing w:after="0"/>
              <w:rPr>
                <w:sz w:val="15"/>
                <w:szCs w:val="15"/>
                <w:color w:val="auto"/>
              </w:rPr>
            </w:pPr>
          </w:p>
        </w:tc>
        <w:tc>
          <w:tcPr>
            <w:tcW w:w="14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227,612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Firearms Segment</w:t>
            </w:r>
          </w:p>
        </w:tc>
        <w:tc>
          <w:tcPr>
            <w:tcW w:w="1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Outdoor Products &amp; Accessories Segment</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119,280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Net Sales</w:t>
            </w:r>
          </w:p>
        </w:tc>
        <w:tc>
          <w:tcPr>
            <w:tcW w:w="14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462,544</w:t>
            </w:r>
          </w:p>
        </w:tc>
        <w:tc>
          <w:tcPr>
            <w:tcW w:w="24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434,825</w:t>
            </w:r>
          </w:p>
        </w:tc>
        <w:tc>
          <w:tcPr>
            <w:tcW w:w="26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27,719</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trade channel net sales for the nine months ended January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Sporting Goods Channel</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406,967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382,168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Channel</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(1,076)</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462,544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434,825</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27,719</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Firearms</w:t>
      </w:r>
    </w:p>
    <w:p>
      <w:pPr>
        <w:spacing w:after="0" w:line="14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Net sales for our Firearms segment for the nine months ended January 31, 2019 increased 730 basis points over the prior year comparable period, primarily as a result of the accounting standard change described above. Absent the change in accounting standards, net sales for our Firearms segment increased 260 basis points compared with the prior year comparable period despite lower unit shipments into the sporting goods channel, primarily because of a $10.6 million reduction in promotional consumer rebates, which increased our average selling price in the current fiscal year.</w:t>
      </w:r>
    </w:p>
    <w:p>
      <w:pPr>
        <w:spacing w:after="0" w:line="180"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nine months ended January 31, 2019 and 2018 (units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4640" w:type="dxa"/>
            <w:vAlign w:val="bottom"/>
            <w:tcBorders>
              <w:top w:val="single" w:sz="8" w:color="CFF0FC"/>
            </w:tcBorders>
            <w:gridSpan w:val="3"/>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6"/>
              </w:rPr>
              <w:t>823</w:t>
            </w:r>
          </w:p>
        </w:tc>
        <w:tc>
          <w:tcPr>
            <w:tcW w:w="2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9"/>
              </w:rPr>
              <w:t>(51)</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FF0FC"/>
            </w:tcBorders>
            <w:shd w:val="clear" w:color="auto" w:fill="CFF0FC"/>
          </w:tcPr>
          <w:p>
            <w:pPr>
              <w:spacing w:after="0"/>
              <w:rPr>
                <w:sz w:val="18"/>
                <w:szCs w:val="18"/>
                <w:color w:val="auto"/>
              </w:rPr>
            </w:pPr>
          </w:p>
        </w:tc>
      </w:t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20"/>
                <w:szCs w:val="20"/>
                <w:color w:val="auto"/>
              </w:rPr>
            </w:pP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6"/>
              </w:rPr>
              <w:t>215</w:t>
            </w:r>
          </w:p>
        </w:tc>
        <w:tc>
          <w:tcPr>
            <w:tcW w:w="260" w:type="dxa"/>
            <w:vAlign w:val="bottom"/>
          </w:tcPr>
          <w:p>
            <w:pPr>
              <w:spacing w:after="0"/>
              <w:rPr>
                <w:sz w:val="20"/>
                <w:szCs w:val="20"/>
                <w:color w:val="auto"/>
              </w:rPr>
            </w:pP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34</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15.8%</w:t>
            </w:r>
          </w:p>
        </w:tc>
        <w:tc>
          <w:tcPr>
            <w:tcW w:w="120" w:type="dxa"/>
            <w:vAlign w:val="bottom"/>
          </w:tcPr>
          <w:p>
            <w:pPr>
              <w:spacing w:after="0"/>
              <w:rPr>
                <w:sz w:val="20"/>
                <w:szCs w:val="20"/>
                <w:color w:val="auto"/>
              </w:rPr>
            </w:pPr>
          </w:p>
        </w:tc>
      </w:tr>
      <w:tr>
        <w:trPr>
          <w:trHeight w:val="434"/>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3420" w:type="dxa"/>
            <w:vAlign w:val="bottom"/>
          </w:tcPr>
          <w:p>
            <w:pPr>
              <w:spacing w:after="0"/>
              <w:rPr>
                <w:sz w:val="24"/>
                <w:szCs w:val="24"/>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24"/>
                <w:szCs w:val="24"/>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586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6"/>
              </w:rPr>
              <w:t>740</w:t>
            </w:r>
          </w:p>
        </w:tc>
        <w:tc>
          <w:tcPr>
            <w:tcW w:w="2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9"/>
              </w:rPr>
              <w:t>(39)</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FF0FC"/>
            </w:tcBorders>
            <w:shd w:val="clear" w:color="auto" w:fill="CFF0FC"/>
          </w:tcPr>
          <w:p>
            <w:pPr>
              <w:spacing w:after="0"/>
              <w:rPr>
                <w:sz w:val="18"/>
                <w:szCs w:val="18"/>
                <w:color w:val="auto"/>
              </w:rPr>
            </w:pPr>
          </w:p>
        </w:tc>
      </w:t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20"/>
                <w:szCs w:val="20"/>
                <w:color w:val="auto"/>
              </w:rPr>
            </w:pP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6"/>
              </w:rPr>
              <w:t>199</w:t>
            </w:r>
          </w:p>
        </w:tc>
        <w:tc>
          <w:tcPr>
            <w:tcW w:w="260" w:type="dxa"/>
            <w:vAlign w:val="bottom"/>
          </w:tcPr>
          <w:p>
            <w:pPr>
              <w:spacing w:after="0"/>
              <w:rPr>
                <w:sz w:val="20"/>
                <w:szCs w:val="20"/>
                <w:color w:val="auto"/>
              </w:rPr>
            </w:pP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37</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18.6%</w:t>
            </w:r>
          </w:p>
        </w:tc>
        <w:tc>
          <w:tcPr>
            <w:tcW w:w="120" w:type="dxa"/>
            <w:vAlign w:val="bottom"/>
          </w:tcPr>
          <w:p>
            <w:pPr>
              <w:spacing w:after="0"/>
              <w:rPr>
                <w:sz w:val="20"/>
                <w:szCs w:val="20"/>
                <w:color w:val="auto"/>
              </w:rPr>
            </w:pPr>
          </w:p>
        </w:tc>
      </w:tr>
      <w:tr>
        <w:trPr>
          <w:trHeight w:val="44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3640" w:type="dxa"/>
            <w:vAlign w:val="bottom"/>
            <w:gridSpan w:val="2"/>
          </w:tcPr>
          <w:p>
            <w:pPr>
              <w:spacing w:after="0"/>
              <w:rPr>
                <w:sz w:val="24"/>
                <w:szCs w:val="24"/>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24"/>
                <w:szCs w:val="24"/>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586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9"/>
              </w:rPr>
              <w:t>83</w:t>
            </w:r>
          </w:p>
        </w:tc>
        <w:tc>
          <w:tcPr>
            <w:tcW w:w="2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-14.5%</w:t>
            </w:r>
          </w:p>
        </w:tc>
        <w:tc>
          <w:tcPr>
            <w:tcW w:w="120" w:type="dxa"/>
            <w:vAlign w:val="bottom"/>
            <w:tcBorders>
              <w:top w:val="single" w:sz="8" w:color="CFF0FC"/>
            </w:tcBorders>
            <w:shd w:val="clear" w:color="auto" w:fill="CFF0FC"/>
          </w:tcPr>
          <w:p>
            <w:pPr>
              <w:spacing w:after="0"/>
              <w:rPr>
                <w:sz w:val="18"/>
                <w:szCs w:val="18"/>
                <w:color w:val="auto"/>
              </w:rPr>
            </w:pPr>
          </w:p>
        </w:tc>
      </w:t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20"/>
                <w:szCs w:val="20"/>
                <w:color w:val="auto"/>
              </w:rPr>
            </w:pP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tcPr>
          <w:p>
            <w:pPr>
              <w:spacing w:after="0"/>
              <w:rPr>
                <w:sz w:val="20"/>
                <w:szCs w:val="20"/>
                <w:color w:val="auto"/>
              </w:rPr>
            </w:pP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w:t>
            </w:r>
          </w:p>
        </w:tc>
        <w:tc>
          <w:tcPr>
            <w:tcW w:w="120" w:type="dxa"/>
            <w:vAlign w:val="bottom"/>
          </w:tcPr>
          <w:p>
            <w:pPr>
              <w:spacing w:after="0"/>
              <w:rPr>
                <w:sz w:val="20"/>
                <w:szCs w:val="20"/>
                <w:color w:val="auto"/>
              </w:rPr>
            </w:pPr>
          </w:p>
        </w:tc>
      </w:tr>
    </w:tbl>
    <w:p>
      <w:pPr>
        <w:spacing w:after="0" w:line="193"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Revenue for our handguns increased $3.4 million, or 1.5%, over the prior year comparable period, primarily as a result of lower consumer rebates on our polymer pistols, the recognition of deferred revenue on shipments of promotional products, and higher demand for concealed carry M&amp;P branded polymer pistols and revolvers, partially offset by lower shipments of Performance Center branded polymer pistols. Actual unit shipments into the sporting goods channel for our handgun products decreased 5.3% from the prior year comparable period as overall demand for handguns decreased (as indicated by a 9.7% reduction in adjusted handgun NICS). Most of the decline in handgun unit shipments for fiscal 2019 compared with the prior year comparable period was primarily because of lower promotions and consumer rebates that resulted in reduced orders during our first quarter, partially offset by increased unit shipments during our second and third quarters because of increased promotional activity, and increased demand for the broad array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ind w:right="720"/>
        <w:spacing w:after="0" w:line="282" w:lineRule="auto"/>
        <w:rPr>
          <w:sz w:val="20"/>
          <w:szCs w:val="20"/>
          <w:color w:val="auto"/>
        </w:rPr>
      </w:pPr>
      <w:r>
        <w:rPr>
          <w:rFonts w:ascii="Times New Roman" w:cs="Times New Roman" w:eastAsia="Times New Roman" w:hAnsi="Times New Roman"/>
          <w:sz w:val="18"/>
          <w:szCs w:val="18"/>
          <w:color w:val="auto"/>
        </w:rPr>
        <w:t>quality products that we offer, combined with a normalized level of distributor inventory compared with a decline in such inventory in the prior year comparable period.</w:t>
      </w:r>
    </w:p>
    <w:p>
      <w:pPr>
        <w:spacing w:after="0" w:line="16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Revenue for our long guns increased $17.4 million, or 27.0%, over the prior year comparable period, partially because of replenishment of inventory in the sporting goods channel and several successful promotional programs, including a promotion that bundled a firearm with a shooting accessories product. As a result, we believe we increased our market share for long guns.</w:t>
      </w:r>
    </w:p>
    <w:p>
      <w:pPr>
        <w:spacing w:after="0" w:line="1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increased $2.2 million, or 9.3%, over the prior year comparable period primarily because of higher sales of parts and handcuffs.</w:t>
      </w:r>
    </w:p>
    <w:p>
      <w:pPr>
        <w:spacing w:after="0" w:line="162"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New products represented 23.0% of firearm revenue for the nine months ended January 31, 2019 and included our new concealed carry M&amp;P branded polymer pistol and many other new product line extensions for our M&amp;P and Thompson/Center Arms branded products. The reduction in the number of units sold negatively impacted firearm revenue by 2.1%.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Outdoor Products &amp; Accessories</w:t>
      </w:r>
    </w:p>
    <w:p>
      <w:pPr>
        <w:spacing w:after="0" w:line="119"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Net sales for our Outdoor Products &amp; Accessories segment for the nine months ended January 31, 2019 increased $4.8 million, or 4.0%, over the prior year comparable period. Net sales increased primarily because of a 7.8% increase in our outdoor products and accessories products revenue which we believe was due to market acceptance of newly introduced products over the past several years, partially offset by lower electro-optics product revenue as a result of a general decline in firearm market conditions.</w:t>
      </w:r>
    </w:p>
    <w:p>
      <w:pPr>
        <w:spacing w:after="0" w:line="180"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New products in our Outdoor Products &amp; Accessories segment represented 4.6% of this segment’s revenue for the nine months ended January 31, 2019 and included over 300 new products. Net sales for our Outdoor Products &amp; Accessories segment was 26.8% of total company net sales compared with 27.4% in the prior year comparable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121"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information regarding cost of sales and gross profit for the three months ended January 31, 2019 and 2018 (dollars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3200" w:type="dxa"/>
            <w:vAlign w:val="bottom"/>
            <w:gridSpan w:val="3"/>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160" w:type="dxa"/>
            <w:vAlign w:val="bottom"/>
            <w:gridSpan w:val="4"/>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gridSpan w:val="4"/>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107,949</w:t>
            </w:r>
          </w:p>
        </w:tc>
        <w:tc>
          <w:tcPr>
            <w:tcW w:w="3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110,459</w:t>
            </w:r>
          </w:p>
        </w:tc>
        <w:tc>
          <w:tcPr>
            <w:tcW w:w="3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24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54,059</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46,917</w:t>
            </w:r>
          </w:p>
        </w:tc>
        <w:tc>
          <w:tcPr>
            <w:tcW w:w="3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416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Firearms Segment</w:t>
            </w:r>
          </w:p>
        </w:tc>
        <w:tc>
          <w:tcPr>
            <w:tcW w:w="302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160" w:type="dxa"/>
            <w:vAlign w:val="bottom"/>
            <w:gridSpan w:val="4"/>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gridSpan w:val="4"/>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89,498</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4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35,691</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27,384</w:t>
            </w:r>
          </w:p>
        </w:tc>
        <w:tc>
          <w:tcPr>
            <w:tcW w:w="3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416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Outdoor Products &amp; Accessories Segment</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160" w:type="dxa"/>
            <w:vAlign w:val="bottom"/>
            <w:gridSpan w:val="4"/>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gridSpan w:val="4"/>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3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16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Gross margin for the three months ended January 31, 2019 for our Firearms segment increased by 5.6% over the comparable quarter last year, primarily because of a combination of increased production volumes and improved manufacturing fixed-cost absorption, lower promotional product discounts, and favorable manufacturing spending, which favorably impacted Firearms gross margin by 8.3%. The favorable impacts to Firearms gross margin were partially offset by unfavorable product mix and inventory valuation adjustments, which negatively impacted Firearms gross margin by 2.8%.</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Gross margin for the three months ended January 31, 2019 for our Outdoor Products &amp; Accessories segment decreased 1.1% from the comparable quarter last year, primarily because of changes in product mix, specifically the impact of reduced electro-optics sales that typically have higher gross margins. Despite the lower gross margin, our Outdoor Products &amp; Accessories segment favorably impacted total company gross margin by 4.4% for the three months ended January 31, 2019.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nine months ended January 31, 2019 and 2018 (units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3200" w:type="dxa"/>
            <w:vAlign w:val="bottom"/>
            <w:gridSpan w:val="3"/>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160" w:type="dxa"/>
            <w:vAlign w:val="bottom"/>
            <w:gridSpan w:val="4"/>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gridSpan w:val="4"/>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299,677</w:t>
            </w:r>
          </w:p>
        </w:tc>
        <w:tc>
          <w:tcPr>
            <w:tcW w:w="3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296,477</w:t>
            </w:r>
          </w:p>
        </w:tc>
        <w:tc>
          <w:tcPr>
            <w:tcW w:w="3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4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162,867</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138,348</w:t>
            </w:r>
          </w:p>
        </w:tc>
        <w:tc>
          <w:tcPr>
            <w:tcW w:w="3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24,519</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416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Firearms Segment</w:t>
            </w:r>
          </w:p>
        </w:tc>
        <w:tc>
          <w:tcPr>
            <w:tcW w:w="302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160" w:type="dxa"/>
            <w:vAlign w:val="bottom"/>
            <w:gridSpan w:val="4"/>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gridSpan w:val="4"/>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233,173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232,050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105,341</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83,494</w:t>
            </w:r>
          </w:p>
        </w:tc>
        <w:tc>
          <w:tcPr>
            <w:tcW w:w="3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21,847</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416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Outdoor Products &amp; Accessories Segment</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160" w:type="dxa"/>
            <w:vAlign w:val="bottom"/>
            <w:gridSpan w:val="4"/>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gridSpan w:val="4"/>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64,427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57,527</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54,855</w:t>
            </w:r>
          </w:p>
        </w:tc>
        <w:tc>
          <w:tcPr>
            <w:tcW w:w="3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16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46.4%</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Gross margin for the nine months ended January 31, 2019 for our Firearms segment increased by 4.6% over the prior year comparable period, primarily because of a combination of lower promotional product discounts, consumer rebates, and lower manufacturing spending, which favorably impacted Firearms gross margin by 9.4%. The favorable impacts to Firearms gross margin were partially offset by unfavorable product mix, unfavorable manufacturing fixed-cost absorption, and inventory valuation adjustments, which negatively impacted Firearms gross margin by 4.5%.</w:t>
      </w:r>
    </w:p>
    <w:p>
      <w:pPr>
        <w:spacing w:after="0" w:line="180"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Gross margin for the nine months ended January 31, 2019 for our Outdoor Products &amp; Accessories segment increased 40 basis points over the prior year comparable period, primarily because of changes in product mix, customer mix, and lower promotional activity in outdoor products and accessories, partially offset by reduced electro-optics sales that typically have higher gross margins. Our Outdoor Products &amp; Accessories segment favorably impacted total company gross margin by 4.1% for the nine months ended January 31,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three months ended January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5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6"/>
              </w:rPr>
              <w:t>N/A</w:t>
            </w:r>
          </w:p>
        </w:tc>
        <w:tc>
          <w:tcPr>
            <w:tcW w:w="18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3"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Excluding the impact of the non-cash goodwill impairment described above, operating expenses increased $4.6 million over the comparable quarter last year. General and administrative expenses increased primarily because of increased compensation-related expenses of $4.2 million and increased allowance for doubtful accounts, partially offset by reduced professional fees.</w:t>
      </w:r>
    </w:p>
    <w:p>
      <w:pPr>
        <w:spacing w:after="0" w:line="176"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nine months ended January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Borders>
              <w:bottom w:val="single" w:sz="8" w:color="CFF0FC"/>
            </w:tcBorders>
          </w:tcPr>
          <w:p>
            <w:pPr>
              <w:spacing w:after="0"/>
              <w:rPr>
                <w:sz w:val="15"/>
                <w:szCs w:val="15"/>
                <w:color w:val="auto"/>
              </w:rPr>
            </w:pPr>
          </w:p>
        </w:tc>
        <w:tc>
          <w:tcPr>
            <w:tcW w:w="17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75,826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30"/>
        </w:trPr>
        <w:tc>
          <w:tcPr>
            <w:tcW w:w="3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6"/>
              </w:rPr>
              <w:t>N/A</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127,716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r>
      <w:tr>
        <w:trPr>
          <w:trHeight w:val="234"/>
        </w:trPr>
        <w:tc>
          <w:tcPr>
            <w:tcW w:w="3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3"/>
        </w:trPr>
        <w:tc>
          <w:tcPr>
            <w:tcW w:w="3960" w:type="dxa"/>
            <w:vAlign w:val="bottom"/>
          </w:tcPr>
          <w:p>
            <w:pPr>
              <w:spacing w:after="0"/>
              <w:rPr>
                <w:sz w:val="24"/>
                <w:szCs w:val="24"/>
                <w:color w:val="auto"/>
              </w:rPr>
            </w:pPr>
          </w:p>
        </w:tc>
        <w:tc>
          <w:tcPr>
            <w:tcW w:w="20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9" w:name="page30"/>
    <w:bookmarkEnd w:id="29"/>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Excluding the impact of the non-cash goodwill impairment described above, operating expenses increased $2.0 million from the prior year comparable period. Research and development expenses increased $678,000 as a result of increased compensation-related expenses and professional fees. Selling and marketing expenses decreased as a result of decreased advertising expenses and commission costs, partially offset by increased compensation-related expenses. General and administrative expenses increased because of increased compensation-related expenses of $5.7 million, partially offset by $2.1 million of decreased professional fees, lower donations to the National Rifle Association of $950,000 due to timing, and decreased travel and entertainment related expenses.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three months ended January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(loss)/income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3" w:lineRule="exact"/>
        <w:rPr>
          <w:sz w:val="20"/>
          <w:szCs w:val="20"/>
          <w:color w:val="auto"/>
        </w:rPr>
      </w:pPr>
    </w:p>
    <w:p>
      <w:pPr>
        <w:ind w:right="100" w:firstLine="518"/>
        <w:spacing w:after="0" w:line="271" w:lineRule="auto"/>
        <w:rPr>
          <w:sz w:val="20"/>
          <w:szCs w:val="20"/>
          <w:color w:val="auto"/>
        </w:rPr>
      </w:pPr>
      <w:r>
        <w:rPr>
          <w:rFonts w:ascii="Times New Roman" w:cs="Times New Roman" w:eastAsia="Times New Roman" w:hAnsi="Times New Roman"/>
          <w:sz w:val="18"/>
          <w:szCs w:val="18"/>
          <w:color w:val="auto"/>
        </w:rPr>
        <w:t>Excluding the impact of the non-cash goodwill impairment described above, operating income for the three months ended January 31, 2019 was $8.4 million, an increase of $2.5 million over the comparable quarter last year, primarily because of a combination of increased production volumes and improved manufacturing fixed-cost absorption, lower promotional product discounts, favorable manufacturing spending, and a decrease in professional fees, partially offset by unfavorable product mix, inventory valuation adjustments, and increased compensation-related expenses.</w:t>
      </w:r>
    </w:p>
    <w:p>
      <w:pPr>
        <w:spacing w:after="0" w:line="213"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nine months ended January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114.2%</w:t>
            </w: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3"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Excluding the impact of the non-cash goodwill impairment described above, operating income for the nine months ended January 31, 2019 was $33.2 million, an increase of $22.5 million over the prior year comparable period, primarily because of a combination of lower promotional product discounts, consumer rebates, favorable manufacturing spending, a decrease in professional fees, and lower donations to the National Rifle Association due to timing, partially offset by unfavorable product mix, unfavorable manufacturing fixed-cost absorption, inventory valuation adjustments, and increased compensation-related expenses.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w:t>
      </w:r>
    </w:p>
    <w:p>
      <w:pPr>
        <w:spacing w:after="0" w:line="121"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income/(expense) for the three months ended January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income/(expense) for the nine months ended January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1,382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Other income/(expense) decreased from the prior year comparable period as a result of a $1.3 million adjustment in the contingent consideration liability in connection with the acquisition of Ultimate Survival Technologies, Inc. in fiscal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80" w:firstLine="518"/>
        <w:spacing w:after="0" w:line="313"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for the three months ended January 31, 2019 and 2018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Borders>
              <w:bottom w:val="single" w:sz="8" w:color="CFF0FC"/>
            </w:tcBorders>
          </w:tcPr>
          <w:p>
            <w:pPr>
              <w:spacing w:after="0"/>
              <w:rPr>
                <w:sz w:val="15"/>
                <w:szCs w:val="15"/>
                <w:color w:val="auto"/>
              </w:rPr>
            </w:pPr>
          </w:p>
        </w:tc>
        <w:tc>
          <w:tcPr>
            <w:tcW w:w="24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r>
      <w:tr>
        <w:trPr>
          <w:trHeight w:val="432"/>
        </w:trPr>
        <w:tc>
          <w:tcPr>
            <w:tcW w:w="340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0" w:name="page31"/>
    <w:bookmarkEnd w:id="30"/>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January 31, 2019 decreased by $451,000 compared with the comparable quarter last year primarily because of $100.0 million less borrowings on the Revolving Line.</w:t>
      </w:r>
    </w:p>
    <w:p>
      <w:pPr>
        <w:spacing w:after="0" w:line="202" w:lineRule="exact"/>
        <w:rPr>
          <w:sz w:val="20"/>
          <w:szCs w:val="20"/>
          <w:color w:val="auto"/>
        </w:rPr>
      </w:pPr>
    </w:p>
    <w:p>
      <w:pPr>
        <w:ind w:right="700" w:firstLine="518"/>
        <w:spacing w:after="0" w:line="313"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for the nine months ended January 31, 2019 and 2018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r>
    </w:tbl>
    <w:p>
      <w:pPr>
        <w:spacing w:after="0" w:line="198"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Interest expense decreased by $1.5 million from the prior year comparable period as a result of lower overall outstanding debt during the nine months ended January 31,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expense/(benefit) for the three months ended January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Borders>
              <w:bottom w:val="single" w:sz="8" w:color="CFF0FC"/>
            </w:tcBorders>
          </w:tcPr>
          <w:p>
            <w:pPr>
              <w:spacing w:after="0"/>
              <w:rPr>
                <w:sz w:val="15"/>
                <w:szCs w:val="15"/>
                <w:color w:val="auto"/>
              </w:rPr>
            </w:pPr>
          </w:p>
        </w:tc>
        <w:tc>
          <w:tcPr>
            <w:tcW w:w="10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1,191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87"/>
              </w:rPr>
              <w:t>(8,465)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-114.1%</w:t>
            </w:r>
          </w:p>
        </w:tc>
      </w:tr>
      <w:tr>
        <w:trPr>
          <w:trHeight w:val="234"/>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tcPr>
          <w:p>
            <w:pPr>
              <w:spacing w:after="0"/>
              <w:rPr>
                <w:sz w:val="20"/>
                <w:szCs w:val="20"/>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-288.9%</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262.6%</w:t>
            </w:r>
          </w:p>
        </w:tc>
      </w:tr>
    </w:tbl>
    <w:p>
      <w:pPr>
        <w:spacing w:after="0" w:line="193"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$1.2 million for the three months ended January 31, 2019, versus an income tax benefit of $8.5 million for the comparable quarter last year, primarily because of the impact of Tax Reform in the prior year. The effective tax rates were (26.3%) and (288.9%) for the three months ended January 31, 2019 and 2018, respectively. The effective tax rate for the three months ended January 31, 2019 excludes a non-cash goodwill impairment charge as a discrete item. The tax benefit for the three months ended January 31, 2018 was primarily because of the effects of the Tax Reform, which reduced the U.S. federal statutory income tax rate from 35% to 21% effective January 1, 2018.</w:t>
      </w:r>
    </w:p>
    <w:p>
      <w:pPr>
        <w:spacing w:after="0" w:line="211"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expense/(benefit) for the nine months ended January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Borders>
              <w:bottom w:val="single" w:sz="8" w:color="CFF0FC"/>
            </w:tcBorders>
          </w:tcPr>
          <w:p>
            <w:pPr>
              <w:spacing w:after="0"/>
              <w:rPr>
                <w:sz w:val="15"/>
                <w:szCs w:val="15"/>
                <w:color w:val="auto"/>
              </w:rPr>
            </w:pPr>
          </w:p>
        </w:tc>
        <w:tc>
          <w:tcPr>
            <w:tcW w:w="10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7,399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87"/>
              </w:rPr>
              <w:t>(8,803)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-184.1%</w:t>
            </w:r>
          </w:p>
        </w:tc>
      </w:tr>
      <w:tr>
        <w:trPr>
          <w:trHeight w:val="234"/>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tcPr>
          <w:p>
            <w:pPr>
              <w:spacing w:after="0"/>
              <w:rPr>
                <w:sz w:val="20"/>
                <w:szCs w:val="20"/>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-240.5%</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286.7%</w:t>
            </w:r>
          </w:p>
        </w:tc>
      </w:tr>
    </w:tbl>
    <w:p>
      <w:pPr>
        <w:spacing w:after="0" w:line="193"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$7.4 million for the nine months ended January 31, 2019, versus an income tax benefit of $8.8 million for the prior year comparable period, primarily because of the impact of Tax Reform in the prior year. The effective tax rates were 46.3% and (240.5%) for the nine months ended January 31, 2019 and 2018, respectively. The effective tax rate for the nine months ended January 31, 2019 excludes a non-cash goodwill impairment charge as a discrete item.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net (loss)/income and the related per share data for the three months ended January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and 2018 (dollars in thousands,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Borders>
              <w:bottom w:val="single" w:sz="8" w:color="CFF0FC"/>
            </w:tcBorders>
          </w:tcPr>
          <w:p>
            <w:pPr>
              <w:spacing w:after="0"/>
              <w:rPr>
                <w:sz w:val="15"/>
                <w:szCs w:val="15"/>
                <w:color w:val="auto"/>
              </w:rPr>
            </w:pPr>
          </w:p>
        </w:tc>
        <w:tc>
          <w:tcPr>
            <w:tcW w:w="19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 per share</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2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shd w:val="clear" w:color="auto" w:fill="CFF0FC"/>
          </w:tcPr>
          <w:p>
            <w:pPr>
              <w:spacing w:after="0"/>
              <w:rPr>
                <w:sz w:val="19"/>
                <w:szCs w:val="19"/>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(0.31)</w:t>
            </w:r>
          </w:p>
        </w:tc>
        <w:tc>
          <w:tcPr>
            <w:tcW w:w="1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-147.6%</w:t>
            </w:r>
          </w:p>
        </w:tc>
      </w:tr>
      <w:tr>
        <w:trPr>
          <w:trHeight w:val="234"/>
        </w:trPr>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2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(0.31)</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-147.6%</w:t>
            </w:r>
          </w:p>
        </w:tc>
      </w:tr>
    </w:tbl>
    <w:p>
      <w:pPr>
        <w:spacing w:after="0" w:line="193" w:lineRule="exact"/>
        <w:rPr>
          <w:sz w:val="20"/>
          <w:szCs w:val="20"/>
          <w:color w:val="auto"/>
        </w:rPr>
      </w:pPr>
    </w:p>
    <w:p>
      <w:pPr>
        <w:ind w:right="340" w:firstLine="518"/>
        <w:spacing w:after="0" w:line="258" w:lineRule="auto"/>
        <w:rPr>
          <w:sz w:val="20"/>
          <w:szCs w:val="20"/>
          <w:color w:val="auto"/>
        </w:rPr>
      </w:pPr>
      <w:r>
        <w:rPr>
          <w:rFonts w:ascii="Times New Roman" w:cs="Times New Roman" w:eastAsia="Times New Roman" w:hAnsi="Times New Roman"/>
          <w:sz w:val="18"/>
          <w:szCs w:val="18"/>
          <w:color w:val="auto"/>
        </w:rPr>
        <w:t>Excluding the impact of Tax Reform in the prior year and goodwill impairment in the current fiscal year, net income was $4.7 million for the three months ended January 31, 2019 compared with net income of $2.0 million from the comparable period last year, an increase of $2.7 million, primarily because of a combination of increased production volumes and improved manufacturing fixed-cost absorption, lower promotional product discounts, favorable manufacturing spending, and a decrease in professional fees, partially offset by unfavorable product mix, inventory valuation adjustments, and increased compensation-related expenses.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1" w:name="page32"/>
    <w:bookmarkEnd w:id="31"/>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nine months ended January 31, 2019 and 2018 (dollars 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bottom w:val="single" w:sz="8" w:color="CFF0FC"/>
            </w:tcBorders>
          </w:tcPr>
          <w:p>
            <w:pPr>
              <w:spacing w:after="0"/>
              <w:rPr>
                <w:sz w:val="15"/>
                <w:szCs w:val="15"/>
                <w:color w:val="auto"/>
              </w:rPr>
            </w:pPr>
          </w:p>
        </w:tc>
        <w:tc>
          <w:tcPr>
            <w:tcW w:w="21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4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(0.07)</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r>
      <w:tr>
        <w:trPr>
          <w:trHeight w:val="234"/>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(0.07)</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r>
    </w:tbl>
    <w:p>
      <w:pPr>
        <w:spacing w:after="0" w:line="193"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Excluding the impact of Tax Reform in the prior fiscal year and goodwill impairment in the current fiscal year, net income was $19.0 million for the nine months ended January 31, 2019 compared with net income of $3.1 million for the prior year comparable period, primarily because of a combination of lower promotional product discounts, consumer rebates, favorable manufacturing spending, a decrease in professional fees, and lower donations to the National Rifle Association due to timing, partially offset by unfavorable product mix, unfavorable manufacturing fixed-cost absorption, inventory valuation adjustments, and increased compensation-related expenses.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Our principal cash requirements are to (1) finance the growth of our operations, including working capital and capital expenditures, (2) service our existing debt, and (3) fund any potential acquisitions. Capital expenditures for material handling equipment and other capital projects to support our national logistics facility, various information technology projects, and tooling for new product offerings represent important cash needs for the remainder of fiscal 2019.</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nine months ended January 31, 2019 and 2018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(26,912)</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(37,454)</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(5,223)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(23,824)</w:t>
            </w: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cash flow</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24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(23,357)</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an annual basis, operating activities generally represent the principal source of our cash flow.</w:t>
      </w:r>
    </w:p>
    <w:p>
      <w:pPr>
        <w:spacing w:after="0" w:line="225"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was $20.7 million for the nine months ended January 31, 2019 compared with a cash usage of $4.5 million for the nine months ended January 31, 2018. Cash provided by operating activities for the nine months ended January 31, 2019 was impacted by net income before depreciation and amortization of $48.2 million, $10.4 million non-cash goodwill impairment charge in our Outdoor Products &amp; Accessories segment, and $5.8 million of increased payroll and incentives due to increased management incentive accruals. Cash provided by operating activities was partially offset by $20.2 million of increased inventory because of a seasonal build in inventory in preparation for the industry show seasons that typically result in higher demand for our products and a planned higher inventory balance to reduce the risk of potential shipping disruptions that may arise when our national logistics facility in Missouri becomes operational, $19.3 million of increased accounts receivable due to the timing of customer shipments, and an $8.5 million reduction in accrued expenses because of decreased promotional product discounts and consumer rebate accruals. We expect our inventory levels to remain relatively flat for the remainder of fiscal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decreased $10.5 million for the nine months ended January 31, 2019 from the prior year comparable period. We recorded capital expenditures of $26.0 million for the nine months ended January 31, 2019, $12.0 million lower than the prior year comparable period. Excluding spending related to our national logistics facility, we currently expect to spend approximately $18.0 million to $20.0 million on capital expenditures in fiscal 2019. Including spending related to our national logistics facility, we currently expect to spend between $43.0 million to $45.0 million on capital expenditures in fiscal 2019, an increase of $26.5 million to $31.5 million, respectively, over the $18.5 million spent in fiscal 2018. During the three months ended January 31, 2019, we acquired substantially all of the LaserLyte branded products and other assets, or LaserLyte, from P&amp;L Industries Inc., for a purchase price of $2.0 million, subject to certain adjustments, utilizing cash on hand.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$5.2 million for the nine months ended January 31, 2019 compared with cash provided by financing activities of $18.6 million for the nine months ended January 31, 2018. Cash used in financing activities during the nine months ended January 31, 2019 was primarily a result of principal payments on our Term Loan.</w:t>
      </w:r>
    </w:p>
    <w:p>
      <w:pPr>
        <w:spacing w:after="0" w:line="20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Capital Lease </w:t>
      </w:r>
      <w:r>
        <w:rPr>
          <w:rFonts w:ascii="Times New Roman" w:cs="Times New Roman" w:eastAsia="Times New Roman" w:hAnsi="Times New Roman"/>
          <w:sz w:val="18"/>
          <w:szCs w:val="18"/>
          <w:color w:val="auto"/>
        </w:rPr>
        <w:t>– In fiscal 2017, we announced a plan to establish a national logistics facility in Boone County, Missouri. We ultimately plan to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logistics facility for substantially all of our product distribution. In fiscal 2018, we broke ground on our new 633,000 square foot facility, which was completed in November 2018 and will become operational over the course of the remainder of this fiscal year. As part of the completion of the building, we entered into a lease agreement with the developer of the building for $46.2 million. The lease has an effective interest rate of approximately 5.0% and is payable in 240 monthly installments through fiscal 2039. Leases are accounted for under the provisions of ASC 840-10,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that leases be evaluated and classified as operating or capital leases for financial reporting purposes. Based on our evaluation under ASC 840-10, we determined that the lease qualified as a capital lease because the net present value of future lease payments exceeded 90% of the fair market value of the leased building. The building is pledged to secure the amounts outstanding. We included $615,000 of short-term capital lease obligation in accrued expenses and $45.6 million in long-term capital lease obligation on the condensed consolidated balance sheet.</w:t>
      </w:r>
    </w:p>
    <w:p>
      <w:pPr>
        <w:spacing w:after="0" w:line="18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June 15, 2015, we and certain of our domestic subsidiaries entered into an unsecured credit facility, or the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TD Bank, N.A. and other lenders, or the Lenders, which included a $175.0 million revolving line of credit, or the Revolving Line, and a $105.0 million term loan, or the Term Loan, of which $82.9 million remained outstanding as of January 31, 2019.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that, among other things, increased the Revolving Line to $350.0 million, increased the option to expand the credit commitment to an additional $150.0 million, and extended the maturity of the Revolving Line from June 15, 2020 to October 27, 2021. Other than the changes described in the Second Amendment, we otherwise remain subject to the terms of the Credit Agreement, as described below. We incurred $525,000 of debt issuance costs related to this amendment and have recorded these costs in notes and loans payable in the condensed consolidated balance sheet.</w:t>
      </w:r>
    </w:p>
    <w:p>
      <w:pPr>
        <w:spacing w:after="0" w:line="19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is subject to change based on changes in our consolidated leverage ratio. As of January 31, 2019, our interest rate on the Term Loan was 4.46%.</w:t>
      </w:r>
    </w:p>
    <w:p>
      <w:pPr>
        <w:spacing w:after="0" w:line="188"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As of January 31, 2019, the interest rate swap was considered effective and had no effect on earnings. The fair value of the interest rate swap on January 31, 2019 was an asset of $1.1 million and was recorded in other assets on our condensed consolidated balance sheet. We do not expect the interest rate swap to have any material impact on earnings within the next 12 months.</w:t>
      </w:r>
    </w:p>
    <w:p>
      <w:pPr>
        <w:spacing w:after="0" w:line="17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2018 Senior Notes - </w:t>
      </w:r>
      <w:r>
        <w:rPr>
          <w:rFonts w:ascii="Times New Roman" w:cs="Times New Roman" w:eastAsia="Times New Roman" w:hAnsi="Times New Roman"/>
          <w:sz w:val="18"/>
          <w:szCs w:val="18"/>
          <w:color w:val="auto"/>
        </w:rPr>
        <w:t>During fiscal 2015, we issued an aggregate of $75.0 million of 5.000% Senior Notes due 2018, or the 2018 Senior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institutional investors pursuant to the terms and conditions of an indenture and purchase agreements. The 2018 Senior Notes bore interest at a rate of 5.000% per annum payable on January 15 and July 15 of each year, beginning on January 15, 2015. We incurred $2.3 million of debt issuance costs related to the issuance of the 2018 Senior Notes. As discussed below, the 2018 Senior Notes were redeemed on March 8, 2018 with proceeds from the issuance of</w:t>
      </w:r>
    </w:p>
    <w:p>
      <w:pPr>
        <w:spacing w:after="0" w:line="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5.000% Senior Notes due 2020, or the 2020 Senior Notes. As part of the redemption, in fiscal 2018, we wrote off $226,000 of debt issuance costs related to the 2018 Senior Notes.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33" w:name="page34"/>
    <w:bookmarkEnd w:id="33"/>
    <w:p>
      <w:pPr>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2020 Senior Notes - </w:t>
      </w:r>
      <w:r>
        <w:rPr>
          <w:rFonts w:ascii="Times New Roman" w:cs="Times New Roman" w:eastAsia="Times New Roman" w:hAnsi="Times New Roman"/>
          <w:sz w:val="18"/>
          <w:szCs w:val="18"/>
          <w:color w:val="auto"/>
        </w:rPr>
        <w:t>On February 28, 2018, we issued an aggregate of $75.0 million of the 2020 Senior Notes to various institutional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terms and conditions of an indenture, or the 2020 Senior Notes Indenture, and purchase 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8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At any time prior to February 28, 2019, we may, at our option, upon not less than 30 nor more than 60 days’ prior notice, redeem all or a portion of the 2020 Senior Notes at a redemption price of 102.500% of the principal amount of the 2020 Senior Notes to be redeemed plus accrued and unpaid interest as of the applicable redemption date. On or after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Subject to certain restrictions and conditions, we may be required to make an offer to repurchase the 2020 Senior Notes from the holders of the 2020 Senior Notes in connection with a change of control or disposition of assets. If not redeemed by us or repaid pursuant to the holders’ right to require repurchase, the 2020 Senior Notes mature on August 28, 2020.</w:t>
      </w:r>
    </w:p>
    <w:p>
      <w:pPr>
        <w:spacing w:after="0" w:line="18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2020 Senior Notes are general, unsecured obligations of our company. The 2020 Senior Notes Indenture contains certain affirmative and negative covenants, including limitations on restricted payments (such as share repurchases, dividends, and early payment of indebtedness), limitations on indebtedness, limitations on the sale of assets, and limitations on liens. Payments that would otherwise be characterized as restricted payments are permitted under the 2020 Senior Notes Indenture in an amount not to exceed 50% of our consolidated net income for the period from the issue date to the date of the restricted payment, provided that at the time of making such payments, (a) no default has occurred or would result from the making of such payments, and</w:t>
      </w:r>
    </w:p>
    <w:p>
      <w:pPr>
        <w:spacing w:after="0" w:line="3" w:lineRule="exact"/>
        <w:rPr>
          <w:sz w:val="20"/>
          <w:szCs w:val="20"/>
          <w:color w:val="auto"/>
        </w:rPr>
      </w:pPr>
    </w:p>
    <w:p>
      <w:pPr>
        <w:ind w:right="80" w:firstLine="8"/>
        <w:spacing w:after="0" w:line="25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able to satisfy the debt incurrence test under the 2020 Senior Notes Indenture, or the 2020 Senior Notes Lifetime Aggregate Limit. In addition, the 2020 Senior Notes Indenture provides for other exceptions to the restricted payments covenant, each of which are independent of the 2020 Senior Notes Lifetime Aggregate Limit. Among such exceptions are (i) the ability to make share repurchases each fiscal year in an amount not to exceed the lesser of</w:t>
      </w:r>
    </w:p>
    <w:p>
      <w:pPr>
        <w:spacing w:after="0" w:line="1" w:lineRule="exact"/>
        <w:rPr>
          <w:rFonts w:ascii="Times New Roman" w:cs="Times New Roman" w:eastAsia="Times New Roman" w:hAnsi="Times New Roman"/>
          <w:sz w:val="18"/>
          <w:szCs w:val="18"/>
          <w:color w:val="auto"/>
        </w:rPr>
      </w:pPr>
    </w:p>
    <w:p>
      <w:pPr>
        <w:jc w:val="both"/>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 million in any fiscal year or (B) 75.0% of our consolidated net income for the previous four consecutive published fiscal quarters prior to the date of the determination of such consolidated net income, and (ii) share repurchases over the life of the 2020 Senior Notes in an aggregate amount not to exceed $75.0 million.</w:t>
      </w:r>
    </w:p>
    <w:p>
      <w:pPr>
        <w:spacing w:after="0" w:line="186"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 We were in compliance with all debt covenants as of January 31, 2019.</w:t>
      </w:r>
    </w:p>
    <w:p>
      <w:pPr>
        <w:spacing w:after="0" w:line="176"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During fiscal 2017, our board of directors authorized the repurchase of up to $50.0 million of our common stock, subject to certain conditions, in the open market or in privately negotiated transactions until March 28, 2019. As of January 31, 2019, there were no purchases under this stock repurchase program.</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the construction of our national logistics facility, and any acquisitions or strategic investments that we may make.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21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As of January 31, 2019, we had $37.5 million in cash and cash equivalents on hand. 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3 of the Notes to the Consolidated Financial Statements in our Annual Report on Form 10-K for the fiscal year ended April 30, 2018. The most significant areas involving our judgments and estimates are described in Management’s Discussion and Analysis of Financial Condition and Results of Operations in our Annual Report on Form 10-K for the fiscal year ended April 30, 2018, to which there have been no material changes. Actual results could differ from our estimates.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4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if any, is discussed in Note </w:t>
      </w:r>
      <w:r>
        <w:rPr>
          <w:rFonts w:ascii="Times New Roman" w:cs="Times New Roman" w:eastAsia="Times New Roman" w:hAnsi="Times New Roman"/>
          <w:sz w:val="18"/>
          <w:szCs w:val="18"/>
          <w:i w:val="1"/>
          <w:iCs w:val="1"/>
          <w:color w:val="auto"/>
        </w:rPr>
        <w:t>2—Basis of Presentation</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the period ended January 31, 2019, we did not enter into or transact any forward option contracts nor did we have any forward contracts outstanding. We enter into derivative financial instruments, such as interest rate swaps, in order to mitigate our interest rate risk associated with our variable rate debt. We may be exposed to credit and market risks, including, but not limited to, the failure of any counterparty to perform under the terms of the derivative contract or the adverse effect on the value of the financial instrument resulting from a change in interest rates. As of January 31, 2019, we have an interest rate swap agreement outstanding, which matures on June 15, 2020 and hedges the variable interest on our Term Loan. The outstanding balance of the Term Loan was $82.9 million, and the aggregate net fair value of the interest rate swap was $1.1 million as of January 31, 2019. The fair value of this interest rate swap agreement is dependent upon existing market interest rates and swap spreads. We do not anticipate future changes in interest rates to have a material impact on our consolidated financial statements. As of January 31, 2019, the effective interest rate of our Term Loan was 4.46%.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right="40" w:firstLine="518"/>
        <w:spacing w:after="0" w:line="273"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October 31, 2018,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have concluded that, as of January 31, 2019, our disclosure controls and procedures were effective at a reasonable assurance level in that they were reasonably designed to ensure that information required to be disclosed by us in the reports we file or submit under the Exchange Act (i) is recorded, processed, summarized, and reported within the time periods specified in the rules and forms of the SEC, and (ii) is accumulated and communicated to management, including our Chief Executive Officer and Chief Financial Officer, as appropriate to allow timely decisions regarding required disclosure.</w:t>
      </w:r>
    </w:p>
    <w:p>
      <w:pPr>
        <w:spacing w:after="0" w:line="184"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5" w:name="page36"/>
    <w:bookmarkEnd w:id="3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right="540" w:firstLine="518"/>
        <w:spacing w:after="0" w:line="284" w:lineRule="auto"/>
        <w:rPr>
          <w:sz w:val="20"/>
          <w:szCs w:val="20"/>
          <w:color w:val="auto"/>
        </w:rPr>
      </w:pPr>
      <w:r>
        <w:rPr>
          <w:rFonts w:ascii="Times New Roman" w:cs="Times New Roman" w:eastAsia="Times New Roman" w:hAnsi="Times New Roman"/>
          <w:sz w:val="18"/>
          <w:szCs w:val="18"/>
          <w:color w:val="auto"/>
        </w:rPr>
        <w:t>The nature of legal proceedings against us is discussed in Note 11</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3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During fiscal 2017, our board of directors authorized the repurchase of up to $50.0 million of our common stock, subject to certain conditions, in the open market or in privately negotiated transactions until March 28, 2019. As of January 31, 2019, we have made no purchases under this stock repurchase program.</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(immediately preceding the signatures section of this Quarterly Report on Form 10-Q) are included herewith or incorporated herein by reference.</w:t>
      </w:r>
    </w:p>
    <w:p>
      <w:pPr>
        <w:spacing w:after="0" w:line="1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3" w:right="4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280" w:type="dxa"/>
            <w:vAlign w:val="bottom"/>
            <w:gridSpan w:val="5"/>
          </w:tcPr>
          <w:p>
            <w:pPr>
              <w:ind w:left="36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50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Rule 13a-14(a)/15d-14(a) Certification of Principal Executive Officer</w:t>
              </w:r>
            </w:hyperlink>
          </w:p>
        </w:tc>
        <w:tc>
          <w:tcPr>
            <w:tcW w:w="5260" w:type="dxa"/>
            <w:vAlign w:val="bottom"/>
          </w:tcPr>
          <w:p>
            <w:pPr>
              <w:spacing w:after="0"/>
              <w:rPr>
                <w:sz w:val="24"/>
                <w:szCs w:val="24"/>
                <w:color w:val="auto"/>
              </w:rPr>
            </w:pPr>
          </w:p>
        </w:tc>
      </w:tr>
      <w:tr>
        <w:trPr>
          <w:trHeight w:val="318"/>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280" w:type="dxa"/>
            <w:vAlign w:val="bottom"/>
            <w:gridSpan w:val="5"/>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Rule 13a-14(a)/15d-14(a) Certification of Principal Financial Officer</w:t>
              </w:r>
            </w:hyperlink>
          </w:p>
        </w:tc>
      </w:tr>
      <w:tr>
        <w:trPr>
          <w:trHeight w:val="318"/>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41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Section 1350 Certification of Principal Executive Officer</w:t>
              </w:r>
            </w:hyperlink>
          </w:p>
        </w:tc>
        <w:tc>
          <w:tcPr>
            <w:tcW w:w="840" w:type="dxa"/>
            <w:vAlign w:val="bottom"/>
            <w:tcBorders>
              <w:top w:val="single" w:sz="8" w:color="0000EE"/>
            </w:tcBorders>
          </w:tcPr>
          <w:p>
            <w:pPr>
              <w:spacing w:after="0"/>
              <w:rPr>
                <w:sz w:val="24"/>
                <w:szCs w:val="24"/>
                <w:color w:val="auto"/>
              </w:rPr>
            </w:pPr>
          </w:p>
        </w:tc>
        <w:tc>
          <w:tcPr>
            <w:tcW w:w="5320" w:type="dxa"/>
            <w:vAlign w:val="bottom"/>
            <w:gridSpan w:val="2"/>
          </w:tcPr>
          <w:p>
            <w:pPr>
              <w:spacing w:after="0"/>
              <w:rPr>
                <w:sz w:val="24"/>
                <w:szCs w:val="24"/>
                <w:color w:val="auto"/>
              </w:rPr>
            </w:pPr>
          </w:p>
        </w:tc>
      </w:tr>
      <w:tr>
        <w:trPr>
          <w:trHeight w:val="318"/>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10280" w:type="dxa"/>
            <w:vAlign w:val="bottom"/>
            <w:gridSpan w:val="5"/>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Section 1350 Certification of Principal Financial Officer</w:t>
              </w:r>
            </w:hyperlink>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220" w:type="dxa"/>
            <w:vAlign w:val="bottom"/>
            <w:gridSpan w:val="4"/>
          </w:tcPr>
          <w:p>
            <w:pPr>
              <w:spacing w:after="0"/>
              <w:rPr>
                <w:sz w:val="24"/>
                <w:szCs w:val="24"/>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48"/>
        </w:trPr>
        <w:tc>
          <w:tcPr>
            <w:tcW w:w="1160" w:type="dxa"/>
            <w:vAlign w:val="bottom"/>
          </w:tcPr>
          <w:p>
            <w:pPr>
              <w:spacing w:after="0"/>
              <w:rPr>
                <w:sz w:val="24"/>
                <w:szCs w:val="24"/>
                <w:color w:val="auto"/>
              </w:rPr>
            </w:pPr>
          </w:p>
        </w:tc>
        <w:tc>
          <w:tcPr>
            <w:tcW w:w="4960" w:type="dxa"/>
            <w:vAlign w:val="bottom"/>
            <w:gridSpan w:val="3"/>
          </w:tcPr>
          <w:p>
            <w:pPr>
              <w:ind w:left="446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738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AMERICAN OUTDOOR BRANDS CORPORATION,</w:t>
            </w:r>
          </w:p>
        </w:tc>
      </w:tr>
      <w:tr>
        <w:trPr>
          <w:trHeight w:val="234"/>
        </w:trPr>
        <w:tc>
          <w:tcPr>
            <w:tcW w:w="4040" w:type="dxa"/>
            <w:vAlign w:val="bottom"/>
          </w:tcPr>
          <w:p>
            <w:pPr>
              <w:spacing w:after="0"/>
              <w:rPr>
                <w:sz w:val="20"/>
                <w:szCs w:val="20"/>
                <w:color w:val="auto"/>
              </w:rPr>
            </w:pPr>
          </w:p>
        </w:tc>
        <w:tc>
          <w:tcPr>
            <w:tcW w:w="738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47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2019</w:t>
            </w:r>
          </w:p>
        </w:tc>
        <w:tc>
          <w:tcPr>
            <w:tcW w:w="31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 James Debney</w:t>
            </w:r>
          </w:p>
        </w:tc>
      </w:tr>
      <w:tr>
        <w:trPr>
          <w:trHeight w:val="189"/>
        </w:trPr>
        <w:tc>
          <w:tcPr>
            <w:tcW w:w="40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 James Debney</w:t>
            </w:r>
          </w:p>
        </w:tc>
      </w:tr>
      <w:tr>
        <w:trPr>
          <w:trHeight w:val="236"/>
        </w:trPr>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2019</w:t>
            </w:r>
          </w:p>
        </w:tc>
        <w:tc>
          <w:tcPr>
            <w:tcW w:w="31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D. Buchanan</w:t>
            </w:r>
          </w:p>
        </w:tc>
      </w:tr>
      <w:tr>
        <w:trPr>
          <w:trHeight w:val="211"/>
        </w:trPr>
        <w:tc>
          <w:tcPr>
            <w:tcW w:w="4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Jeffrey D. Buchanan</w:t>
            </w:r>
          </w:p>
        </w:tc>
      </w:tr>
    </w:tbl>
    <w:p>
      <w:pPr>
        <w:ind w:left="722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 Chief Administrative Officer, and</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33"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James Debney,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Outdoor Brands Corporation;</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100" w:firstLine="1042"/>
        <w:spacing w:after="0" w:line="266" w:lineRule="auto"/>
        <w:tabs>
          <w:tab w:leader="none" w:pos="127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1042"/>
        <w:spacing w:after="0" w:line="266" w:lineRule="auto"/>
        <w:tabs>
          <w:tab w:leader="none" w:pos="128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420" w:firstLine="1042"/>
        <w:spacing w:after="0" w:line="282" w:lineRule="auto"/>
        <w:tabs>
          <w:tab w:leader="none" w:pos="127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400" w:firstLine="1042"/>
        <w:spacing w:after="0" w:line="266" w:lineRule="auto"/>
        <w:tabs>
          <w:tab w:leader="none" w:pos="128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0" w:firstLine="526"/>
        <w:spacing w:after="0" w:line="28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660" w:firstLine="1042"/>
        <w:spacing w:after="0" w:line="282" w:lineRule="auto"/>
        <w:tabs>
          <w:tab w:leader="none" w:pos="12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40" w:firstLine="1042"/>
        <w:spacing w:after="0" w:line="282" w:lineRule="auto"/>
        <w:tabs>
          <w:tab w:leader="none" w:pos="127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 James Debney</w:t>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2019</w:t>
      </w:r>
    </w:p>
    <w:p>
      <w:pPr>
        <w:sectPr>
          <w:pgSz w:w="11900" w:h="16838" w:orient="portrait"/>
          <w:cols w:equalWidth="0" w:num="1">
            <w:col w:w="11420"/>
          </w:cols>
          <w:pgMar w:left="240" w:top="360"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Buchanan,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Outdoor Brands Corporation;</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100" w:firstLine="1042"/>
        <w:spacing w:after="0" w:line="266" w:lineRule="auto"/>
        <w:tabs>
          <w:tab w:leader="none" w:pos="12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1042"/>
        <w:spacing w:after="0" w:line="266" w:lineRule="auto"/>
        <w:tabs>
          <w:tab w:leader="none" w:pos="12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420" w:firstLine="1042"/>
        <w:spacing w:after="0" w:line="282" w:lineRule="auto"/>
        <w:tabs>
          <w:tab w:leader="none" w:pos="12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400" w:firstLine="1042"/>
        <w:spacing w:after="0" w:line="266" w:lineRule="auto"/>
        <w:tabs>
          <w:tab w:leader="none" w:pos="12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0" w:firstLine="526"/>
        <w:spacing w:after="0" w:line="282"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660" w:firstLine="1042"/>
        <w:spacing w:after="0" w:line="282" w:lineRule="auto"/>
        <w:tabs>
          <w:tab w:leader="none" w:pos="12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40" w:firstLine="1042"/>
        <w:spacing w:after="0" w:line="282" w:lineRule="auto"/>
        <w:tabs>
          <w:tab w:leader="none" w:pos="12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Jeffrey D. Buchanan</w:t>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Chief</w:t>
      </w:r>
    </w:p>
    <w:p>
      <w:pPr>
        <w:spacing w:after="0" w:line="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Administrative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2019</w:t>
      </w:r>
    </w:p>
    <w:p>
      <w:pPr>
        <w:sectPr>
          <w:pgSz w:w="11900" w:h="16838" w:orient="portrait"/>
          <w:cols w:equalWidth="0" w:num="1">
            <w:col w:w="11420"/>
          </w:cols>
          <w:pgMar w:left="240" w:top="360"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Outdoor Brands Corporation (the “Company”) for the quarterly period ended January 31, 2019 as filed with the Securities and Exchange Commission on the date hereof (the “Report”), I, P. James Debney, President and Chief Executive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of the Securities Exchange Act of 1934 (15 U.S.C. 78m(a)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78o(d)); and</w:t>
      </w:r>
    </w:p>
    <w:p>
      <w:pPr>
        <w:spacing w:after="0" w:line="9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 James Debney</w:t>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2019</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420"/>
          </w:cols>
          <w:pgMar w:left="240" w:top="360"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Outdoor Brands Corporation (the “Company”) for the quarterly period ended January 31, 2019 as filed with the Securities and Exchange Commission on the date hereof (the “Report”), I, Jeffrey D. Buchanan, Chief Financial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of the Securities Exchange Act of 1934 (15 U.S.C. 78m(a)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78o(d)); and</w:t>
      </w:r>
    </w:p>
    <w:p>
      <w:pPr>
        <w:spacing w:after="0" w:line="9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Jeffrey D. Buchanan</w:t>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Chief</w:t>
      </w:r>
    </w:p>
    <w:p>
      <w:pPr>
        <w:spacing w:after="0" w:line="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Administrative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2019</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2019-12-28T15:14:04Z</dcterms:created>
  <dcterms:modified xsi:type="dcterms:W3CDTF">2019-12-28T15:14:04Z</dcterms:modified>
</cp:coreProperties>
</file>