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jc w:val="both"/>
        <w:ind w:left="20" w:right="1560" w:firstLine="1"/>
        <w:spacing w:after="0" w:line="276" w:lineRule="exact"/>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TRANSITION REPORT PURSUANT TO SECTION 13 OR 15(d) OF THE SECURITIES EXCHANGE ACT OF 1934</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January 31, 2022</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193040</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Smith &amp; Wesson Brands, Inc.</w:t>
      </w: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1"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3440" w:type="dxa"/>
            <w:vAlign w:val="bottom"/>
          </w:tcPr>
          <w:p>
            <w:pPr>
              <w:jc w:val="center"/>
              <w:ind w:left="978"/>
              <w:spacing w:after="0"/>
              <w:rPr>
                <w:sz w:val="20"/>
                <w:szCs w:val="20"/>
                <w:color w:val="auto"/>
              </w:rPr>
            </w:pPr>
            <w:r>
              <w:rPr>
                <w:rFonts w:ascii="Arial" w:cs="Arial" w:eastAsia="Arial" w:hAnsi="Arial"/>
                <w:sz w:val="18"/>
                <w:szCs w:val="18"/>
                <w:b w:val="1"/>
                <w:bCs w:val="1"/>
                <w:color w:val="auto"/>
                <w:w w:val="90"/>
              </w:rPr>
              <w:t>Nevada</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Arial" w:cs="Arial" w:eastAsia="Arial" w:hAnsi="Arial"/>
                <w:sz w:val="18"/>
                <w:szCs w:val="18"/>
                <w:b w:val="1"/>
                <w:bCs w:val="1"/>
                <w:color w:val="auto"/>
              </w:rPr>
              <w:t>87-0543688</w:t>
            </w:r>
          </w:p>
        </w:tc>
        <w:tc>
          <w:tcPr>
            <w:tcW w:w="0" w:type="dxa"/>
            <w:vAlign w:val="bottom"/>
          </w:tcPr>
          <w:p>
            <w:pPr>
              <w:spacing w:after="0"/>
              <w:rPr>
                <w:sz w:val="1"/>
                <w:szCs w:val="1"/>
                <w:color w:val="auto"/>
              </w:rPr>
            </w:pPr>
          </w:p>
        </w:tc>
      </w:tr>
      <w:tr>
        <w:trPr>
          <w:trHeight w:val="149"/>
        </w:trPr>
        <w:tc>
          <w:tcPr>
            <w:tcW w:w="3440" w:type="dxa"/>
            <w:vAlign w:val="bottom"/>
          </w:tcPr>
          <w:p>
            <w:pPr>
              <w:jc w:val="center"/>
              <w:ind w:left="9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440" w:type="dxa"/>
            <w:vAlign w:val="bottom"/>
          </w:tcPr>
          <w:p>
            <w:pPr>
              <w:jc w:val="center"/>
              <w:ind w:left="958"/>
              <w:spacing w:after="0"/>
              <w:rPr>
                <w:sz w:val="20"/>
                <w:szCs w:val="20"/>
                <w:color w:val="auto"/>
              </w:rPr>
            </w:pPr>
            <w:r>
              <w:rPr>
                <w:rFonts w:ascii="Arial" w:cs="Arial" w:eastAsia="Arial" w:hAnsi="Arial"/>
                <w:sz w:val="14"/>
                <w:szCs w:val="14"/>
                <w:b w:val="1"/>
                <w:bCs w:val="1"/>
                <w:color w:val="auto"/>
                <w:w w:val="94"/>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63"/>
        </w:trPr>
        <w:tc>
          <w:tcPr>
            <w:tcW w:w="3440" w:type="dxa"/>
            <w:vAlign w:val="bottom"/>
          </w:tcPr>
          <w:p>
            <w:pPr>
              <w:jc w:val="center"/>
              <w:ind w:left="958"/>
              <w:spacing w:after="0"/>
              <w:rPr>
                <w:sz w:val="20"/>
                <w:szCs w:val="20"/>
                <w:color w:val="auto"/>
              </w:rPr>
            </w:pPr>
            <w:r>
              <w:rPr>
                <w:rFonts w:ascii="Arial" w:cs="Arial" w:eastAsia="Arial" w:hAnsi="Arial"/>
                <w:sz w:val="18"/>
                <w:szCs w:val="18"/>
                <w:b w:val="1"/>
                <w:bCs w:val="1"/>
                <w:color w:val="auto"/>
                <w:w w:val="87"/>
              </w:rPr>
              <w:t>2100 Roosevelt Avenue</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vMerge w:val="restart"/>
          </w:tcPr>
          <w:p>
            <w:pPr>
              <w:jc w:val="right"/>
              <w:ind w:right="1980"/>
              <w:spacing w:after="0"/>
              <w:rPr>
                <w:sz w:val="20"/>
                <w:szCs w:val="20"/>
                <w:color w:val="auto"/>
              </w:rPr>
            </w:pPr>
            <w:r>
              <w:rPr>
                <w:rFonts w:ascii="Arial" w:cs="Arial" w:eastAsia="Arial" w:hAnsi="Arial"/>
                <w:sz w:val="18"/>
                <w:szCs w:val="18"/>
                <w:b w:val="1"/>
                <w:bCs w:val="1"/>
                <w:color w:val="auto"/>
              </w:rPr>
              <w:t>01104</w:t>
            </w:r>
          </w:p>
        </w:tc>
        <w:tc>
          <w:tcPr>
            <w:tcW w:w="0" w:type="dxa"/>
            <w:vAlign w:val="bottom"/>
          </w:tcPr>
          <w:p>
            <w:pPr>
              <w:spacing w:after="0"/>
              <w:rPr>
                <w:sz w:val="1"/>
                <w:szCs w:val="1"/>
                <w:color w:val="auto"/>
              </w:rPr>
            </w:pPr>
          </w:p>
        </w:tc>
      </w:tr>
      <w:tr>
        <w:trPr>
          <w:trHeight w:val="207"/>
        </w:trPr>
        <w:tc>
          <w:tcPr>
            <w:tcW w:w="3440" w:type="dxa"/>
            <w:vAlign w:val="bottom"/>
          </w:tcPr>
          <w:p>
            <w:pPr>
              <w:jc w:val="center"/>
              <w:ind w:left="978"/>
              <w:spacing w:after="0"/>
              <w:rPr>
                <w:sz w:val="20"/>
                <w:szCs w:val="20"/>
                <w:color w:val="auto"/>
              </w:rPr>
            </w:pPr>
            <w:r>
              <w:rPr>
                <w:rFonts w:ascii="Arial" w:cs="Arial" w:eastAsia="Arial" w:hAnsi="Arial"/>
                <w:sz w:val="18"/>
                <w:szCs w:val="18"/>
                <w:b w:val="1"/>
                <w:bCs w:val="1"/>
                <w:color w:val="auto"/>
                <w:w w:val="88"/>
              </w:rPr>
              <w:t>Springfield, Massachusetts</w:t>
            </w:r>
          </w:p>
        </w:tc>
        <w:tc>
          <w:tcPr>
            <w:tcW w:w="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40" w:type="dxa"/>
            <w:vAlign w:val="bottom"/>
          </w:tcPr>
          <w:p>
            <w:pPr>
              <w:jc w:val="center"/>
              <w:ind w:left="9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5"/>
        </w:trPr>
        <w:tc>
          <w:tcPr>
            <w:tcW w:w="3440" w:type="dxa"/>
            <w:vAlign w:val="bottom"/>
          </w:tcPr>
          <w:p>
            <w:pPr>
              <w:spacing w:after="0"/>
              <w:rPr>
                <w:sz w:val="22"/>
                <w:szCs w:val="22"/>
                <w:color w:val="auto"/>
              </w:rPr>
            </w:pPr>
          </w:p>
        </w:tc>
        <w:tc>
          <w:tcPr>
            <w:tcW w:w="2780" w:type="dxa"/>
            <w:vAlign w:val="bottom"/>
            <w:gridSpan w:val="2"/>
          </w:tcPr>
          <w:p>
            <w:pPr>
              <w:ind w:left="1080"/>
              <w:spacing w:after="0"/>
              <w:rPr>
                <w:sz w:val="20"/>
                <w:szCs w:val="20"/>
                <w:color w:val="auto"/>
              </w:rPr>
            </w:pPr>
            <w:r>
              <w:rPr>
                <w:rFonts w:ascii="Arial" w:cs="Arial" w:eastAsia="Arial" w:hAnsi="Arial"/>
                <w:sz w:val="18"/>
                <w:szCs w:val="18"/>
                <w:b w:val="1"/>
                <w:bCs w:val="1"/>
                <w:color w:val="auto"/>
              </w:rPr>
              <w:t>(800) 331-0852</w:t>
            </w:r>
          </w:p>
        </w:tc>
        <w:tc>
          <w:tcPr>
            <w:tcW w:w="8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3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80" w:type="dxa"/>
            <w:vAlign w:val="bottom"/>
            <w:gridSpan w:val="2"/>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0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40" w:type="dxa"/>
            <w:vAlign w:val="bottom"/>
          </w:tcPr>
          <w:p>
            <w:pPr>
              <w:jc w:val="center"/>
              <w:ind w:right="618"/>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4"/>
                <w:szCs w:val="24"/>
                <w:color w:val="auto"/>
              </w:rPr>
            </w:pPr>
          </w:p>
        </w:tc>
        <w:tc>
          <w:tcPr>
            <w:tcW w:w="3080" w:type="dxa"/>
            <w:vAlign w:val="bottom"/>
            <w:gridSpan w:val="2"/>
          </w:tcPr>
          <w:p>
            <w:pPr>
              <w:ind w:left="540"/>
              <w:spacing w:after="0"/>
              <w:rPr>
                <w:sz w:val="20"/>
                <w:szCs w:val="20"/>
                <w:color w:val="auto"/>
              </w:rPr>
            </w:pPr>
            <w:r>
              <w:rPr>
                <w:rFonts w:ascii="Arial" w:cs="Arial" w:eastAsia="Arial" w:hAnsi="Arial"/>
                <w:sz w:val="18"/>
                <w:szCs w:val="18"/>
                <w:color w:val="auto"/>
              </w:rPr>
              <w:t>Trading Symbol</w:t>
            </w:r>
          </w:p>
        </w:tc>
        <w:tc>
          <w:tcPr>
            <w:tcW w:w="3200" w:type="dxa"/>
            <w:vAlign w:val="bottom"/>
          </w:tcPr>
          <w:p>
            <w:pPr>
              <w:jc w:val="center"/>
              <w:ind w:left="300"/>
              <w:spacing w:after="0"/>
              <w:rPr>
                <w:sz w:val="20"/>
                <w:szCs w:val="20"/>
                <w:color w:val="auto"/>
              </w:rPr>
            </w:pPr>
            <w:r>
              <w:rPr>
                <w:rFonts w:ascii="Arial" w:cs="Arial" w:eastAsia="Arial" w:hAnsi="Arial"/>
                <w:sz w:val="18"/>
                <w:szCs w:val="18"/>
                <w:color w:val="auto"/>
                <w:w w:val="90"/>
              </w:rPr>
              <w:t>Name of exchange on which registered</w:t>
            </w:r>
          </w:p>
        </w:tc>
        <w:tc>
          <w:tcPr>
            <w:tcW w:w="0" w:type="dxa"/>
            <w:vAlign w:val="bottom"/>
          </w:tcPr>
          <w:p>
            <w:pPr>
              <w:spacing w:after="0"/>
              <w:rPr>
                <w:sz w:val="1"/>
                <w:szCs w:val="1"/>
                <w:color w:val="auto"/>
              </w:rPr>
            </w:pPr>
          </w:p>
        </w:tc>
      </w:tr>
      <w:tr>
        <w:trPr>
          <w:trHeight w:val="182"/>
        </w:trPr>
        <w:tc>
          <w:tcPr>
            <w:tcW w:w="3440" w:type="dxa"/>
            <w:vAlign w:val="bottom"/>
          </w:tcPr>
          <w:p>
            <w:pPr>
              <w:jc w:val="center"/>
              <w:ind w:right="618"/>
              <w:spacing w:after="0"/>
              <w:rPr>
                <w:sz w:val="20"/>
                <w:szCs w:val="20"/>
                <w:color w:val="auto"/>
              </w:rPr>
            </w:pPr>
            <w:r>
              <w:rPr>
                <w:rFonts w:ascii="Arial" w:cs="Arial" w:eastAsia="Arial" w:hAnsi="Arial"/>
                <w:sz w:val="14"/>
                <w:szCs w:val="14"/>
                <w:color w:val="auto"/>
                <w:w w:val="92"/>
              </w:rPr>
              <w:t>Common Stock, par value $0.001 per share</w:t>
            </w:r>
          </w:p>
        </w:tc>
        <w:tc>
          <w:tcPr>
            <w:tcW w:w="540" w:type="dxa"/>
            <w:vAlign w:val="bottom"/>
          </w:tcPr>
          <w:p>
            <w:pPr>
              <w:spacing w:after="0"/>
              <w:rPr>
                <w:sz w:val="15"/>
                <w:szCs w:val="15"/>
                <w:color w:val="auto"/>
              </w:rPr>
            </w:pPr>
          </w:p>
        </w:tc>
        <w:tc>
          <w:tcPr>
            <w:tcW w:w="3080" w:type="dxa"/>
            <w:vAlign w:val="bottom"/>
            <w:gridSpan w:val="2"/>
          </w:tcPr>
          <w:p>
            <w:pPr>
              <w:ind w:left="960"/>
              <w:spacing w:after="0"/>
              <w:rPr>
                <w:sz w:val="20"/>
                <w:szCs w:val="20"/>
                <w:color w:val="auto"/>
              </w:rPr>
            </w:pPr>
            <w:r>
              <w:rPr>
                <w:rFonts w:ascii="Arial" w:cs="Arial" w:eastAsia="Arial" w:hAnsi="Arial"/>
                <w:sz w:val="14"/>
                <w:szCs w:val="14"/>
                <w:color w:val="auto"/>
              </w:rPr>
              <w:t>SWBI</w:t>
            </w:r>
          </w:p>
        </w:tc>
        <w:tc>
          <w:tcPr>
            <w:tcW w:w="3200" w:type="dxa"/>
            <w:vAlign w:val="bottom"/>
          </w:tcPr>
          <w:p>
            <w:pPr>
              <w:jc w:val="center"/>
              <w:ind w:left="300"/>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jc w:val="both"/>
        <w:ind w:firstLine="509"/>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jc w:val="both"/>
        <w:ind w:firstLine="509"/>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jc w:val="both"/>
        <w:ind w:firstLine="509"/>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5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0" w:lineRule="exact"/>
        <w:rPr>
          <w:sz w:val="24"/>
          <w:szCs w:val="24"/>
          <w:color w:val="auto"/>
        </w:rPr>
      </w:pPr>
    </w:p>
    <w:p>
      <w:pPr>
        <w:ind w:firstLine="509"/>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120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registrant had 45,510,515 shares of common stock, par value $0.001, outstanding as of March 1, 2022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SMITH &amp; WESSON BRANDS,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jc w:val="center"/>
        <w:ind w:right="40"/>
        <w:spacing w:after="0"/>
        <w:rPr>
          <w:sz w:val="20"/>
          <w:szCs w:val="20"/>
          <w:color w:val="auto"/>
        </w:rPr>
      </w:pPr>
      <w:r>
        <w:rPr>
          <w:rFonts w:ascii="Arial" w:cs="Arial" w:eastAsia="Arial" w:hAnsi="Arial"/>
          <w:sz w:val="18"/>
          <w:szCs w:val="18"/>
          <w:b w:val="1"/>
          <w:bCs w:val="1"/>
          <w:color w:val="auto"/>
        </w:rPr>
        <w:t>For the Three and Nine Months Ended January 31, 2022 and 2021</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4"/>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180" w:type="dxa"/>
            <w:vAlign w:val="bottom"/>
            <w:gridSpan w:val="14"/>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2800" w:type="dxa"/>
            <w:vAlign w:val="bottom"/>
            <w:tcBorders>
              <w:top w:val="single" w:sz="8" w:color="0000EE"/>
              <w:bottom w:val="single" w:sz="8" w:color="0000EE"/>
            </w:tcBorders>
            <w:gridSpan w:val="8"/>
          </w:tcPr>
          <w:p>
            <w:pPr>
              <w:spacing w:after="0" w:line="169" w:lineRule="exact"/>
              <w:rPr>
                <w:rFonts w:ascii="Arial" w:cs="Arial" w:eastAsia="Arial" w:hAnsi="Arial"/>
                <w:sz w:val="18"/>
                <w:szCs w:val="18"/>
                <w:color w:val="auto"/>
                <w:w w:val="84"/>
              </w:rPr>
            </w:pPr>
            <w:hyperlink w:anchor="page4">
              <w:r>
                <w:rPr>
                  <w:rFonts w:ascii="Arial" w:cs="Arial" w:eastAsia="Arial" w:hAnsi="Arial"/>
                  <w:sz w:val="18"/>
                  <w:szCs w:val="18"/>
                  <w:color w:val="auto"/>
                  <w:w w:val="84"/>
                </w:rPr>
                <w:t>Item 1. Financial Statements (Unaudited)</w:t>
              </w:r>
            </w:hyperlink>
          </w:p>
        </w:tc>
        <w:tc>
          <w:tcPr>
            <w:tcW w:w="160" w:type="dxa"/>
            <w:vAlign w:val="bottom"/>
            <w:tcBorders>
              <w:bottom w:val="single" w:sz="8" w:color="0000EE"/>
            </w:tcBorders>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8860" w:type="dxa"/>
            <w:vAlign w:val="bottom"/>
            <w:gridSpan w:val="13"/>
          </w:tcPr>
          <w:p>
            <w:pPr>
              <w:spacing w:after="0" w:line="169" w:lineRule="exact"/>
              <w:rPr>
                <w:rFonts w:ascii="Arial" w:cs="Arial" w:eastAsia="Arial" w:hAnsi="Arial"/>
                <w:sz w:val="18"/>
                <w:szCs w:val="18"/>
                <w:color w:val="auto"/>
              </w:rPr>
            </w:pPr>
            <w:hyperlink w:anchor="page20">
              <w:r>
                <w:rPr>
                  <w:rFonts w:ascii="Arial" w:cs="Arial" w:eastAsia="Arial" w:hAnsi="Arial"/>
                  <w:sz w:val="18"/>
                  <w:szCs w:val="18"/>
                  <w:color w:val="auto"/>
                </w:rPr>
                <w:t>Item 2. Management’s Discussion and Analysis of Financial Condition and Results of Operations</w:t>
              </w:r>
            </w:hyperlink>
          </w:p>
        </w:tc>
        <w:tc>
          <w:tcPr>
            <w:tcW w:w="2020" w:type="dxa"/>
            <w:vAlign w:val="bottom"/>
          </w:tcPr>
          <w:p>
            <w:pPr>
              <w:jc w:val="right"/>
              <w:spacing w:after="0" w:line="16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7000" w:type="dxa"/>
            <w:vAlign w:val="bottom"/>
            <w:tcBorders>
              <w:top w:val="single" w:sz="8" w:color="0000EE"/>
            </w:tcBorders>
            <w:gridSpan w:val="12"/>
          </w:tcPr>
          <w:p>
            <w:pPr>
              <w:spacing w:after="0" w:line="169" w:lineRule="exact"/>
              <w:rPr>
                <w:rFonts w:ascii="Arial" w:cs="Arial" w:eastAsia="Arial" w:hAnsi="Arial"/>
                <w:sz w:val="18"/>
                <w:szCs w:val="18"/>
                <w:color w:val="auto"/>
              </w:rPr>
            </w:pPr>
            <w:hyperlink w:anchor="page28">
              <w:r>
                <w:rPr>
                  <w:rFonts w:ascii="Arial" w:cs="Arial" w:eastAsia="Arial" w:hAnsi="Arial"/>
                  <w:sz w:val="18"/>
                  <w:szCs w:val="18"/>
                  <w:color w:val="auto"/>
                </w:rPr>
                <w:t>Item 3. Quantitative and Qualitative Disclosures About Market Risk</w:t>
              </w:r>
            </w:hyperlink>
          </w:p>
        </w:tc>
        <w:tc>
          <w:tcPr>
            <w:tcW w:w="1860" w:type="dxa"/>
            <w:vAlign w:val="bottom"/>
          </w:tcPr>
          <w:p>
            <w:pPr>
              <w:spacing w:after="0"/>
              <w:rPr>
                <w:sz w:val="14"/>
                <w:szCs w:val="14"/>
                <w:color w:val="auto"/>
              </w:rPr>
            </w:pPr>
          </w:p>
        </w:tc>
        <w:tc>
          <w:tcPr>
            <w:tcW w:w="202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auto"/>
                <w:w w:val="88"/>
              </w:rPr>
            </w:pPr>
            <w:hyperlink w:anchor="page28">
              <w:r>
                <w:rPr>
                  <w:rFonts w:ascii="Arial" w:cs="Arial" w:eastAsia="Arial" w:hAnsi="Arial"/>
                  <w:sz w:val="18"/>
                  <w:szCs w:val="18"/>
                  <w:color w:val="auto"/>
                  <w:w w:val="88"/>
                </w:rPr>
                <w:t>Item 4. Controls and Procedures</w:t>
              </w:r>
            </w:hyperlink>
          </w:p>
        </w:tc>
        <w:tc>
          <w:tcPr>
            <w:tcW w:w="2600" w:type="dxa"/>
            <w:vAlign w:val="bottom"/>
            <w:tcBorders>
              <w:top w:val="single" w:sz="8" w:color="0000EE"/>
            </w:tcBorders>
            <w:gridSpan w:val="5"/>
          </w:tcPr>
          <w:p>
            <w:pPr>
              <w:spacing w:after="0"/>
              <w:rPr>
                <w:sz w:val="14"/>
                <w:szCs w:val="14"/>
                <w:color w:val="auto"/>
              </w:rPr>
            </w:pPr>
          </w:p>
        </w:tc>
        <w:tc>
          <w:tcPr>
            <w:tcW w:w="3940" w:type="dxa"/>
            <w:vAlign w:val="bottom"/>
            <w:gridSpan w:val="2"/>
          </w:tcPr>
          <w:p>
            <w:pPr>
              <w:spacing w:after="0"/>
              <w:rPr>
                <w:sz w:val="14"/>
                <w:szCs w:val="14"/>
                <w:color w:val="auto"/>
              </w:rPr>
            </w:pPr>
          </w:p>
        </w:tc>
        <w:tc>
          <w:tcPr>
            <w:tcW w:w="202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1"/>
        </w:trPr>
        <w:tc>
          <w:tcPr>
            <w:tcW w:w="9180" w:type="dxa"/>
            <w:vAlign w:val="bottom"/>
            <w:gridSpan w:val="14"/>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 - OTHER INFORMATION</w:t>
              </w:r>
            </w:hyperlink>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2500" w:type="dxa"/>
            <w:vAlign w:val="bottom"/>
            <w:tcBorders>
              <w:top w:val="single" w:sz="8" w:color="0000EE"/>
            </w:tcBorders>
            <w:gridSpan w:val="7"/>
          </w:tcPr>
          <w:p>
            <w:pPr>
              <w:spacing w:after="0" w:line="169" w:lineRule="exact"/>
              <w:rPr>
                <w:rFonts w:ascii="Arial" w:cs="Arial" w:eastAsia="Arial" w:hAnsi="Arial"/>
                <w:sz w:val="18"/>
                <w:szCs w:val="18"/>
                <w:color w:val="auto"/>
              </w:rPr>
            </w:pPr>
            <w:hyperlink w:anchor="page29">
              <w:r>
                <w:rPr>
                  <w:rFonts w:ascii="Arial" w:cs="Arial" w:eastAsia="Arial" w:hAnsi="Arial"/>
                  <w:sz w:val="18"/>
                  <w:szCs w:val="18"/>
                  <w:color w:val="auto"/>
                </w:rPr>
                <w:t>Item 1. Legal Proceedings</w:t>
              </w:r>
            </w:hyperlink>
          </w:p>
        </w:tc>
        <w:tc>
          <w:tcPr>
            <w:tcW w:w="2400" w:type="dxa"/>
            <w:vAlign w:val="bottom"/>
            <w:gridSpan w:val="3"/>
          </w:tcPr>
          <w:p>
            <w:pPr>
              <w:spacing w:after="0"/>
              <w:rPr>
                <w:sz w:val="14"/>
                <w:szCs w:val="14"/>
                <w:color w:val="auto"/>
              </w:rPr>
            </w:pPr>
          </w:p>
        </w:tc>
        <w:tc>
          <w:tcPr>
            <w:tcW w:w="3960" w:type="dxa"/>
            <w:vAlign w:val="bottom"/>
            <w:gridSpan w:val="3"/>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880" w:type="dxa"/>
            <w:vAlign w:val="bottom"/>
            <w:tcBorders>
              <w:top w:val="single" w:sz="8" w:color="0000EE"/>
            </w:tcBorders>
            <w:gridSpan w:val="5"/>
          </w:tcPr>
          <w:p>
            <w:pPr>
              <w:spacing w:after="0" w:line="169" w:lineRule="exact"/>
              <w:rPr>
                <w:rFonts w:ascii="Arial" w:cs="Arial" w:eastAsia="Arial" w:hAnsi="Arial"/>
                <w:sz w:val="18"/>
                <w:szCs w:val="18"/>
                <w:color w:val="auto"/>
              </w:rPr>
            </w:pPr>
            <w:hyperlink w:anchor="page29">
              <w:r>
                <w:rPr>
                  <w:rFonts w:ascii="Arial" w:cs="Arial" w:eastAsia="Arial" w:hAnsi="Arial"/>
                  <w:sz w:val="18"/>
                  <w:szCs w:val="18"/>
                  <w:color w:val="auto"/>
                </w:rPr>
                <w:t>Item 1.A Risk Factors</w:t>
              </w:r>
            </w:hyperlink>
          </w:p>
        </w:tc>
        <w:tc>
          <w:tcPr>
            <w:tcW w:w="3020" w:type="dxa"/>
            <w:vAlign w:val="bottom"/>
            <w:gridSpan w:val="5"/>
          </w:tcPr>
          <w:p>
            <w:pPr>
              <w:spacing w:after="0"/>
              <w:rPr>
                <w:sz w:val="14"/>
                <w:szCs w:val="14"/>
                <w:color w:val="auto"/>
              </w:rPr>
            </w:pPr>
          </w:p>
        </w:tc>
        <w:tc>
          <w:tcPr>
            <w:tcW w:w="3960" w:type="dxa"/>
            <w:vAlign w:val="bottom"/>
            <w:gridSpan w:val="3"/>
          </w:tcPr>
          <w:p>
            <w:pPr>
              <w:spacing w:after="0"/>
              <w:rPr>
                <w:sz w:val="14"/>
                <w:szCs w:val="14"/>
                <w:color w:val="auto"/>
              </w:rPr>
            </w:pPr>
          </w:p>
        </w:tc>
        <w:tc>
          <w:tcPr>
            <w:tcW w:w="202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580" w:type="dxa"/>
            <w:vAlign w:val="bottom"/>
            <w:tcBorders>
              <w:top w:val="single" w:sz="8" w:color="0000EE"/>
            </w:tcBorders>
            <w:gridSpan w:val="4"/>
          </w:tcPr>
          <w:p>
            <w:pPr>
              <w:spacing w:after="0" w:line="169" w:lineRule="exact"/>
              <w:rPr>
                <w:rFonts w:ascii="Arial" w:cs="Arial" w:eastAsia="Arial" w:hAnsi="Arial"/>
                <w:sz w:val="18"/>
                <w:szCs w:val="18"/>
                <w:color w:val="auto"/>
                <w:w w:val="95"/>
              </w:rPr>
            </w:pPr>
            <w:hyperlink w:anchor="page30">
              <w:r>
                <w:rPr>
                  <w:rFonts w:ascii="Arial" w:cs="Arial" w:eastAsia="Arial" w:hAnsi="Arial"/>
                  <w:sz w:val="18"/>
                  <w:szCs w:val="18"/>
                  <w:color w:val="auto"/>
                  <w:w w:val="95"/>
                </w:rPr>
                <w:t>Item 2. Unregistered</w:t>
              </w:r>
            </w:hyperlink>
          </w:p>
        </w:tc>
        <w:tc>
          <w:tcPr>
            <w:tcW w:w="7280" w:type="dxa"/>
            <w:vAlign w:val="bottom"/>
            <w:gridSpan w:val="9"/>
          </w:tcPr>
          <w:p>
            <w:pPr>
              <w:spacing w:after="0" w:line="169" w:lineRule="exact"/>
              <w:rPr>
                <w:rFonts w:ascii="Arial" w:cs="Arial" w:eastAsia="Arial" w:hAnsi="Arial"/>
                <w:sz w:val="18"/>
                <w:szCs w:val="18"/>
                <w:color w:val="auto"/>
              </w:rPr>
            </w:pPr>
            <w:hyperlink w:anchor="page30">
              <w:r>
                <w:rPr>
                  <w:rFonts w:ascii="Arial" w:cs="Arial" w:eastAsia="Arial" w:hAnsi="Arial"/>
                  <w:sz w:val="18"/>
                  <w:szCs w:val="18"/>
                  <w:color w:val="auto"/>
                </w:rPr>
                <w:t>Sales of Equity Securities and Use of Proceeds</w:t>
              </w:r>
            </w:hyperlink>
          </w:p>
        </w:tc>
        <w:tc>
          <w:tcPr>
            <w:tcW w:w="202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900" w:type="dxa"/>
            <w:vAlign w:val="bottom"/>
            <w:tcBorders>
              <w:top w:val="single" w:sz="8" w:color="0000EE"/>
            </w:tcBorders>
            <w:gridSpan w:val="10"/>
          </w:tcPr>
          <w:p>
            <w:pPr>
              <w:spacing w:after="0" w:line="169" w:lineRule="exact"/>
              <w:rPr>
                <w:rFonts w:ascii="Arial" w:cs="Arial" w:eastAsia="Arial" w:hAnsi="Arial"/>
                <w:sz w:val="18"/>
                <w:szCs w:val="18"/>
                <w:color w:val="auto"/>
              </w:rPr>
            </w:pPr>
            <w:hyperlink w:anchor="page30">
              <w:r>
                <w:rPr>
                  <w:rFonts w:ascii="Arial" w:cs="Arial" w:eastAsia="Arial" w:hAnsi="Arial"/>
                  <w:sz w:val="18"/>
                  <w:szCs w:val="18"/>
                  <w:color w:val="auto"/>
                </w:rPr>
                <w:t>Item 6. Exhibits</w:t>
              </w:r>
            </w:hyperlink>
          </w:p>
        </w:tc>
        <w:tc>
          <w:tcPr>
            <w:tcW w:w="3960" w:type="dxa"/>
            <w:vAlign w:val="bottom"/>
            <w:gridSpan w:val="3"/>
          </w:tcPr>
          <w:p>
            <w:pPr>
              <w:spacing w:after="0"/>
              <w:rPr>
                <w:sz w:val="14"/>
                <w:szCs w:val="14"/>
                <w:color w:val="auto"/>
              </w:rPr>
            </w:pPr>
          </w:p>
        </w:tc>
        <w:tc>
          <w:tcPr>
            <w:tcW w:w="202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20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69"/>
        </w:trPr>
        <w:tc>
          <w:tcPr>
            <w:tcW w:w="1460" w:type="dxa"/>
            <w:vAlign w:val="bottom"/>
            <w:gridSpan w:val="4"/>
          </w:tcPr>
          <w:p>
            <w:pPr>
              <w:spacing w:after="0" w:line="169" w:lineRule="exact"/>
              <w:rPr>
                <w:rFonts w:ascii="Arial" w:cs="Arial" w:eastAsia="Arial" w:hAnsi="Arial"/>
                <w:sz w:val="18"/>
                <w:szCs w:val="18"/>
                <w:color w:val="auto"/>
              </w:rPr>
            </w:pPr>
            <w:hyperlink w:anchor="page32">
              <w:r>
                <w:rPr>
                  <w:rFonts w:ascii="Arial" w:cs="Arial" w:eastAsia="Arial" w:hAnsi="Arial"/>
                  <w:sz w:val="18"/>
                  <w:szCs w:val="18"/>
                  <w:color w:val="auto"/>
                </w:rPr>
                <w:t>Signatures</w:t>
              </w:r>
            </w:hyperlink>
          </w:p>
        </w:tc>
        <w:tc>
          <w:tcPr>
            <w:tcW w:w="7720" w:type="dxa"/>
            <w:vAlign w:val="bottom"/>
            <w:gridSpan w:val="10"/>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top w:val="single" w:sz="8" w:color="0000EE"/>
            </w:tcBorders>
            <w:gridSpan w:val="3"/>
          </w:tcPr>
          <w:p>
            <w:pPr>
              <w:spacing w:after="0" w:line="169" w:lineRule="exact"/>
              <w:rPr>
                <w:rFonts w:ascii="Arial" w:cs="Arial" w:eastAsia="Arial" w:hAnsi="Arial"/>
                <w:sz w:val="18"/>
                <w:szCs w:val="18"/>
                <w:color w:val="161616"/>
              </w:rPr>
            </w:pPr>
            <w:hyperlink w:anchor="page33">
              <w:r>
                <w:rPr>
                  <w:rFonts w:ascii="Arial" w:cs="Arial" w:eastAsia="Arial" w:hAnsi="Arial"/>
                  <w:sz w:val="18"/>
                  <w:szCs w:val="18"/>
                  <w:color w:val="161616"/>
                </w:rPr>
                <w:t>EX-31.1</w:t>
              </w:r>
            </w:hyperlink>
          </w:p>
        </w:tc>
        <w:tc>
          <w:tcPr>
            <w:tcW w:w="8420" w:type="dxa"/>
            <w:vAlign w:val="bottom"/>
            <w:gridSpan w:val="11"/>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161616"/>
                <w:w w:val="92"/>
              </w:rPr>
            </w:pPr>
            <w:hyperlink w:anchor="page34">
              <w:r>
                <w:rPr>
                  <w:rFonts w:ascii="Arial" w:cs="Arial" w:eastAsia="Arial" w:hAnsi="Arial"/>
                  <w:sz w:val="18"/>
                  <w:szCs w:val="18"/>
                  <w:color w:val="161616"/>
                  <w:w w:val="92"/>
                </w:rPr>
                <w:t>EX-31.2</w:t>
              </w:r>
            </w:hyperlink>
          </w:p>
        </w:tc>
        <w:tc>
          <w:tcPr>
            <w:tcW w:w="8560" w:type="dxa"/>
            <w:vAlign w:val="bottom"/>
            <w:gridSpan w:val="12"/>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Borders>
              <w:bottom w:val="single" w:sz="8" w:color="0000EE"/>
            </w:tcBorders>
            <w:gridSpan w:val="2"/>
          </w:tcPr>
          <w:p>
            <w:pPr>
              <w:spacing w:after="0" w:line="169" w:lineRule="exact"/>
              <w:rPr>
                <w:rFonts w:ascii="Arial" w:cs="Arial" w:eastAsia="Arial" w:hAnsi="Arial"/>
                <w:sz w:val="18"/>
                <w:szCs w:val="18"/>
                <w:color w:val="161616"/>
                <w:w w:val="92"/>
              </w:rPr>
            </w:pPr>
            <w:hyperlink w:anchor="page35">
              <w:r>
                <w:rPr>
                  <w:rFonts w:ascii="Arial" w:cs="Arial" w:eastAsia="Arial" w:hAnsi="Arial"/>
                  <w:sz w:val="18"/>
                  <w:szCs w:val="18"/>
                  <w:color w:val="161616"/>
                  <w:w w:val="92"/>
                </w:rPr>
                <w:t>EX-32.1</w:t>
              </w:r>
            </w:hyperlink>
          </w:p>
        </w:tc>
        <w:tc>
          <w:tcPr>
            <w:tcW w:w="8560" w:type="dxa"/>
            <w:vAlign w:val="bottom"/>
            <w:gridSpan w:val="12"/>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Borders>
              <w:bottom w:val="single" w:sz="8" w:color="0000EE"/>
            </w:tcBorders>
            <w:gridSpan w:val="2"/>
          </w:tcPr>
          <w:p>
            <w:pPr>
              <w:spacing w:after="0" w:line="169" w:lineRule="exact"/>
              <w:rPr>
                <w:rFonts w:ascii="Arial" w:cs="Arial" w:eastAsia="Arial" w:hAnsi="Arial"/>
                <w:sz w:val="18"/>
                <w:szCs w:val="18"/>
                <w:color w:val="161616"/>
                <w:w w:val="92"/>
              </w:rPr>
            </w:pPr>
            <w:hyperlink w:anchor="page36">
              <w:r>
                <w:rPr>
                  <w:rFonts w:ascii="Arial" w:cs="Arial" w:eastAsia="Arial" w:hAnsi="Arial"/>
                  <w:sz w:val="18"/>
                  <w:szCs w:val="18"/>
                  <w:color w:val="161616"/>
                  <w:w w:val="92"/>
                </w:rPr>
                <w:t>EX-32.2</w:t>
              </w:r>
            </w:hyperlink>
          </w:p>
        </w:tc>
        <w:tc>
          <w:tcPr>
            <w:tcW w:w="8560" w:type="dxa"/>
            <w:vAlign w:val="bottom"/>
            <w:gridSpan w:val="12"/>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Smith &amp; Wesson®, S&amp;W®, M&amp;P®, M&amp;P Shield®, Performance Center®, Airlite®, Airweight®, Armornite®, Bodyguard®, Carry Comp®, Chiefs Special®, Competitor®, E-Series®, EZ®, Governor®, Lever Lock®, Magnum®, SW22 Victory®, T/C®, America’s Master Gunmaker®, Compass®, Contender®, Dimension®, Encore®, Flextech®, Mag Express®, Maxi-Hunter®, Maxima®, Number 13®, Power Rod®, QLA®, Quick Load Accurizer®, Speed Breech®, Speed Breach XT®, Swing Hammer®, T17®, T/CR22®, Triumph®, U-View®, Weather Shield®, Gemtech®, Arrow®, Aurora®, Aurora-II®, Blast Jacket®, Dagger®, G-Core®, GM®, GMT-Halo®, Halo®, Integra®, Lunar®, Mist-22®, Quickmount®, Shield®, Silencer Subsonic®, The Professional’s Choice for Decades®, Trek®, Viper®, World Class Silencers®, Smith &amp; Wesson Precision Components®, and Put A Legend On Your Line® are some of the registered U.S. trademarks of our company or one of our subsidiaries. 460XVR™, American Guardians™, C.O.R.E.™, CSX™, Empowering Americans™, GunSmarts™, M2.0™, S&amp;W500™, SD™, SDVE™, Sport™, SW1911™, The S&amp;W Bench™, Volunteer™, Thompson/Center Arms™, Cheap Shot™, Impact!™, Impact!SB™, Katahdin™, Maxi-Ball™, Natural Lube 1000 Plus™, Pro Hunter™, Pro Hunter FX™, Pro Hunter XT™, Quickshot™, Speed Shot™, Strike™, Super Glide™, Venture™, Alpine™, One™, Patrolman™, and Tracker™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0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lease payments for future periods; estimated amortization expense of intangible assets for future periods; our intent to divest our Thompson/Center Arms brand; our belief the sale of our Thompson/Center Arms brand will not have a material impact on our financial statements or results of our operations; the outcome of the lawsuits to which we are subject and their effect on us; our belief that the claims asserted by Gemini (as defined herein), the Mexican Government and plaintiffs in a putative class action in three separate actions against us have no merit and that we intend to aggressively defend these actions; our belief with respect to the various matters described in the Litigation section, that the allegations are unfounded and that any incident and any results from them or any injuries were due to negligence or misuse of the firearm by the claimant or a third party; our belief that our accruals for product liability cases and claims are a reasonable quantitative measure of the cost to us of product liability cases and claims; our belief that we have provided adequate accruals for defense costs; our intention in connection with the Project Agreement (as defined herein) to incur, or cause to be incurred, no less than $120.0 million in aggregate capital expenditures on or before December 31, 2025, create no less than 620 new jobs, and sustain an average hourly wage of at least $25.97 at the facility; our intention, as part of the Relocation (as defined herein), to vacate and sublease our Missouri distribution facility; our belief that we will not incur an impairment associated with the lease associated with our Missouri distribution facility; our intention, with respect to assets associated with our assembly operations in Massachusetts and distribution operations in Missouri, to either move those assets to Tennessee at the appropriate time or sell or sublease those assets that will not be moved; that subsequent to the Relocation, our Massachusetts facility will continue to remain an important part of our manufacturing activities with significant portions of the operations being unaffected by the Relocation; our intention, at or near the conclusion of our Connecticut building lease in May 2024, to relocate a portion of the plastic injection molding operations to Tennessee and evaluate selling the remaining molding operations utilized in our Connecticut operations to a third party; our expectation to incur capital expenditures in connection with the construction and equipping of the new facility in Maryville, Tennessee in an aggregate amount of no less than $120.0 million on or before December 31, 2025; our inventory levels, both internally and in the distribution channel, in excess of demand may negatively impact future operating results; our expectation that our inventory levels will continue to increase as we build to our more normalized stocking levels; our current expectation on spending for capital expenditures in fiscal 2022, including spending related to the Relocation; factors affecting our future capital requirements; availability of equity or debt financing on acceptable terms, if at all; the record date and payment date for our dividend; and our belief that our existing capital resources and credit facilities will be adequate to fund our operations, including our finance leases and other commitments, for the next 12 months.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effectively manage and execute the Relocation;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our ability to integrate acquired businesses in a successful manner; the potential for cancellation of orders from our backlog; and other factors detailed from time to time in our reports filed with the Securities and Exchange Commission, or the SEC, including our Annual Report on Form 10-K for the fiscal year ended April 30, 2021, or the Fiscal 2021 Form 10-K, and our Quarterly Report on Form 10-Q for the fiscal quarter ended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ind w:left="1340"/>
              <w:spacing w:after="0"/>
              <w:rPr>
                <w:sz w:val="20"/>
                <w:szCs w:val="20"/>
                <w:color w:val="auto"/>
              </w:rPr>
            </w:pPr>
            <w:r>
              <w:rPr>
                <w:rFonts w:ascii="Arial" w:cs="Arial" w:eastAsia="Arial" w:hAnsi="Arial"/>
                <w:sz w:val="13"/>
                <w:szCs w:val="13"/>
                <w:b w:val="1"/>
                <w:bCs w:val="1"/>
                <w:color w:val="auto"/>
                <w:w w:val="92"/>
              </w:rPr>
              <w:t>As of:</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January 31, 2022</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April 30,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vMerge w:val="restart"/>
          </w:tcPr>
          <w:p>
            <w:pPr>
              <w:ind w:left="526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4"/>
                <w:szCs w:val="14"/>
                <w:color w:val="auto"/>
              </w:rPr>
            </w:pPr>
          </w:p>
        </w:tc>
        <w:tc>
          <w:tcPr>
            <w:tcW w:w="3340" w:type="dxa"/>
            <w:vAlign w:val="bottom"/>
            <w:gridSpan w:val="6"/>
          </w:tcPr>
          <w:p>
            <w:pPr>
              <w:jc w:val="right"/>
              <w:ind w:right="560"/>
              <w:spacing w:after="0"/>
              <w:rPr>
                <w:sz w:val="20"/>
                <w:szCs w:val="20"/>
                <w:color w:val="auto"/>
              </w:rPr>
            </w:pPr>
            <w:r>
              <w:rPr>
                <w:rFonts w:ascii="Arial" w:cs="Arial" w:eastAsia="Arial" w:hAnsi="Arial"/>
                <w:sz w:val="13"/>
                <w:szCs w:val="13"/>
                <w:color w:val="auto"/>
                <w:w w:val="99"/>
              </w:rPr>
              <w:t>(In thousands, except par value and share data)</w:t>
            </w:r>
          </w:p>
        </w:tc>
        <w:tc>
          <w:tcPr>
            <w:tcW w:w="0" w:type="dxa"/>
            <w:vAlign w:val="bottom"/>
          </w:tcPr>
          <w:p>
            <w:pPr>
              <w:spacing w:after="0"/>
              <w:rPr>
                <w:sz w:val="1"/>
                <w:szCs w:val="1"/>
                <w:color w:val="auto"/>
              </w:rPr>
            </w:pPr>
          </w:p>
        </w:tc>
      </w:tr>
      <w:tr>
        <w:trPr>
          <w:trHeight w:val="201"/>
        </w:trPr>
        <w:tc>
          <w:tcPr>
            <w:tcW w:w="7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107,268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113,017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Accounts receivable, net of allowances for credit losses of $25 on</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7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January 31, 2022 and $107 on April 30, 2021</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134,268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7,521</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7"/>
                <w:szCs w:val="17"/>
                <w:color w:val="auto"/>
              </w:rPr>
              <w:t>Income tax receivable</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2,233</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300,676</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268,253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134,540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141,612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Intangibles, net</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4,257</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19,024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10,808</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469,305</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3720"/>
              <w:spacing w:after="0" w:line="183"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36,060</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7"/>
                <w:szCs w:val="17"/>
                <w:color w:val="auto"/>
              </w:rPr>
              <w:t>Accrued expenses and deferred revenue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26,857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Accrued payroll and incentives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16,223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7"/>
                <w:szCs w:val="17"/>
                <w:color w:val="auto"/>
              </w:rPr>
              <w:t>Accrued income taxes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362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Accrued profit sharing</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11,502</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7"/>
                <w:szCs w:val="17"/>
                <w:color w:val="auto"/>
              </w:rPr>
              <w:t>Accrued warranty</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93,044</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125,655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904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Finance lease payable, net of current portion</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37,930</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11,118</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142,996</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180,004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7"/>
                <w:szCs w:val="17"/>
                <w:color w:val="auto"/>
              </w:rPr>
              <w:t>Commitments and contingencies (Note 10)</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700" w:type="dxa"/>
            <w:vAlign w:val="bottom"/>
          </w:tcPr>
          <w:p>
            <w:pPr>
              <w:ind w:left="200"/>
              <w:spacing w:after="0" w:line="158" w:lineRule="exact"/>
              <w:rPr>
                <w:sz w:val="20"/>
                <w:szCs w:val="20"/>
                <w:color w:val="auto"/>
              </w:rPr>
            </w:pPr>
            <w:r>
              <w:rPr>
                <w:rFonts w:ascii="Arial" w:cs="Arial" w:eastAsia="Arial" w:hAnsi="Arial"/>
                <w:sz w:val="17"/>
                <w:szCs w:val="17"/>
                <w:color w:val="auto"/>
              </w:rPr>
              <w:t>Preferred stock, $0.001 par value, 20,000,000 shares authorized, no shares</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issued or outstanding</w:t>
            </w:r>
          </w:p>
        </w:tc>
        <w:tc>
          <w:tcPr>
            <w:tcW w:w="200" w:type="dxa"/>
            <w:vAlign w:val="bottom"/>
          </w:tcPr>
          <w:p>
            <w:pPr>
              <w:spacing w:after="0"/>
              <w:rPr>
                <w:sz w:val="18"/>
                <w:szCs w:val="18"/>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7700" w:type="dxa"/>
            <w:vAlign w:val="bottom"/>
            <w:shd w:val="clear" w:color="auto" w:fill="CFF0FC"/>
          </w:tcPr>
          <w:p>
            <w:pPr>
              <w:ind w:left="200"/>
              <w:spacing w:after="0" w:line="160" w:lineRule="exact"/>
              <w:rPr>
                <w:sz w:val="20"/>
                <w:szCs w:val="20"/>
                <w:color w:val="auto"/>
              </w:rPr>
            </w:pPr>
            <w:r>
              <w:rPr>
                <w:rFonts w:ascii="Arial" w:cs="Arial" w:eastAsia="Arial" w:hAnsi="Arial"/>
                <w:sz w:val="17"/>
                <w:szCs w:val="17"/>
                <w:color w:val="auto"/>
              </w:rPr>
              <w:t>Common stock, $0.001 par value, 100,000,000 shares authorized, 74,550,885 issued</w:t>
            </w: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320"/>
              <w:spacing w:after="0" w:line="176" w:lineRule="exact"/>
              <w:rPr>
                <w:sz w:val="20"/>
                <w:szCs w:val="20"/>
                <w:color w:val="auto"/>
              </w:rPr>
            </w:pPr>
            <w:r>
              <w:rPr>
                <w:rFonts w:ascii="Arial" w:cs="Arial" w:eastAsia="Arial" w:hAnsi="Arial"/>
                <w:sz w:val="17"/>
                <w:szCs w:val="17"/>
                <w:color w:val="auto"/>
              </w:rPr>
              <w:t>and 45,510,515 shares outstanding on January 31, 2022 and 74,222,127 shares</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7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issued and 49,937,329 shares outstanding on April 30, 2021</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276,389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273,431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Retained earnings</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472,147</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325,181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Treasury stock, at cost (29,040,370 shares on January 31, 2022 and 24,284,798 on</w:t>
            </w:r>
          </w:p>
        </w:tc>
        <w:tc>
          <w:tcPr>
            <w:tcW w:w="200" w:type="dxa"/>
            <w:vAlign w:val="bottom"/>
            <w:shd w:val="clear" w:color="auto" w:fill="CFF0FC"/>
          </w:tcPr>
          <w:p>
            <w:pPr>
              <w:spacing w:after="0"/>
              <w:rPr>
                <w:sz w:val="13"/>
                <w:szCs w:val="13"/>
                <w:color w:val="auto"/>
              </w:rPr>
            </w:pPr>
          </w:p>
        </w:tc>
        <w:tc>
          <w:tcPr>
            <w:tcW w:w="16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7"/>
                <w:szCs w:val="17"/>
                <w:color w:val="auto"/>
              </w:rPr>
              <w:t>(422,375 )</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(332,375 )</w:t>
            </w:r>
          </w:p>
        </w:tc>
        <w:tc>
          <w:tcPr>
            <w:tcW w:w="0" w:type="dxa"/>
            <w:vAlign w:val="bottom"/>
          </w:tcPr>
          <w:p>
            <w:pPr>
              <w:spacing w:after="0"/>
              <w:rPr>
                <w:sz w:val="1"/>
                <w:szCs w:val="1"/>
                <w:color w:val="auto"/>
              </w:rPr>
            </w:pPr>
          </w:p>
        </w:tc>
      </w:tr>
      <w:tr>
        <w:trPr>
          <w:trHeight w:val="207"/>
        </w:trPr>
        <w:tc>
          <w:tcPr>
            <w:tcW w:w="77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April 30, 2021)</w:t>
            </w:r>
          </w:p>
        </w:tc>
        <w:tc>
          <w:tcPr>
            <w:tcW w:w="200" w:type="dxa"/>
            <w:vAlign w:val="bottom"/>
            <w:shd w:val="clear" w:color="auto" w:fill="CFF0FC"/>
          </w:tcPr>
          <w:p>
            <w:pPr>
              <w:spacing w:after="0"/>
              <w:rPr>
                <w:sz w:val="17"/>
                <w:szCs w:val="17"/>
                <w:color w:val="auto"/>
              </w:rPr>
            </w:pPr>
          </w:p>
        </w:tc>
        <w:tc>
          <w:tcPr>
            <w:tcW w:w="1680" w:type="dxa"/>
            <w:vAlign w:val="bottom"/>
            <w:gridSpan w:val="2"/>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ind w:left="38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326,309</w:t>
            </w:r>
          </w:p>
        </w:tc>
        <w:tc>
          <w:tcPr>
            <w:tcW w:w="300" w:type="dxa"/>
            <w:vAlign w:val="bottom"/>
            <w:tcBorders>
              <w:top w:val="single" w:sz="8" w:color="CFF0FC"/>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266,384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469,305</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446,388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-4145280</wp:posOffset>
            </wp:positionV>
            <wp:extent cx="7747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-4145280</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-3622675</wp:posOffset>
            </wp:positionV>
            <wp:extent cx="77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-3622675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-2433955</wp:posOffset>
            </wp:positionV>
            <wp:extent cx="774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-1771015</wp:posOffset>
            </wp:positionV>
            <wp:extent cx="7747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-1771015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-296545</wp:posOffset>
            </wp:positionV>
            <wp:extent cx="7747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For the Three Months Ended January 31,</w:t>
            </w:r>
          </w:p>
        </w:tc>
        <w:tc>
          <w:tcPr>
            <w:tcW w:w="160" w:type="dxa"/>
            <w:vAlign w:val="bottom"/>
          </w:tcPr>
          <w:p>
            <w:pPr>
              <w:spacing w:after="0"/>
              <w:rPr>
                <w:sz w:val="16"/>
                <w:szCs w:val="16"/>
                <w:color w:val="auto"/>
              </w:rPr>
            </w:pPr>
          </w:p>
        </w:tc>
        <w:tc>
          <w:tcPr>
            <w:tcW w:w="284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5"/>
              </w:rPr>
              <w:t>For the Nine Months Ended January 31,</w:t>
            </w:r>
          </w:p>
        </w:tc>
      </w:tr>
      <w:tr>
        <w:trPr>
          <w:trHeight w:val="183"/>
        </w:trPr>
        <w:tc>
          <w:tcPr>
            <w:tcW w:w="49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6"/>
          </w:tcPr>
          <w:p>
            <w:pPr>
              <w:ind w:left="180"/>
              <w:spacing w:after="0"/>
              <w:rPr>
                <w:sz w:val="20"/>
                <w:szCs w:val="20"/>
                <w:color w:val="auto"/>
              </w:rPr>
            </w:pPr>
            <w:r>
              <w:rPr>
                <w:rFonts w:ascii="Arial" w:cs="Arial" w:eastAsia="Arial" w:hAnsi="Arial"/>
                <w:sz w:val="14"/>
                <w:szCs w:val="14"/>
                <w:color w:val="auto"/>
              </w:rPr>
              <w:t>(In thousands, except per share data)</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9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177,738</w:t>
            </w: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257,634</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682,826</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320" w:type="dxa"/>
            <w:vAlign w:val="bottom"/>
            <w:shd w:val="clear" w:color="auto" w:fill="CCEC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736,247</w:t>
            </w:r>
          </w:p>
        </w:tc>
        <w:tc>
          <w:tcPr>
            <w:tcW w:w="80" w:type="dxa"/>
            <w:vAlign w:val="bottom"/>
            <w:shd w:val="clear" w:color="auto" w:fill="CCECFF"/>
          </w:tcPr>
          <w:p>
            <w:pPr>
              <w:spacing w:after="0"/>
              <w:rPr>
                <w:sz w:val="17"/>
                <w:szCs w:val="17"/>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107,339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147,955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380,490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433,073</w:t>
            </w:r>
          </w:p>
        </w:tc>
        <w:tc>
          <w:tcPr>
            <w:tcW w:w="80" w:type="dxa"/>
            <w:vAlign w:val="bottom"/>
          </w:tcPr>
          <w:p>
            <w:pPr>
              <w:spacing w:after="0"/>
              <w:rPr>
                <w:sz w:val="17"/>
                <w:szCs w:val="17"/>
                <w:color w:val="auto"/>
              </w:rPr>
            </w:pPr>
          </w:p>
        </w:tc>
      </w:tr>
      <w:tr>
        <w:trPr>
          <w:trHeight w:val="196"/>
        </w:trPr>
        <w:tc>
          <w:tcPr>
            <w:tcW w:w="490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CFF"/>
          </w:tcPr>
          <w:p>
            <w:pPr>
              <w:spacing w:after="0"/>
              <w:rPr>
                <w:sz w:val="17"/>
                <w:szCs w:val="17"/>
                <w:color w:val="auto"/>
              </w:rPr>
            </w:pPr>
          </w:p>
        </w:tc>
        <w:tc>
          <w:tcPr>
            <w:tcW w:w="118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70,399</w:t>
            </w: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109,679</w:t>
            </w:r>
          </w:p>
        </w:tc>
        <w:tc>
          <w:tcPr>
            <w:tcW w:w="2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20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302,336</w:t>
            </w:r>
          </w:p>
        </w:tc>
        <w:tc>
          <w:tcPr>
            <w:tcW w:w="10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303,174</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96"/>
        </w:trPr>
        <w:tc>
          <w:tcPr>
            <w:tcW w:w="49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9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CFF"/>
          </w:tcPr>
          <w:p>
            <w:pPr>
              <w:spacing w:after="0"/>
              <w:rPr>
                <w:sz w:val="17"/>
                <w:szCs w:val="17"/>
                <w:color w:val="auto"/>
              </w:rPr>
            </w:pPr>
          </w:p>
        </w:tc>
        <w:tc>
          <w:tcPr>
            <w:tcW w:w="11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1,716</w:t>
            </w: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1,757</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5,269</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5,518</w:t>
            </w:r>
          </w:p>
        </w:tc>
        <w:tc>
          <w:tcPr>
            <w:tcW w:w="80" w:type="dxa"/>
            <w:vAlign w:val="bottom"/>
            <w:shd w:val="clear" w:color="auto" w:fill="CCECFF"/>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Selling, marketing, and distribution</w:t>
            </w: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10,487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32,095</w:t>
            </w:r>
          </w:p>
        </w:tc>
        <w:tc>
          <w:tcPr>
            <w:tcW w:w="80" w:type="dxa"/>
            <w:vAlign w:val="bottom"/>
          </w:tcPr>
          <w:p>
            <w:pPr>
              <w:spacing w:after="0"/>
              <w:rPr>
                <w:sz w:val="17"/>
                <w:szCs w:val="17"/>
                <w:color w:val="auto"/>
              </w:rPr>
            </w:pPr>
          </w:p>
        </w:tc>
      </w:tr>
      <w:tr>
        <w:trPr>
          <w:trHeight w:val="203"/>
        </w:trPr>
        <w:tc>
          <w:tcPr>
            <w:tcW w:w="4900" w:type="dxa"/>
            <w:vAlign w:val="bottom"/>
            <w:tcBorders>
              <w:bottom w:val="single" w:sz="8" w:color="CCECFF"/>
            </w:tcBorders>
            <w:shd w:val="clear" w:color="auto" w:fill="CCEC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CFF"/>
          </w:tcPr>
          <w:p>
            <w:pPr>
              <w:spacing w:after="0"/>
              <w:rPr>
                <w:sz w:val="17"/>
                <w:szCs w:val="17"/>
                <w:color w:val="auto"/>
              </w:rPr>
            </w:pPr>
          </w:p>
        </w:tc>
        <w:tc>
          <w:tcPr>
            <w:tcW w:w="11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17,443</w:t>
            </w: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17,054</w:t>
            </w:r>
          </w:p>
        </w:tc>
        <w:tc>
          <w:tcPr>
            <w:tcW w:w="2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2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58,491</w:t>
            </w:r>
          </w:p>
        </w:tc>
        <w:tc>
          <w:tcPr>
            <w:tcW w:w="10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62,061</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96"/>
        </w:trPr>
        <w:tc>
          <w:tcPr>
            <w:tcW w:w="490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29,298</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97,335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99,674</w:t>
            </w:r>
          </w:p>
        </w:tc>
        <w:tc>
          <w:tcPr>
            <w:tcW w:w="80" w:type="dxa"/>
            <w:vAlign w:val="bottom"/>
          </w:tcPr>
          <w:p>
            <w:pPr>
              <w:spacing w:after="0"/>
              <w:rPr>
                <w:sz w:val="17"/>
                <w:szCs w:val="17"/>
                <w:color w:val="auto"/>
              </w:rPr>
            </w:pPr>
          </w:p>
        </w:tc>
      </w:tr>
      <w:tr>
        <w:trPr>
          <w:trHeight w:val="196"/>
        </w:trPr>
        <w:tc>
          <w:tcPr>
            <w:tcW w:w="490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Operating income from continuing operations</w:t>
            </w:r>
          </w:p>
        </w:tc>
        <w:tc>
          <w:tcPr>
            <w:tcW w:w="180" w:type="dxa"/>
            <w:vAlign w:val="bottom"/>
            <w:tcBorders>
              <w:bottom w:val="single" w:sz="8" w:color="auto"/>
            </w:tcBorders>
            <w:shd w:val="clear" w:color="auto" w:fill="CCECFF"/>
          </w:tcPr>
          <w:p>
            <w:pPr>
              <w:spacing w:after="0"/>
              <w:rPr>
                <w:sz w:val="17"/>
                <w:szCs w:val="17"/>
                <w:color w:val="auto"/>
              </w:rPr>
            </w:pPr>
          </w:p>
        </w:tc>
        <w:tc>
          <w:tcPr>
            <w:tcW w:w="118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39,722</w:t>
            </w: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80,381</w:t>
            </w:r>
          </w:p>
        </w:tc>
        <w:tc>
          <w:tcPr>
            <w:tcW w:w="2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20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205,001</w:t>
            </w:r>
          </w:p>
        </w:tc>
        <w:tc>
          <w:tcPr>
            <w:tcW w:w="10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203,500</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96"/>
        </w:trPr>
        <w:tc>
          <w:tcPr>
            <w:tcW w:w="4900" w:type="dxa"/>
            <w:vAlign w:val="bottom"/>
          </w:tcPr>
          <w:p>
            <w:pPr>
              <w:ind w:left="20"/>
              <w:spacing w:after="0" w:line="196" w:lineRule="exact"/>
              <w:rPr>
                <w:sz w:val="20"/>
                <w:szCs w:val="20"/>
                <w:color w:val="auto"/>
              </w:rPr>
            </w:pPr>
            <w:r>
              <w:rPr>
                <w:rFonts w:ascii="Arial" w:cs="Arial" w:eastAsia="Arial" w:hAnsi="Arial"/>
                <w:sz w:val="18"/>
                <w:szCs w:val="18"/>
                <w:color w:val="auto"/>
              </w:rPr>
              <w:t>Other income/(expense), net:</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9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751</w:t>
            </w:r>
          </w:p>
        </w:tc>
        <w:tc>
          <w:tcPr>
            <w:tcW w:w="100" w:type="dxa"/>
            <w:vAlign w:val="bottom"/>
            <w:shd w:val="clear" w:color="auto" w:fill="CFF0FC"/>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952</w:t>
            </w:r>
          </w:p>
        </w:tc>
        <w:tc>
          <w:tcPr>
            <w:tcW w:w="220" w:type="dxa"/>
            <w:vAlign w:val="bottom"/>
            <w:shd w:val="clear" w:color="auto" w:fill="CCECFF"/>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2,244</w:t>
            </w:r>
          </w:p>
        </w:tc>
        <w:tc>
          <w:tcPr>
            <w:tcW w:w="100" w:type="dxa"/>
            <w:vAlign w:val="bottom"/>
            <w:shd w:val="clear" w:color="auto" w:fill="CFF0FC"/>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1,711</w:t>
            </w:r>
          </w:p>
        </w:tc>
        <w:tc>
          <w:tcPr>
            <w:tcW w:w="80" w:type="dxa"/>
            <w:vAlign w:val="bottom"/>
            <w:shd w:val="clear" w:color="auto" w:fill="CCECFF"/>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(594 )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(550 )</w:t>
            </w:r>
          </w:p>
        </w:tc>
        <w:tc>
          <w:tcPr>
            <w:tcW w:w="16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(3,356 )</w:t>
            </w:r>
          </w:p>
        </w:tc>
      </w:tr>
      <w:tr>
        <w:trPr>
          <w:trHeight w:val="196"/>
        </w:trPr>
        <w:tc>
          <w:tcPr>
            <w:tcW w:w="4900" w:type="dxa"/>
            <w:vAlign w:val="bottom"/>
            <w:tcBorders>
              <w:bottom w:val="single" w:sz="8" w:color="CCECFF"/>
            </w:tcBorders>
            <w:shd w:val="clear" w:color="auto" w:fill="CCECFF"/>
          </w:tcPr>
          <w:p>
            <w:pPr>
              <w:ind w:left="380"/>
              <w:spacing w:after="0" w:line="196" w:lineRule="exact"/>
              <w:rPr>
                <w:sz w:val="20"/>
                <w:szCs w:val="20"/>
                <w:color w:val="auto"/>
              </w:rPr>
            </w:pPr>
            <w:r>
              <w:rPr>
                <w:rFonts w:ascii="Arial" w:cs="Arial" w:eastAsia="Arial" w:hAnsi="Arial"/>
                <w:sz w:val="18"/>
                <w:szCs w:val="18"/>
                <w:color w:val="auto"/>
              </w:rPr>
              <w:t>Total other income/(expense), net</w:t>
            </w:r>
          </w:p>
        </w:tc>
        <w:tc>
          <w:tcPr>
            <w:tcW w:w="180" w:type="dxa"/>
            <w:vAlign w:val="bottom"/>
            <w:tcBorders>
              <w:top w:val="single" w:sz="8" w:color="auto"/>
              <w:bottom w:val="single" w:sz="8" w:color="auto"/>
            </w:tcBorders>
            <w:shd w:val="clear" w:color="auto" w:fill="CCECFF"/>
          </w:tcPr>
          <w:p>
            <w:pPr>
              <w:spacing w:after="0"/>
              <w:rPr>
                <w:sz w:val="17"/>
                <w:szCs w:val="17"/>
                <w:color w:val="auto"/>
              </w:rPr>
            </w:pPr>
          </w:p>
        </w:tc>
        <w:tc>
          <w:tcPr>
            <w:tcW w:w="11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157</w:t>
            </w: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top w:val="single" w:sz="8" w:color="auto"/>
              <w:bottom w:val="single" w:sz="8" w:color="auto"/>
            </w:tcBorders>
            <w:shd w:val="clear" w:color="auto" w:fill="CCECFF"/>
          </w:tcPr>
          <w:p>
            <w:pPr>
              <w:spacing w:after="0"/>
              <w:rPr>
                <w:sz w:val="17"/>
                <w:szCs w:val="17"/>
                <w:color w:val="auto"/>
              </w:rPr>
            </w:pPr>
          </w:p>
        </w:tc>
        <w:tc>
          <w:tcPr>
            <w:tcW w:w="12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402</w:t>
            </w:r>
          </w:p>
        </w:tc>
        <w:tc>
          <w:tcPr>
            <w:tcW w:w="2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top w:val="single" w:sz="8" w:color="auto"/>
              <w:bottom w:val="single" w:sz="8" w:color="auto"/>
            </w:tcBorders>
            <w:shd w:val="clear" w:color="auto" w:fill="CCECFF"/>
          </w:tcPr>
          <w:p>
            <w:pPr>
              <w:spacing w:after="0"/>
              <w:rPr>
                <w:sz w:val="17"/>
                <w:szCs w:val="17"/>
                <w:color w:val="auto"/>
              </w:rPr>
            </w:pPr>
          </w:p>
        </w:tc>
        <w:tc>
          <w:tcPr>
            <w:tcW w:w="12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639</w:t>
            </w:r>
          </w:p>
        </w:tc>
        <w:tc>
          <w:tcPr>
            <w:tcW w:w="10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top w:val="single" w:sz="8" w:color="auto"/>
              <w:bottom w:val="single" w:sz="8" w:color="auto"/>
            </w:tcBorders>
            <w:shd w:val="clear" w:color="auto" w:fill="CCECFF"/>
          </w:tcPr>
          <w:p>
            <w:pPr>
              <w:spacing w:after="0"/>
              <w:rPr>
                <w:sz w:val="17"/>
                <w:szCs w:val="17"/>
                <w:color w:val="auto"/>
              </w:rPr>
            </w:pPr>
          </w:p>
        </w:tc>
        <w:tc>
          <w:tcPr>
            <w:tcW w:w="10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(1,645</w:t>
            </w:r>
          </w:p>
        </w:tc>
        <w:tc>
          <w:tcPr>
            <w:tcW w:w="80" w:type="dxa"/>
            <w:vAlign w:val="bottom"/>
            <w:tcBorders>
              <w:bottom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900" w:type="dxa"/>
            <w:vAlign w:val="bottom"/>
          </w:tcPr>
          <w:p>
            <w:pPr>
              <w:ind w:left="2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39,879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80,783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205,640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201,855</w:t>
            </w:r>
          </w:p>
        </w:tc>
        <w:tc>
          <w:tcPr>
            <w:tcW w:w="80" w:type="dxa"/>
            <w:vAlign w:val="bottom"/>
          </w:tcPr>
          <w:p>
            <w:pPr>
              <w:spacing w:after="0"/>
              <w:rPr>
                <w:sz w:val="17"/>
                <w:szCs w:val="17"/>
                <w:color w:val="auto"/>
              </w:rPr>
            </w:pPr>
          </w:p>
        </w:tc>
      </w:tr>
      <w:tr>
        <w:trPr>
          <w:trHeight w:val="203"/>
        </w:trPr>
        <w:tc>
          <w:tcPr>
            <w:tcW w:w="4900" w:type="dxa"/>
            <w:vAlign w:val="bottom"/>
            <w:tcBorders>
              <w:bottom w:val="single" w:sz="8" w:color="CCECFF"/>
            </w:tcBorders>
            <w:shd w:val="clear" w:color="auto" w:fill="CCEC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CFF"/>
          </w:tcPr>
          <w:p>
            <w:pPr>
              <w:spacing w:after="0"/>
              <w:rPr>
                <w:sz w:val="17"/>
                <w:szCs w:val="17"/>
                <w:color w:val="auto"/>
              </w:rPr>
            </w:pPr>
          </w:p>
        </w:tc>
        <w:tc>
          <w:tcPr>
            <w:tcW w:w="11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9,337</w:t>
            </w: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18,520</w:t>
            </w:r>
          </w:p>
        </w:tc>
        <w:tc>
          <w:tcPr>
            <w:tcW w:w="2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2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47,281</w:t>
            </w:r>
          </w:p>
        </w:tc>
        <w:tc>
          <w:tcPr>
            <w:tcW w:w="10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47,176</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96"/>
        </w:trPr>
        <w:tc>
          <w:tcPr>
            <w:tcW w:w="4900" w:type="dxa"/>
            <w:vAlign w:val="bottom"/>
          </w:tcPr>
          <w:p>
            <w:pPr>
              <w:ind w:left="200"/>
              <w:spacing w:after="0" w:line="196" w:lineRule="exact"/>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62,263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158,359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154,679</w:t>
            </w:r>
          </w:p>
        </w:tc>
        <w:tc>
          <w:tcPr>
            <w:tcW w:w="80" w:type="dxa"/>
            <w:vAlign w:val="bottom"/>
          </w:tcPr>
          <w:p>
            <w:pPr>
              <w:spacing w:after="0"/>
              <w:rPr>
                <w:sz w:val="17"/>
                <w:szCs w:val="17"/>
                <w:color w:val="auto"/>
              </w:rPr>
            </w:pPr>
          </w:p>
        </w:tc>
      </w:tr>
      <w:tr>
        <w:trPr>
          <w:trHeight w:val="196"/>
        </w:trPr>
        <w:tc>
          <w:tcPr>
            <w:tcW w:w="49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17"/>
                <w:szCs w:val="17"/>
                <w:color w:val="auto"/>
              </w:rPr>
            </w:pPr>
          </w:p>
        </w:tc>
        <w:tc>
          <w:tcPr>
            <w:tcW w:w="14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8,334</w:t>
            </w:r>
          </w:p>
        </w:tc>
        <w:tc>
          <w:tcPr>
            <w:tcW w:w="80" w:type="dxa"/>
            <w:vAlign w:val="bottom"/>
          </w:tcPr>
          <w:p>
            <w:pPr>
              <w:spacing w:after="0"/>
              <w:rPr>
                <w:sz w:val="17"/>
                <w:szCs w:val="17"/>
                <w:color w:val="auto"/>
              </w:rPr>
            </w:pPr>
          </w:p>
        </w:tc>
      </w:tr>
      <w:tr>
        <w:trPr>
          <w:trHeight w:val="236"/>
        </w:trPr>
        <w:tc>
          <w:tcPr>
            <w:tcW w:w="490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CFF"/>
          </w:tcPr>
          <w:p>
            <w:pPr>
              <w:spacing w:after="0"/>
              <w:rPr>
                <w:sz w:val="20"/>
                <w:szCs w:val="20"/>
                <w:color w:val="auto"/>
              </w:rPr>
            </w:pPr>
          </w:p>
        </w:tc>
        <w:tc>
          <w:tcPr>
            <w:tcW w:w="11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30,542</w:t>
            </w:r>
          </w:p>
        </w:tc>
        <w:tc>
          <w:tcPr>
            <w:tcW w:w="1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top w:val="single" w:sz="8" w:color="auto"/>
              <w:bottom w:val="single" w:sz="8" w:color="auto"/>
            </w:tcBorders>
            <w:shd w:val="clear" w:color="auto" w:fill="CCECFF"/>
          </w:tcPr>
          <w:p>
            <w:pPr>
              <w:spacing w:after="0"/>
              <w:rPr>
                <w:sz w:val="20"/>
                <w:szCs w:val="20"/>
                <w:color w:val="auto"/>
              </w:rPr>
            </w:pPr>
          </w:p>
        </w:tc>
        <w:tc>
          <w:tcPr>
            <w:tcW w:w="12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62,390</w:t>
            </w:r>
          </w:p>
        </w:tc>
        <w:tc>
          <w:tcPr>
            <w:tcW w:w="2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top w:val="single" w:sz="8" w:color="auto"/>
              <w:bottom w:val="single" w:sz="8" w:color="auto"/>
            </w:tcBorders>
            <w:shd w:val="clear" w:color="auto" w:fill="CCECFF"/>
          </w:tcPr>
          <w:p>
            <w:pPr>
              <w:spacing w:after="0"/>
              <w:rPr>
                <w:sz w:val="20"/>
                <w:szCs w:val="20"/>
                <w:color w:val="auto"/>
              </w:rPr>
            </w:pPr>
          </w:p>
        </w:tc>
        <w:tc>
          <w:tcPr>
            <w:tcW w:w="12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158,359</w:t>
            </w:r>
          </w:p>
        </w:tc>
        <w:tc>
          <w:tcPr>
            <w:tcW w:w="1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top w:val="single" w:sz="8" w:color="auto"/>
              <w:bottom w:val="single" w:sz="8" w:color="auto"/>
            </w:tcBorders>
            <w:shd w:val="clear" w:color="auto" w:fill="CCECFF"/>
          </w:tcPr>
          <w:p>
            <w:pPr>
              <w:spacing w:after="0"/>
              <w:rPr>
                <w:sz w:val="20"/>
                <w:szCs w:val="20"/>
                <w:color w:val="auto"/>
              </w:rPr>
            </w:pPr>
          </w:p>
        </w:tc>
        <w:tc>
          <w:tcPr>
            <w:tcW w:w="10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163,013</w:t>
            </w:r>
          </w:p>
        </w:tc>
        <w:tc>
          <w:tcPr>
            <w:tcW w:w="80" w:type="dxa"/>
            <w:vAlign w:val="bottom"/>
            <w:tcBorders>
              <w:bottom w:val="single" w:sz="8" w:color="CCECFF"/>
            </w:tcBorders>
            <w:shd w:val="clear" w:color="auto" w:fill="CCECFF"/>
          </w:tcPr>
          <w:p>
            <w:pPr>
              <w:spacing w:after="0"/>
              <w:rPr>
                <w:sz w:val="20"/>
                <w:szCs w:val="20"/>
                <w:color w:val="auto"/>
              </w:rPr>
            </w:pPr>
          </w:p>
        </w:tc>
      </w:tr>
      <w:tr>
        <w:trPr>
          <w:trHeight w:val="183"/>
        </w:trPr>
        <w:tc>
          <w:tcPr>
            <w:tcW w:w="4900" w:type="dxa"/>
            <w:vAlign w:val="bottom"/>
          </w:tcPr>
          <w:p>
            <w:pPr>
              <w:ind w:left="20"/>
              <w:spacing w:after="0" w:line="183" w:lineRule="exact"/>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900" w:type="dxa"/>
            <w:vAlign w:val="bottom"/>
            <w:tcBorders>
              <w:bottom w:val="single" w:sz="8" w:color="CCECFF"/>
            </w:tcBorders>
            <w:shd w:val="clear" w:color="auto" w:fill="CCECFF"/>
          </w:tcPr>
          <w:p>
            <w:pPr>
              <w:ind w:left="200"/>
              <w:spacing w:after="0" w:line="202" w:lineRule="exact"/>
              <w:rPr>
                <w:sz w:val="20"/>
                <w:szCs w:val="20"/>
                <w:color w:val="auto"/>
              </w:rPr>
            </w:pPr>
            <w:r>
              <w:rPr>
                <w:rFonts w:ascii="Arial" w:cs="Arial" w:eastAsia="Arial" w:hAnsi="Arial"/>
                <w:sz w:val="18"/>
                <w:szCs w:val="18"/>
                <w:color w:val="auto"/>
              </w:rPr>
              <w:t>Basic - continuing operations</w:t>
            </w:r>
          </w:p>
        </w:tc>
        <w:tc>
          <w:tcPr>
            <w:tcW w:w="1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0.65</w:t>
            </w:r>
          </w:p>
        </w:tc>
        <w:tc>
          <w:tcPr>
            <w:tcW w:w="1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1.13</w:t>
            </w:r>
          </w:p>
        </w:tc>
        <w:tc>
          <w:tcPr>
            <w:tcW w:w="2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3.32</w:t>
            </w:r>
          </w:p>
        </w:tc>
        <w:tc>
          <w:tcPr>
            <w:tcW w:w="1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2.79</w:t>
            </w:r>
          </w:p>
        </w:tc>
        <w:tc>
          <w:tcPr>
            <w:tcW w:w="80" w:type="dxa"/>
            <w:vAlign w:val="bottom"/>
            <w:tcBorders>
              <w:bottom w:val="single" w:sz="8" w:color="CCECFF"/>
            </w:tcBorders>
            <w:shd w:val="clear" w:color="auto" w:fill="CCECFF"/>
          </w:tcPr>
          <w:p>
            <w:pPr>
              <w:spacing w:after="0"/>
              <w:rPr>
                <w:sz w:val="21"/>
                <w:szCs w:val="21"/>
                <w:color w:val="auto"/>
              </w:rPr>
            </w:pPr>
          </w:p>
        </w:tc>
      </w:tr>
      <w:tr>
        <w:trPr>
          <w:trHeight w:val="183"/>
        </w:trPr>
        <w:tc>
          <w:tcPr>
            <w:tcW w:w="4900" w:type="dxa"/>
            <w:vAlign w:val="bottom"/>
          </w:tcPr>
          <w:p>
            <w:pPr>
              <w:ind w:left="200"/>
              <w:spacing w:after="0" w:line="183" w:lineRule="exact"/>
              <w:rPr>
                <w:sz w:val="20"/>
                <w:szCs w:val="20"/>
                <w:color w:val="auto"/>
              </w:rPr>
            </w:pPr>
            <w:r>
              <w:rPr>
                <w:rFonts w:ascii="Arial" w:cs="Arial" w:eastAsia="Arial" w:hAnsi="Arial"/>
                <w:sz w:val="18"/>
                <w:szCs w:val="18"/>
                <w:color w:val="auto"/>
              </w:rPr>
              <w:t>Basic - net income</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1.13</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2.94</w:t>
            </w:r>
          </w:p>
        </w:tc>
        <w:tc>
          <w:tcPr>
            <w:tcW w:w="80" w:type="dxa"/>
            <w:vAlign w:val="bottom"/>
          </w:tcPr>
          <w:p>
            <w:pPr>
              <w:spacing w:after="0"/>
              <w:rPr>
                <w:sz w:val="15"/>
                <w:szCs w:val="15"/>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4900" w:type="dxa"/>
            <w:vAlign w:val="bottom"/>
            <w:tcBorders>
              <w:bottom w:val="single" w:sz="8" w:color="CCECFF"/>
            </w:tcBorders>
            <w:shd w:val="clear" w:color="auto" w:fill="CCECFF"/>
          </w:tcPr>
          <w:p>
            <w:pPr>
              <w:ind w:left="200"/>
              <w:spacing w:after="0" w:line="183" w:lineRule="exact"/>
              <w:rPr>
                <w:sz w:val="20"/>
                <w:szCs w:val="20"/>
                <w:color w:val="auto"/>
              </w:rPr>
            </w:pPr>
            <w:r>
              <w:rPr>
                <w:rFonts w:ascii="Arial" w:cs="Arial" w:eastAsia="Arial" w:hAnsi="Arial"/>
                <w:sz w:val="18"/>
                <w:szCs w:val="18"/>
                <w:color w:val="auto"/>
              </w:rPr>
              <w:t>Diluted - continuing operations</w:t>
            </w:r>
          </w:p>
        </w:tc>
        <w:tc>
          <w:tcPr>
            <w:tcW w:w="18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0.65</w:t>
            </w:r>
          </w:p>
        </w:tc>
        <w:tc>
          <w:tcPr>
            <w:tcW w:w="10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1.12</w:t>
            </w:r>
          </w:p>
        </w:tc>
        <w:tc>
          <w:tcPr>
            <w:tcW w:w="22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3.28</w:t>
            </w: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2.75</w:t>
            </w:r>
          </w:p>
        </w:tc>
        <w:tc>
          <w:tcPr>
            <w:tcW w:w="80" w:type="dxa"/>
            <w:vAlign w:val="bottom"/>
            <w:tcBorders>
              <w:bottom w:val="single" w:sz="8" w:color="CCECFF"/>
            </w:tcBorders>
            <w:shd w:val="clear" w:color="auto" w:fill="CCECFF"/>
          </w:tcPr>
          <w:p>
            <w:pPr>
              <w:spacing w:after="0"/>
              <w:rPr>
                <w:sz w:val="19"/>
                <w:szCs w:val="19"/>
                <w:color w:val="auto"/>
              </w:rPr>
            </w:pPr>
          </w:p>
        </w:tc>
      </w:tr>
      <w:tr>
        <w:trPr>
          <w:trHeight w:val="183"/>
        </w:trPr>
        <w:tc>
          <w:tcPr>
            <w:tcW w:w="4900" w:type="dxa"/>
            <w:vAlign w:val="bottom"/>
          </w:tcPr>
          <w:p>
            <w:pPr>
              <w:ind w:left="200"/>
              <w:spacing w:after="0" w:line="183" w:lineRule="exact"/>
              <w:rPr>
                <w:sz w:val="20"/>
                <w:szCs w:val="20"/>
                <w:color w:val="auto"/>
              </w:rPr>
            </w:pPr>
            <w:r>
              <w:rPr>
                <w:rFonts w:ascii="Arial" w:cs="Arial" w:eastAsia="Arial" w:hAnsi="Arial"/>
                <w:sz w:val="18"/>
                <w:szCs w:val="18"/>
                <w:color w:val="auto"/>
              </w:rPr>
              <w:t>Diluted - net income</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1.12</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2.90</w:t>
            </w:r>
          </w:p>
        </w:tc>
        <w:tc>
          <w:tcPr>
            <w:tcW w:w="80" w:type="dxa"/>
            <w:vAlign w:val="bottom"/>
          </w:tcPr>
          <w:p>
            <w:pPr>
              <w:spacing w:after="0"/>
              <w:rPr>
                <w:sz w:val="15"/>
                <w:szCs w:val="15"/>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900" w:type="dxa"/>
            <w:vAlign w:val="bottom"/>
            <w:shd w:val="clear" w:color="auto" w:fill="CCECFF"/>
          </w:tcPr>
          <w:p>
            <w:pPr>
              <w:ind w:left="20"/>
              <w:spacing w:after="0" w:line="183" w:lineRule="exact"/>
              <w:rPr>
                <w:sz w:val="20"/>
                <w:szCs w:val="20"/>
                <w:color w:val="auto"/>
              </w:rPr>
            </w:pPr>
            <w:r>
              <w:rPr>
                <w:rFonts w:ascii="Arial" w:cs="Arial" w:eastAsia="Arial" w:hAnsi="Arial"/>
                <w:sz w:val="18"/>
                <w:szCs w:val="18"/>
                <w:color w:val="auto"/>
              </w:rPr>
              <w:t>Weighted average number of common shares outstanding:</w:t>
            </w:r>
          </w:p>
        </w:tc>
        <w:tc>
          <w:tcPr>
            <w:tcW w:w="180" w:type="dxa"/>
            <w:vAlign w:val="bottom"/>
            <w:shd w:val="clear" w:color="auto" w:fill="CCECFF"/>
          </w:tcPr>
          <w:p>
            <w:pPr>
              <w:spacing w:after="0"/>
              <w:rPr>
                <w:sz w:val="15"/>
                <w:szCs w:val="15"/>
                <w:color w:val="auto"/>
              </w:rPr>
            </w:pPr>
          </w:p>
        </w:tc>
        <w:tc>
          <w:tcPr>
            <w:tcW w:w="1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46,763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55,137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47,769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55,515</w:t>
            </w:r>
          </w:p>
        </w:tc>
        <w:tc>
          <w:tcPr>
            <w:tcW w:w="80" w:type="dxa"/>
            <w:vAlign w:val="bottom"/>
          </w:tcPr>
          <w:p>
            <w:pPr>
              <w:spacing w:after="0"/>
              <w:rPr>
                <w:sz w:val="17"/>
                <w:szCs w:val="17"/>
                <w:color w:val="auto"/>
              </w:rPr>
            </w:pPr>
          </w:p>
        </w:tc>
      </w:tr>
      <w:tr>
        <w:trPr>
          <w:trHeight w:val="203"/>
        </w:trPr>
        <w:tc>
          <w:tcPr>
            <w:tcW w:w="49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CFF"/>
          </w:tcPr>
          <w:p>
            <w:pPr>
              <w:spacing w:after="0"/>
              <w:rPr>
                <w:sz w:val="17"/>
                <w:szCs w:val="17"/>
                <w:color w:val="auto"/>
              </w:rPr>
            </w:pPr>
          </w:p>
        </w:tc>
        <w:tc>
          <w:tcPr>
            <w:tcW w:w="11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47,175</w:t>
            </w: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55,702</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48,307</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0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56,258</w:t>
            </w:r>
          </w:p>
        </w:tc>
        <w:tc>
          <w:tcPr>
            <w:tcW w:w="80" w:type="dxa"/>
            <w:vAlign w:val="bottom"/>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-3288030</wp:posOffset>
            </wp:positionV>
            <wp:extent cx="603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-3288030</wp:posOffset>
            </wp:positionV>
            <wp:extent cx="603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-3288030</wp:posOffset>
            </wp:positionV>
            <wp:extent cx="603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-3288030</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-2765425</wp:posOffset>
            </wp:positionV>
            <wp:extent cx="6032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-2765425</wp:posOffset>
            </wp:positionV>
            <wp:extent cx="603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-2765425</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-2765425</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-2491105</wp:posOffset>
            </wp:positionV>
            <wp:extent cx="603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-2491105</wp:posOffset>
            </wp:positionV>
            <wp:extent cx="603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-2491105</wp:posOffset>
            </wp:positionV>
            <wp:extent cx="603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-2491105</wp:posOffset>
            </wp:positionV>
            <wp:extent cx="514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-1959610</wp:posOffset>
            </wp:positionV>
            <wp:extent cx="603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-1959610</wp:posOffset>
            </wp:positionV>
            <wp:extent cx="6032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-1959610</wp:posOffset>
            </wp:positionV>
            <wp:extent cx="6032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-1959610</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-1693545</wp:posOffset>
            </wp:positionV>
            <wp:extent cx="603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-1693545</wp:posOffset>
            </wp:positionV>
            <wp:extent cx="603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-1693545</wp:posOffset>
            </wp:positionV>
            <wp:extent cx="603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-1693545</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-1156335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-1139190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-1156335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-1139190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-1156335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-1139190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-1156335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-1139190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-873760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-856615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-873760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-856615</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-873760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-856615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-873760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-856615</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-565150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-548005</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-565150</wp:posOffset>
            </wp:positionV>
            <wp:extent cx="60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-548005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-565150</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-548005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-565150</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-548005</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line="254"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CHANGES IN STOCKHOLDERS’ EQUITY (Unaudited)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r>
      <w:tr>
        <w:trPr>
          <w:trHeight w:val="167"/>
        </w:trPr>
        <w:tc>
          <w:tcPr>
            <w:tcW w:w="3240" w:type="dxa"/>
            <w:vAlign w:val="bottom"/>
          </w:tcPr>
          <w:p>
            <w:pPr>
              <w:spacing w:after="0"/>
              <w:rPr>
                <w:sz w:val="14"/>
                <w:szCs w:val="14"/>
                <w:color w:val="auto"/>
              </w:rPr>
            </w:pPr>
          </w:p>
        </w:tc>
        <w:tc>
          <w:tcPr>
            <w:tcW w:w="116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Stock</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0"/>
              </w:rPr>
              <w:t>Retained</w:t>
            </w:r>
          </w:p>
        </w:tc>
        <w:tc>
          <w:tcPr>
            <w:tcW w:w="11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Comprehensive</w:t>
            </w:r>
          </w:p>
        </w:tc>
        <w:tc>
          <w:tcPr>
            <w:tcW w:w="1880" w:type="dxa"/>
            <w:vAlign w:val="bottom"/>
            <w:gridSpan w:val="5"/>
          </w:tcPr>
          <w:p>
            <w:pPr>
              <w:jc w:val="right"/>
              <w:ind w:right="548"/>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240" w:type="dxa"/>
            <w:vAlign w:val="bottom"/>
          </w:tcPr>
          <w:p>
            <w:pPr>
              <w:ind w:left="20"/>
              <w:spacing w:after="0" w:line="142" w:lineRule="exact"/>
              <w:rPr>
                <w:sz w:val="20"/>
                <w:szCs w:val="20"/>
                <w:color w:val="auto"/>
              </w:rPr>
            </w:pPr>
            <w:r>
              <w:rPr>
                <w:rFonts w:ascii="Arial" w:cs="Arial" w:eastAsia="Arial" w:hAnsi="Arial"/>
                <w:sz w:val="13"/>
                <w:szCs w:val="13"/>
                <w:color w:val="auto"/>
              </w:rPr>
              <w:t>(In thousands)</w:t>
            </w:r>
          </w:p>
        </w:tc>
        <w:tc>
          <w:tcPr>
            <w:tcW w:w="800" w:type="dxa"/>
            <w:vAlign w:val="bottom"/>
            <w:tcBorders>
              <w:top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83"/>
              </w:rPr>
              <w:t>Income</w:t>
            </w:r>
          </w:p>
        </w:tc>
        <w:tc>
          <w:tcPr>
            <w:tcW w:w="760" w:type="dxa"/>
            <w:vAlign w:val="bottom"/>
            <w:tcBorders>
              <w:top w:val="single" w:sz="8" w:color="auto"/>
            </w:tcBorders>
          </w:tcPr>
          <w:p>
            <w:pPr>
              <w:jc w:val="right"/>
              <w:ind w:right="129"/>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69"/>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Balance at October 31, 2020</w:t>
            </w: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74,123</w:t>
            </w:r>
          </w:p>
        </w:tc>
        <w:tc>
          <w:tcPr>
            <w:tcW w:w="20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20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269,911</w:t>
            </w:r>
          </w:p>
        </w:tc>
        <w:tc>
          <w:tcPr>
            <w:tcW w:w="22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179,195</w:t>
            </w:r>
          </w:p>
        </w:tc>
        <w:tc>
          <w:tcPr>
            <w:tcW w:w="22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18,167</w:t>
            </w:r>
          </w:p>
        </w:tc>
        <w:tc>
          <w:tcPr>
            <w:tcW w:w="1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(222,375</w:t>
            </w:r>
          </w:p>
        </w:tc>
        <w:tc>
          <w:tcPr>
            <w:tcW w:w="18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226,878</w:t>
            </w:r>
          </w:p>
        </w:tc>
        <w:tc>
          <w:tcPr>
            <w:tcW w:w="60" w:type="dxa"/>
            <w:vAlign w:val="bottom"/>
            <w:shd w:val="clear" w:color="auto" w:fill="CCECFF"/>
          </w:tcPr>
          <w:p>
            <w:pPr>
              <w:spacing w:after="0"/>
              <w:rPr>
                <w:sz w:val="14"/>
                <w:szCs w:val="14"/>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Proceeds from exercise of employee stock</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5"/>
                <w:szCs w:val="15"/>
                <w:color w:val="auto"/>
              </w:rPr>
            </w:pPr>
          </w:p>
        </w:tc>
      </w:tr>
      <w:tr>
        <w:trPr>
          <w:trHeight w:val="176"/>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1,317</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1,317</w:t>
            </w:r>
          </w:p>
        </w:tc>
        <w:tc>
          <w:tcPr>
            <w:tcW w:w="60" w:type="dxa"/>
            <w:vAlign w:val="bottom"/>
            <w:shd w:val="clear" w:color="auto" w:fill="CCECFF"/>
          </w:tcPr>
          <w:p>
            <w:pPr>
              <w:spacing w:after="0"/>
              <w:rPr>
                <w:sz w:val="15"/>
                <w:szCs w:val="15"/>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under restricted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240" w:type="dxa"/>
            <w:vAlign w:val="bottom"/>
          </w:tcPr>
          <w:p>
            <w:pPr>
              <w:ind w:left="100"/>
              <w:spacing w:after="0" w:line="149" w:lineRule="exact"/>
              <w:rPr>
                <w:sz w:val="20"/>
                <w:szCs w:val="20"/>
                <w:color w:val="auto"/>
              </w:rPr>
            </w:pPr>
            <w:r>
              <w:rPr>
                <w:rFonts w:ascii="Arial" w:cs="Arial" w:eastAsia="Arial" w:hAnsi="Arial"/>
                <w:sz w:val="14"/>
                <w:szCs w:val="14"/>
                <w:color w:val="auto"/>
              </w:rPr>
              <w:t>stock unit awards, net of shares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surrendered</w:t>
            </w: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(28 )</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(28 )</w:t>
            </w:r>
          </w:p>
        </w:tc>
      </w:tr>
      <w:tr>
        <w:trPr>
          <w:trHeight w:val="175"/>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Repurchase of treasury stock</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2,737</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(50,000 )</w:t>
            </w: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(50,000 )</w:t>
            </w:r>
          </w:p>
        </w:tc>
      </w:tr>
      <w:tr>
        <w:trPr>
          <w:trHeight w:val="176"/>
        </w:trPr>
        <w:tc>
          <w:tcPr>
            <w:tcW w:w="3240" w:type="dxa"/>
            <w:vAlign w:val="bottom"/>
          </w:tcPr>
          <w:p>
            <w:pPr>
              <w:ind w:left="20"/>
              <w:spacing w:after="0"/>
              <w:rPr>
                <w:sz w:val="20"/>
                <w:szCs w:val="20"/>
                <w:color w:val="auto"/>
              </w:rPr>
            </w:pPr>
            <w:r>
              <w:rPr>
                <w:rFonts w:ascii="Arial" w:cs="Arial" w:eastAsia="Arial" w:hAnsi="Arial"/>
                <w:sz w:val="14"/>
                <w:szCs w:val="14"/>
                <w:color w:val="auto"/>
              </w:rPr>
              <w:t>Dividends issued</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(2,799 )</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(2,799 )</w:t>
            </w:r>
          </w:p>
        </w:tc>
      </w:tr>
      <w:tr>
        <w:trPr>
          <w:trHeight w:val="143"/>
        </w:trPr>
        <w:tc>
          <w:tcPr>
            <w:tcW w:w="324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Spin off of outdoor products and accessories</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3240" w:type="dxa"/>
            <w:vAlign w:val="bottom"/>
            <w:shd w:val="clear" w:color="auto" w:fill="CCECFF"/>
          </w:tcPr>
          <w:p>
            <w:pPr>
              <w:ind w:left="100"/>
              <w:spacing w:after="0"/>
              <w:rPr>
                <w:sz w:val="20"/>
                <w:szCs w:val="20"/>
                <w:color w:val="auto"/>
              </w:rPr>
            </w:pPr>
            <w:r>
              <w:rPr>
                <w:rFonts w:ascii="Arial" w:cs="Arial" w:eastAsia="Arial" w:hAnsi="Arial"/>
                <w:sz w:val="14"/>
                <w:szCs w:val="14"/>
                <w:color w:val="auto"/>
              </w:rPr>
              <w:t>business</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(69 )</w:t>
            </w:r>
          </w:p>
        </w:tc>
      </w:tr>
      <w:tr>
        <w:trPr>
          <w:trHeight w:val="175"/>
        </w:trPr>
        <w:tc>
          <w:tcPr>
            <w:tcW w:w="3240" w:type="dxa"/>
            <w:vAlign w:val="bottom"/>
          </w:tcPr>
          <w:p>
            <w:pPr>
              <w:ind w:left="20"/>
              <w:spacing w:after="0"/>
              <w:rPr>
                <w:sz w:val="20"/>
                <w:szCs w:val="20"/>
                <w:color w:val="auto"/>
              </w:rPr>
            </w:pPr>
            <w:r>
              <w:rPr>
                <w:rFonts w:ascii="Arial" w:cs="Arial" w:eastAsia="Arial" w:hAnsi="Arial"/>
                <w:sz w:val="14"/>
                <w:szCs w:val="14"/>
                <w:color w:val="auto"/>
              </w:rPr>
              <w:t>Other</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(2 )</w:t>
            </w:r>
          </w:p>
        </w:tc>
      </w:tr>
      <w:tr>
        <w:trPr>
          <w:trHeight w:val="176"/>
        </w:trPr>
        <w:tc>
          <w:tcPr>
            <w:tcW w:w="32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62,390</w:t>
            </w:r>
          </w:p>
        </w:tc>
        <w:tc>
          <w:tcPr>
            <w:tcW w:w="22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62,390</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3240" w:type="dxa"/>
            <w:vAlign w:val="bottom"/>
          </w:tcPr>
          <w:p>
            <w:pPr>
              <w:ind w:left="20"/>
              <w:spacing w:after="0" w:line="155" w:lineRule="exact"/>
              <w:rPr>
                <w:sz w:val="20"/>
                <w:szCs w:val="20"/>
                <w:color w:val="auto"/>
              </w:rPr>
            </w:pPr>
            <w:r>
              <w:rPr>
                <w:rFonts w:ascii="Arial" w:cs="Arial" w:eastAsia="Arial" w:hAnsi="Arial"/>
                <w:sz w:val="14"/>
                <w:szCs w:val="14"/>
                <w:color w:val="auto"/>
              </w:rPr>
              <w:t>Balance at January 31, 2021</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74,153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271,222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238,715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20,904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(272,375 )</w:t>
            </w:r>
          </w:p>
        </w:tc>
        <w:tc>
          <w:tcPr>
            <w:tcW w:w="10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237,709</w:t>
            </w:r>
          </w:p>
        </w:tc>
        <w:tc>
          <w:tcPr>
            <w:tcW w:w="60" w:type="dxa"/>
            <w:vAlign w:val="bottom"/>
          </w:tcPr>
          <w:p>
            <w:pPr>
              <w:spacing w:after="0"/>
              <w:rPr>
                <w:sz w:val="14"/>
                <w:szCs w:val="14"/>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3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gridSpan w:val="2"/>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r>
      <w:tr>
        <w:trPr>
          <w:trHeight w:val="324"/>
        </w:trPr>
        <w:tc>
          <w:tcPr>
            <w:tcW w:w="3240" w:type="dxa"/>
            <w:vAlign w:val="bottom"/>
          </w:tcPr>
          <w:p>
            <w:pPr>
              <w:ind w:left="20"/>
              <w:spacing w:after="0"/>
              <w:rPr>
                <w:sz w:val="20"/>
                <w:szCs w:val="20"/>
                <w:color w:val="auto"/>
              </w:rPr>
            </w:pPr>
            <w:r>
              <w:rPr>
                <w:rFonts w:ascii="Arial" w:cs="Arial" w:eastAsia="Arial" w:hAnsi="Arial"/>
                <w:sz w:val="14"/>
                <w:szCs w:val="14"/>
                <w:color w:val="auto"/>
              </w:rPr>
              <w:t>Balance at April 30, 2020</w:t>
            </w:r>
          </w:p>
        </w:tc>
        <w:tc>
          <w:tcPr>
            <w:tcW w:w="800" w:type="dxa"/>
            <w:vAlign w:val="bottom"/>
          </w:tcPr>
          <w:p>
            <w:pPr>
              <w:jc w:val="right"/>
              <w:spacing w:after="0"/>
              <w:rPr>
                <w:sz w:val="20"/>
                <w:szCs w:val="20"/>
                <w:color w:val="auto"/>
              </w:rPr>
            </w:pPr>
            <w:r>
              <w:rPr>
                <w:rFonts w:ascii="Arial" w:cs="Arial" w:eastAsia="Arial" w:hAnsi="Arial"/>
                <w:sz w:val="14"/>
                <w:szCs w:val="14"/>
                <w:color w:val="auto"/>
              </w:rPr>
              <w:t>73,527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267,630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341,716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18,167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(222,375 )</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387,118</w:t>
            </w:r>
          </w:p>
        </w:tc>
        <w:tc>
          <w:tcPr>
            <w:tcW w:w="60" w:type="dxa"/>
            <w:vAlign w:val="bottom"/>
          </w:tcPr>
          <w:p>
            <w:pPr>
              <w:spacing w:after="0"/>
              <w:rPr>
                <w:sz w:val="24"/>
                <w:szCs w:val="24"/>
                <w:color w:val="auto"/>
              </w:rPr>
            </w:pPr>
          </w:p>
        </w:tc>
      </w:tr>
      <w:tr>
        <w:trPr>
          <w:trHeight w:val="143"/>
        </w:trPr>
        <w:tc>
          <w:tcPr>
            <w:tcW w:w="324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Proceeds from exercise of employee stock</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3240" w:type="dxa"/>
            <w:vAlign w:val="bottom"/>
            <w:shd w:val="clear" w:color="auto" w:fill="CCECFF"/>
          </w:tcPr>
          <w:p>
            <w:pPr>
              <w:ind w:left="100"/>
              <w:spacing w:after="0"/>
              <w:rPr>
                <w:sz w:val="20"/>
                <w:szCs w:val="20"/>
                <w:color w:val="auto"/>
              </w:rPr>
            </w:pPr>
            <w:r>
              <w:rPr>
                <w:rFonts w:ascii="Arial" w:cs="Arial" w:eastAsia="Arial" w:hAnsi="Arial"/>
                <w:sz w:val="14"/>
                <w:szCs w:val="14"/>
                <w:color w:val="auto"/>
              </w:rPr>
              <w:t>options</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1,540</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1,540</w:t>
            </w:r>
          </w:p>
        </w:tc>
        <w:tc>
          <w:tcPr>
            <w:tcW w:w="60" w:type="dxa"/>
            <w:vAlign w:val="bottom"/>
            <w:shd w:val="clear" w:color="auto" w:fill="CCECFF"/>
          </w:tcPr>
          <w:p>
            <w:pPr>
              <w:spacing w:after="0"/>
              <w:rPr>
                <w:sz w:val="15"/>
                <w:szCs w:val="15"/>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Stock-based compensation - continuing</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operations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3,392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3,392</w:t>
            </w:r>
          </w:p>
        </w:tc>
        <w:tc>
          <w:tcPr>
            <w:tcW w:w="60" w:type="dxa"/>
            <w:vAlign w:val="bottom"/>
          </w:tcPr>
          <w:p>
            <w:pPr>
              <w:spacing w:after="0"/>
              <w:rPr>
                <w:sz w:val="15"/>
                <w:szCs w:val="15"/>
                <w:color w:val="auto"/>
              </w:rPr>
            </w:pPr>
          </w:p>
        </w:tc>
      </w:tr>
      <w:tr>
        <w:trPr>
          <w:trHeight w:val="143"/>
        </w:trPr>
        <w:tc>
          <w:tcPr>
            <w:tcW w:w="324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Stock-based compensation - discontinued</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3240" w:type="dxa"/>
            <w:vAlign w:val="bottom"/>
            <w:shd w:val="clear" w:color="auto" w:fill="CCECFF"/>
          </w:tcPr>
          <w:p>
            <w:pPr>
              <w:ind w:left="100"/>
              <w:spacing w:after="0"/>
              <w:rPr>
                <w:sz w:val="20"/>
                <w:szCs w:val="20"/>
                <w:color w:val="auto"/>
              </w:rPr>
            </w:pPr>
            <w:r>
              <w:rPr>
                <w:rFonts w:ascii="Arial" w:cs="Arial" w:eastAsia="Arial" w:hAnsi="Arial"/>
                <w:sz w:val="14"/>
                <w:szCs w:val="14"/>
                <w:color w:val="auto"/>
              </w:rPr>
              <w:t>operations</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w:t>
            </w:r>
          </w:p>
        </w:tc>
        <w:tc>
          <w:tcPr>
            <w:tcW w:w="60" w:type="dxa"/>
            <w:vAlign w:val="bottom"/>
            <w:shd w:val="clear" w:color="auto" w:fill="CCECFF"/>
          </w:tcPr>
          <w:p>
            <w:pPr>
              <w:spacing w:after="0"/>
              <w:rPr>
                <w:sz w:val="15"/>
                <w:szCs w:val="15"/>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Shares issued under employee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677</w:t>
            </w:r>
          </w:p>
        </w:tc>
        <w:tc>
          <w:tcPr>
            <w:tcW w:w="60" w:type="dxa"/>
            <w:vAlign w:val="bottom"/>
          </w:tcPr>
          <w:p>
            <w:pPr>
              <w:spacing w:after="0"/>
              <w:rPr>
                <w:sz w:val="15"/>
                <w:szCs w:val="15"/>
                <w:color w:val="auto"/>
              </w:rPr>
            </w:pPr>
          </w:p>
        </w:tc>
      </w:tr>
      <w:tr>
        <w:trPr>
          <w:trHeight w:val="143"/>
        </w:trPr>
        <w:tc>
          <w:tcPr>
            <w:tcW w:w="324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Issuance of common stock under restricted</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48"/>
        </w:trPr>
        <w:tc>
          <w:tcPr>
            <w:tcW w:w="3240" w:type="dxa"/>
            <w:vAlign w:val="bottom"/>
            <w:shd w:val="clear" w:color="auto" w:fill="CCECFF"/>
          </w:tcPr>
          <w:p>
            <w:pPr>
              <w:ind w:left="100"/>
              <w:spacing w:after="0" w:line="149" w:lineRule="exact"/>
              <w:rPr>
                <w:sz w:val="20"/>
                <w:szCs w:val="20"/>
                <w:color w:val="auto"/>
              </w:rPr>
            </w:pPr>
            <w:r>
              <w:rPr>
                <w:rFonts w:ascii="Arial" w:cs="Arial" w:eastAsia="Arial" w:hAnsi="Arial"/>
                <w:sz w:val="14"/>
                <w:szCs w:val="14"/>
                <w:color w:val="auto"/>
              </w:rPr>
              <w:t>stock unit awards, net of shares</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3240" w:type="dxa"/>
            <w:vAlign w:val="bottom"/>
            <w:shd w:val="clear" w:color="auto" w:fill="CCECFF"/>
          </w:tcPr>
          <w:p>
            <w:pPr>
              <w:ind w:left="100"/>
              <w:spacing w:after="0"/>
              <w:rPr>
                <w:sz w:val="20"/>
                <w:szCs w:val="20"/>
                <w:color w:val="auto"/>
              </w:rPr>
            </w:pPr>
            <w:r>
              <w:rPr>
                <w:rFonts w:ascii="Arial" w:cs="Arial" w:eastAsia="Arial" w:hAnsi="Arial"/>
                <w:sz w:val="14"/>
                <w:szCs w:val="14"/>
                <w:color w:val="auto"/>
              </w:rPr>
              <w:t>surrendered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289</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(2,201 )</w:t>
            </w: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(2,201 )</w:t>
            </w:r>
          </w:p>
        </w:tc>
      </w:tr>
      <w:tr>
        <w:trPr>
          <w:trHeight w:val="176"/>
        </w:trPr>
        <w:tc>
          <w:tcPr>
            <w:tcW w:w="3240" w:type="dxa"/>
            <w:vAlign w:val="bottom"/>
          </w:tcPr>
          <w:p>
            <w:pPr>
              <w:ind w:left="20"/>
              <w:spacing w:after="0"/>
              <w:rPr>
                <w:sz w:val="20"/>
                <w:szCs w:val="20"/>
                <w:color w:val="auto"/>
              </w:rPr>
            </w:pPr>
            <w:r>
              <w:rPr>
                <w:rFonts w:ascii="Arial" w:cs="Arial" w:eastAsia="Arial" w:hAnsi="Arial"/>
                <w:sz w:val="14"/>
                <w:szCs w:val="14"/>
                <w:color w:val="auto"/>
              </w:rPr>
              <w:t>Repurchase of treasury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2,737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(50,000 )</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(50,000 )</w:t>
            </w:r>
          </w:p>
        </w:tc>
      </w:tr>
      <w:tr>
        <w:trPr>
          <w:trHeight w:val="175"/>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Dividends issued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(5,594 )</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(5,594 )</w:t>
            </w: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Spin off of outdoor products and accessories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3240" w:type="dxa"/>
            <w:vAlign w:val="bottom"/>
          </w:tcPr>
          <w:p>
            <w:pPr>
              <w:ind w:left="120"/>
              <w:spacing w:after="0"/>
              <w:rPr>
                <w:sz w:val="20"/>
                <w:szCs w:val="20"/>
                <w:color w:val="auto"/>
              </w:rPr>
            </w:pPr>
            <w:r>
              <w:rPr>
                <w:rFonts w:ascii="Arial" w:cs="Arial" w:eastAsia="Arial" w:hAnsi="Arial"/>
                <w:sz w:val="14"/>
                <w:szCs w:val="14"/>
                <w:color w:val="auto"/>
              </w:rPr>
              <w:t>business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(260,420 )</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(260,420 )</w:t>
            </w:r>
          </w:p>
        </w:tc>
      </w:tr>
      <w:tr>
        <w:trPr>
          <w:trHeight w:val="175"/>
        </w:trPr>
        <w:tc>
          <w:tcPr>
            <w:tcW w:w="32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163,013</w:t>
            </w:r>
          </w:p>
        </w:tc>
        <w:tc>
          <w:tcPr>
            <w:tcW w:w="22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163,013</w:t>
            </w:r>
          </w:p>
        </w:tc>
        <w:tc>
          <w:tcPr>
            <w:tcW w:w="60" w:type="dxa"/>
            <w:vAlign w:val="bottom"/>
            <w:tcBorders>
              <w:bottom w:val="single" w:sz="8" w:color="CCECFF"/>
            </w:tcBorders>
            <w:shd w:val="clear" w:color="auto" w:fill="CCECFF"/>
          </w:tcPr>
          <w:p>
            <w:pPr>
              <w:spacing w:after="0"/>
              <w:rPr>
                <w:sz w:val="15"/>
                <w:szCs w:val="15"/>
                <w:color w:val="auto"/>
              </w:rPr>
            </w:pPr>
          </w:p>
        </w:tc>
      </w:tr>
      <w:tr>
        <w:trPr>
          <w:trHeight w:val="277"/>
        </w:trPr>
        <w:tc>
          <w:tcPr>
            <w:tcW w:w="3240" w:type="dxa"/>
            <w:vAlign w:val="bottom"/>
          </w:tcPr>
          <w:p>
            <w:pPr>
              <w:ind w:left="20"/>
              <w:spacing w:after="0"/>
              <w:rPr>
                <w:sz w:val="20"/>
                <w:szCs w:val="20"/>
                <w:color w:val="auto"/>
              </w:rPr>
            </w:pPr>
            <w:r>
              <w:rPr>
                <w:rFonts w:ascii="Arial" w:cs="Arial" w:eastAsia="Arial" w:hAnsi="Arial"/>
                <w:sz w:val="14"/>
                <w:szCs w:val="14"/>
                <w:color w:val="auto"/>
              </w:rPr>
              <w:t>Balance at January 31, 2021</w:t>
            </w:r>
          </w:p>
        </w:tc>
        <w:tc>
          <w:tcPr>
            <w:tcW w:w="800" w:type="dxa"/>
            <w:vAlign w:val="bottom"/>
          </w:tcPr>
          <w:p>
            <w:pPr>
              <w:jc w:val="right"/>
              <w:spacing w:after="0"/>
              <w:rPr>
                <w:sz w:val="20"/>
                <w:szCs w:val="20"/>
                <w:color w:val="auto"/>
              </w:rPr>
            </w:pPr>
            <w:r>
              <w:rPr>
                <w:rFonts w:ascii="Arial" w:cs="Arial" w:eastAsia="Arial" w:hAnsi="Arial"/>
                <w:sz w:val="14"/>
                <w:szCs w:val="14"/>
                <w:color w:val="auto"/>
              </w:rPr>
              <w:t>74,153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271,222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238,715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20,904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(272,375 )</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237,709</w:t>
            </w:r>
          </w:p>
        </w:tc>
        <w:tc>
          <w:tcPr>
            <w:tcW w:w="60" w:type="dxa"/>
            <w:vAlign w:val="bottom"/>
          </w:tcPr>
          <w:p>
            <w:pPr>
              <w:spacing w:after="0"/>
              <w:rPr>
                <w:sz w:val="24"/>
                <w:szCs w:val="24"/>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3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40" w:type="dxa"/>
            <w:vAlign w:val="bottom"/>
            <w:gridSpan w:val="2"/>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r>
      <w:tr>
        <w:trPr>
          <w:trHeight w:val="175"/>
        </w:trPr>
        <w:tc>
          <w:tcPr>
            <w:tcW w:w="3240" w:type="dxa"/>
            <w:vAlign w:val="bottom"/>
          </w:tcPr>
          <w:p>
            <w:pPr>
              <w:ind w:left="20"/>
              <w:spacing w:after="0"/>
              <w:rPr>
                <w:sz w:val="20"/>
                <w:szCs w:val="20"/>
                <w:color w:val="auto"/>
              </w:rPr>
            </w:pPr>
            <w:r>
              <w:rPr>
                <w:rFonts w:ascii="Arial" w:cs="Arial" w:eastAsia="Arial" w:hAnsi="Arial"/>
                <w:sz w:val="14"/>
                <w:szCs w:val="14"/>
                <w:color w:val="auto"/>
              </w:rPr>
              <w:t>Balance at October 31, 2021</w:t>
            </w:r>
          </w:p>
        </w:tc>
        <w:tc>
          <w:tcPr>
            <w:tcW w:w="800" w:type="dxa"/>
            <w:vAlign w:val="bottom"/>
          </w:tcPr>
          <w:p>
            <w:pPr>
              <w:jc w:val="right"/>
              <w:spacing w:after="0"/>
              <w:rPr>
                <w:sz w:val="20"/>
                <w:szCs w:val="20"/>
                <w:color w:val="auto"/>
              </w:rPr>
            </w:pPr>
            <w:r>
              <w:rPr>
                <w:rFonts w:ascii="Arial" w:cs="Arial" w:eastAsia="Arial" w:hAnsi="Arial"/>
                <w:sz w:val="14"/>
                <w:szCs w:val="14"/>
                <w:color w:val="auto"/>
              </w:rPr>
              <w:t>74,547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275,229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445,306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26,252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(372,375 )</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348,308</w:t>
            </w:r>
          </w:p>
        </w:tc>
        <w:tc>
          <w:tcPr>
            <w:tcW w:w="60" w:type="dxa"/>
            <w:vAlign w:val="bottom"/>
          </w:tcPr>
          <w:p>
            <w:pPr>
              <w:spacing w:after="0"/>
              <w:rPr>
                <w:sz w:val="15"/>
                <w:szCs w:val="15"/>
                <w:color w:val="auto"/>
              </w:rPr>
            </w:pPr>
          </w:p>
        </w:tc>
      </w:tr>
      <w:tr>
        <w:trPr>
          <w:trHeight w:val="175"/>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1,199</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1,199</w:t>
            </w:r>
          </w:p>
        </w:tc>
        <w:tc>
          <w:tcPr>
            <w:tcW w:w="60" w:type="dxa"/>
            <w:vAlign w:val="bottom"/>
            <w:shd w:val="clear" w:color="auto" w:fill="CCECFF"/>
          </w:tcPr>
          <w:p>
            <w:pPr>
              <w:spacing w:after="0"/>
              <w:rPr>
                <w:sz w:val="15"/>
                <w:szCs w:val="15"/>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Shares issued under employee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r>
      <w:tr>
        <w:trPr>
          <w:trHeight w:val="143"/>
        </w:trPr>
        <w:tc>
          <w:tcPr>
            <w:tcW w:w="324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Issuance of common stock under restricted</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49"/>
        </w:trPr>
        <w:tc>
          <w:tcPr>
            <w:tcW w:w="3240" w:type="dxa"/>
            <w:vAlign w:val="bottom"/>
            <w:shd w:val="clear" w:color="auto" w:fill="CCECFF"/>
          </w:tcPr>
          <w:p>
            <w:pPr>
              <w:ind w:left="100"/>
              <w:spacing w:after="0" w:line="149" w:lineRule="exact"/>
              <w:rPr>
                <w:sz w:val="20"/>
                <w:szCs w:val="20"/>
                <w:color w:val="auto"/>
              </w:rPr>
            </w:pPr>
            <w:r>
              <w:rPr>
                <w:rFonts w:ascii="Arial" w:cs="Arial" w:eastAsia="Arial" w:hAnsi="Arial"/>
                <w:sz w:val="14"/>
                <w:szCs w:val="14"/>
                <w:color w:val="auto"/>
              </w:rPr>
              <w:t>stock unit awards, net of shares</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3240" w:type="dxa"/>
            <w:vAlign w:val="bottom"/>
            <w:shd w:val="clear" w:color="auto" w:fill="CCECFF"/>
          </w:tcPr>
          <w:p>
            <w:pPr>
              <w:ind w:left="100"/>
              <w:spacing w:after="0"/>
              <w:rPr>
                <w:sz w:val="20"/>
                <w:szCs w:val="20"/>
                <w:color w:val="auto"/>
              </w:rPr>
            </w:pPr>
            <w:r>
              <w:rPr>
                <w:rFonts w:ascii="Arial" w:cs="Arial" w:eastAsia="Arial" w:hAnsi="Arial"/>
                <w:sz w:val="14"/>
                <w:szCs w:val="14"/>
                <w:color w:val="auto"/>
              </w:rPr>
              <w:t>surrendered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(54 )</w:t>
            </w: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(54 )</w:t>
            </w:r>
          </w:p>
        </w:tc>
      </w:tr>
      <w:tr>
        <w:trPr>
          <w:trHeight w:val="175"/>
        </w:trPr>
        <w:tc>
          <w:tcPr>
            <w:tcW w:w="3240" w:type="dxa"/>
            <w:vAlign w:val="bottom"/>
          </w:tcPr>
          <w:p>
            <w:pPr>
              <w:ind w:left="20"/>
              <w:spacing w:after="0"/>
              <w:rPr>
                <w:sz w:val="20"/>
                <w:szCs w:val="20"/>
                <w:color w:val="auto"/>
              </w:rPr>
            </w:pPr>
            <w:r>
              <w:rPr>
                <w:rFonts w:ascii="Arial" w:cs="Arial" w:eastAsia="Arial" w:hAnsi="Arial"/>
                <w:sz w:val="14"/>
                <w:szCs w:val="14"/>
                <w:color w:val="auto"/>
              </w:rPr>
              <w:t>Repurchase of treasury stock</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(50,000 )</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(50,000 )</w:t>
            </w:r>
          </w:p>
        </w:tc>
      </w:tr>
      <w:tr>
        <w:trPr>
          <w:trHeight w:val="175"/>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Dividends issued</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(3,701 )</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(3,701 )</w:t>
            </w:r>
          </w:p>
        </w:tc>
      </w:tr>
      <w:tr>
        <w:trPr>
          <w:trHeight w:val="175"/>
        </w:trPr>
        <w:tc>
          <w:tcPr>
            <w:tcW w:w="3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30,542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30,542</w:t>
            </w:r>
          </w:p>
        </w:tc>
        <w:tc>
          <w:tcPr>
            <w:tcW w:w="60" w:type="dxa"/>
            <w:vAlign w:val="bottom"/>
          </w:tcPr>
          <w:p>
            <w:pPr>
              <w:spacing w:after="0"/>
              <w:rPr>
                <w:sz w:val="15"/>
                <w:szCs w:val="15"/>
                <w:color w:val="auto"/>
              </w:rPr>
            </w:pPr>
          </w:p>
        </w:tc>
      </w:tr>
      <w:tr>
        <w:trPr>
          <w:trHeight w:val="317"/>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Balance at January 31, 2022</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74,550</w:t>
            </w:r>
          </w:p>
        </w:tc>
        <w:tc>
          <w:tcPr>
            <w:tcW w:w="200" w:type="dxa"/>
            <w:vAlign w:val="bottom"/>
            <w:shd w:val="clear" w:color="auto" w:fill="CCECFF"/>
          </w:tcPr>
          <w:p>
            <w:pPr>
              <w:spacing w:after="0"/>
              <w:rPr>
                <w:sz w:val="24"/>
                <w:szCs w:val="24"/>
                <w:color w:val="auto"/>
              </w:rPr>
            </w:pPr>
          </w:p>
        </w:tc>
        <w:tc>
          <w:tcPr>
            <w:tcW w:w="160" w:type="dxa"/>
            <w:vAlign w:val="bottom"/>
            <w:shd w:val="clear" w:color="auto" w:fill="CCECFF"/>
          </w:tcPr>
          <w:p>
            <w:pPr>
              <w:spacing w:after="0"/>
              <w:rPr>
                <w:sz w:val="24"/>
                <w:szCs w:val="2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w:t>
            </w:r>
          </w:p>
        </w:tc>
        <w:tc>
          <w:tcPr>
            <w:tcW w:w="200" w:type="dxa"/>
            <w:vAlign w:val="bottom"/>
            <w:shd w:val="clear" w:color="auto" w:fill="CCEC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276,389</w:t>
            </w:r>
          </w:p>
        </w:tc>
        <w:tc>
          <w:tcPr>
            <w:tcW w:w="220" w:type="dxa"/>
            <w:vAlign w:val="bottom"/>
            <w:shd w:val="clear" w:color="auto" w:fill="CCECFF"/>
          </w:tcPr>
          <w:p>
            <w:pPr>
              <w:spacing w:after="0"/>
              <w:rPr>
                <w:sz w:val="24"/>
                <w:szCs w:val="24"/>
                <w:color w:val="auto"/>
              </w:rPr>
            </w:pPr>
          </w:p>
        </w:tc>
        <w:tc>
          <w:tcPr>
            <w:tcW w:w="120" w:type="dxa"/>
            <w:vAlign w:val="bottom"/>
            <w:shd w:val="clear" w:color="auto" w:fill="CCECFF"/>
          </w:tcPr>
          <w:p>
            <w:pPr>
              <w:spacing w:after="0"/>
              <w:rPr>
                <w:sz w:val="24"/>
                <w:szCs w:val="2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472,147</w:t>
            </w:r>
          </w:p>
        </w:tc>
        <w:tc>
          <w:tcPr>
            <w:tcW w:w="220" w:type="dxa"/>
            <w:vAlign w:val="bottom"/>
            <w:shd w:val="clear" w:color="auto" w:fill="CCEC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CFF"/>
          </w:tcPr>
          <w:p>
            <w:pPr>
              <w:spacing w:after="0"/>
              <w:rPr>
                <w:sz w:val="24"/>
                <w:szCs w:val="2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29,040</w:t>
            </w:r>
          </w:p>
        </w:tc>
        <w:tc>
          <w:tcPr>
            <w:tcW w:w="160" w:type="dxa"/>
            <w:vAlign w:val="bottom"/>
            <w:shd w:val="clear" w:color="auto" w:fill="CCECFF"/>
          </w:tcPr>
          <w:p>
            <w:pPr>
              <w:spacing w:after="0"/>
              <w:rPr>
                <w:sz w:val="24"/>
                <w:szCs w:val="24"/>
                <w:color w:val="auto"/>
              </w:rPr>
            </w:pPr>
          </w:p>
        </w:tc>
        <w:tc>
          <w:tcPr>
            <w:tcW w:w="120" w:type="dxa"/>
            <w:vAlign w:val="bottom"/>
            <w:shd w:val="clear" w:color="auto" w:fill="CCECFF"/>
          </w:tcPr>
          <w:p>
            <w:pPr>
              <w:spacing w:after="0"/>
              <w:rPr>
                <w:sz w:val="24"/>
                <w:szCs w:val="24"/>
                <w:color w:val="auto"/>
              </w:rPr>
            </w:pPr>
          </w:p>
        </w:tc>
        <w:tc>
          <w:tcPr>
            <w:tcW w:w="84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(422,375 )</w:t>
            </w:r>
          </w:p>
        </w:tc>
        <w:tc>
          <w:tcPr>
            <w:tcW w:w="100" w:type="dxa"/>
            <w:vAlign w:val="bottom"/>
            <w:shd w:val="clear" w:color="auto" w:fill="CCECFF"/>
          </w:tcPr>
          <w:p>
            <w:pPr>
              <w:spacing w:after="0"/>
              <w:rPr>
                <w:sz w:val="24"/>
                <w:szCs w:val="2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326,309</w:t>
            </w:r>
          </w:p>
        </w:tc>
        <w:tc>
          <w:tcPr>
            <w:tcW w:w="60" w:type="dxa"/>
            <w:vAlign w:val="bottom"/>
            <w:shd w:val="clear" w:color="auto" w:fill="CCECFF"/>
          </w:tcPr>
          <w:p>
            <w:pPr>
              <w:spacing w:after="0"/>
              <w:rPr>
                <w:sz w:val="24"/>
                <w:szCs w:val="24"/>
                <w:color w:val="auto"/>
              </w:rPr>
            </w:pPr>
          </w:p>
        </w:tc>
      </w:tr>
      <w:tr>
        <w:trPr>
          <w:trHeight w:val="156"/>
        </w:trPr>
        <w:tc>
          <w:tcPr>
            <w:tcW w:w="3240" w:type="dxa"/>
            <w:vAlign w:val="bottom"/>
            <w:tcBorders>
              <w:top w:val="single" w:sz="8" w:color="CCECFF"/>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CEC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CCECFF"/>
            </w:tcBorders>
          </w:tcPr>
          <w:p>
            <w:pPr>
              <w:spacing w:after="0"/>
              <w:rPr>
                <w:sz w:val="13"/>
                <w:szCs w:val="13"/>
                <w:color w:val="auto"/>
              </w:rPr>
            </w:pPr>
          </w:p>
        </w:tc>
      </w:tr>
      <w:tr>
        <w:trPr>
          <w:trHeight w:val="175"/>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Balance at April 30, 2021</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74,222</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273,431</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325,181</w:t>
            </w:r>
          </w:p>
        </w:tc>
        <w:tc>
          <w:tcPr>
            <w:tcW w:w="2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24,285</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(332,375 )</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266,384</w:t>
            </w:r>
          </w:p>
        </w:tc>
        <w:tc>
          <w:tcPr>
            <w:tcW w:w="60" w:type="dxa"/>
            <w:vAlign w:val="bottom"/>
            <w:shd w:val="clear" w:color="auto" w:fill="CCECFF"/>
          </w:tcPr>
          <w:p>
            <w:pPr>
              <w:spacing w:after="0"/>
              <w:rPr>
                <w:sz w:val="15"/>
                <w:szCs w:val="15"/>
                <w:color w:val="auto"/>
              </w:rPr>
            </w:pPr>
          </w:p>
        </w:tc>
      </w:tr>
      <w:tr>
        <w:trPr>
          <w:trHeight w:val="175"/>
        </w:trPr>
        <w:tc>
          <w:tcPr>
            <w:tcW w:w="32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3,565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3,565</w:t>
            </w:r>
          </w:p>
        </w:tc>
        <w:tc>
          <w:tcPr>
            <w:tcW w:w="60" w:type="dxa"/>
            <w:vAlign w:val="bottom"/>
          </w:tcPr>
          <w:p>
            <w:pPr>
              <w:spacing w:after="0"/>
              <w:rPr>
                <w:sz w:val="15"/>
                <w:szCs w:val="15"/>
                <w:color w:val="auto"/>
              </w:rPr>
            </w:pPr>
          </w:p>
        </w:tc>
      </w:tr>
      <w:tr>
        <w:trPr>
          <w:trHeight w:val="143"/>
        </w:trPr>
        <w:tc>
          <w:tcPr>
            <w:tcW w:w="324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Shares issued under employee</w:t>
            </w: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r>
      <w:tr>
        <w:trPr>
          <w:trHeight w:val="181"/>
        </w:trPr>
        <w:tc>
          <w:tcPr>
            <w:tcW w:w="3240" w:type="dxa"/>
            <w:vAlign w:val="bottom"/>
            <w:shd w:val="clear" w:color="auto" w:fill="CCECFF"/>
          </w:tcPr>
          <w:p>
            <w:pPr>
              <w:ind w:left="100"/>
              <w:spacing w:after="0"/>
              <w:rPr>
                <w:sz w:val="20"/>
                <w:szCs w:val="20"/>
                <w:color w:val="auto"/>
              </w:rPr>
            </w:pPr>
            <w:r>
              <w:rPr>
                <w:rFonts w:ascii="Arial" w:cs="Arial" w:eastAsia="Arial" w:hAnsi="Arial"/>
                <w:sz w:val="14"/>
                <w:szCs w:val="14"/>
                <w:color w:val="auto"/>
              </w:rPr>
              <w:t>stock purchase plan</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846</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846</w:t>
            </w:r>
          </w:p>
        </w:tc>
        <w:tc>
          <w:tcPr>
            <w:tcW w:w="60" w:type="dxa"/>
            <w:vAlign w:val="bottom"/>
            <w:shd w:val="clear" w:color="auto" w:fill="CCECFF"/>
          </w:tcPr>
          <w:p>
            <w:pPr>
              <w:spacing w:after="0"/>
              <w:rPr>
                <w:sz w:val="15"/>
                <w:szCs w:val="15"/>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under restricted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240" w:type="dxa"/>
            <w:vAlign w:val="bottom"/>
          </w:tcPr>
          <w:p>
            <w:pPr>
              <w:ind w:left="100"/>
              <w:spacing w:after="0" w:line="149" w:lineRule="exact"/>
              <w:rPr>
                <w:sz w:val="20"/>
                <w:szCs w:val="20"/>
                <w:color w:val="auto"/>
              </w:rPr>
            </w:pPr>
            <w:r>
              <w:rPr>
                <w:rFonts w:ascii="Arial" w:cs="Arial" w:eastAsia="Arial" w:hAnsi="Arial"/>
                <w:sz w:val="14"/>
                <w:szCs w:val="14"/>
                <w:color w:val="auto"/>
              </w:rPr>
              <w:t>stock unit awards, net of shares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surrendered</w:t>
            </w:r>
          </w:p>
        </w:tc>
        <w:tc>
          <w:tcPr>
            <w:tcW w:w="800" w:type="dxa"/>
            <w:vAlign w:val="bottom"/>
          </w:tcPr>
          <w:p>
            <w:pPr>
              <w:jc w:val="right"/>
              <w:spacing w:after="0"/>
              <w:rPr>
                <w:sz w:val="20"/>
                <w:szCs w:val="20"/>
                <w:color w:val="auto"/>
              </w:rPr>
            </w:pPr>
            <w:r>
              <w:rPr>
                <w:rFonts w:ascii="Arial" w:cs="Arial" w:eastAsia="Arial" w:hAnsi="Arial"/>
                <w:sz w:val="14"/>
                <w:szCs w:val="14"/>
                <w:color w:val="auto"/>
              </w:rPr>
              <w:t>328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(1,453 )</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(1,452 )</w:t>
            </w:r>
          </w:p>
        </w:tc>
      </w:tr>
      <w:tr>
        <w:trPr>
          <w:trHeight w:val="175"/>
        </w:trPr>
        <w:tc>
          <w:tcPr>
            <w:tcW w:w="3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Repurchase of treasury stock</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4,755</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(90,000 )</w:t>
            </w:r>
          </w:p>
        </w:tc>
        <w:tc>
          <w:tcPr>
            <w:tcW w:w="10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(90,000 )</w:t>
            </w:r>
          </w:p>
        </w:tc>
      </w:tr>
      <w:tr>
        <w:trPr>
          <w:trHeight w:val="176"/>
        </w:trPr>
        <w:tc>
          <w:tcPr>
            <w:tcW w:w="3240" w:type="dxa"/>
            <w:vAlign w:val="bottom"/>
          </w:tcPr>
          <w:p>
            <w:pPr>
              <w:ind w:left="20"/>
              <w:spacing w:after="0"/>
              <w:rPr>
                <w:sz w:val="20"/>
                <w:szCs w:val="20"/>
                <w:color w:val="auto"/>
              </w:rPr>
            </w:pPr>
            <w:r>
              <w:rPr>
                <w:rFonts w:ascii="Arial" w:cs="Arial" w:eastAsia="Arial" w:hAnsi="Arial"/>
                <w:sz w:val="14"/>
                <w:szCs w:val="14"/>
                <w:color w:val="auto"/>
              </w:rPr>
              <w:t>Dividends issued</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(11,393 )</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(11,393 )</w:t>
            </w:r>
          </w:p>
        </w:tc>
      </w:tr>
      <w:tr>
        <w:trPr>
          <w:trHeight w:val="175"/>
        </w:trPr>
        <w:tc>
          <w:tcPr>
            <w:tcW w:w="32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158,359</w:t>
            </w:r>
          </w:p>
        </w:tc>
        <w:tc>
          <w:tcPr>
            <w:tcW w:w="22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158,359</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3240" w:type="dxa"/>
            <w:vAlign w:val="bottom"/>
          </w:tcPr>
          <w:p>
            <w:pPr>
              <w:ind w:left="20"/>
              <w:spacing w:after="0" w:line="155" w:lineRule="exact"/>
              <w:rPr>
                <w:sz w:val="20"/>
                <w:szCs w:val="20"/>
                <w:color w:val="auto"/>
              </w:rPr>
            </w:pPr>
            <w:r>
              <w:rPr>
                <w:rFonts w:ascii="Arial" w:cs="Arial" w:eastAsia="Arial" w:hAnsi="Arial"/>
                <w:sz w:val="14"/>
                <w:szCs w:val="14"/>
                <w:color w:val="auto"/>
              </w:rPr>
              <w:t>Balance at January 31, 2022</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74,550</w:t>
            </w:r>
          </w:p>
        </w:tc>
        <w:tc>
          <w:tcPr>
            <w:tcW w:w="36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75</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276,389</w:t>
            </w:r>
          </w:p>
        </w:tc>
        <w:tc>
          <w:tcPr>
            <w:tcW w:w="2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472,147</w:t>
            </w:r>
          </w:p>
        </w:tc>
        <w:tc>
          <w:tcPr>
            <w:tcW w:w="2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29,040</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(422,375 )</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326,309</w:t>
            </w:r>
          </w:p>
        </w:tc>
        <w:tc>
          <w:tcPr>
            <w:tcW w:w="60" w:type="dxa"/>
            <w:vAlign w:val="bottom"/>
          </w:tcPr>
          <w:p>
            <w:pPr>
              <w:spacing w:after="0"/>
              <w:rPr>
                <w:sz w:val="14"/>
                <w:szCs w:val="14"/>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-5045710</wp:posOffset>
            </wp:positionV>
            <wp:extent cx="3429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-5045710</wp:posOffset>
            </wp:positionV>
            <wp:extent cx="3429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-5045710</wp:posOffset>
            </wp:positionV>
            <wp:extent cx="514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-5045710</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-5045710</wp:posOffset>
            </wp:positionV>
            <wp:extent cx="254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-5045710</wp:posOffset>
            </wp:positionV>
            <wp:extent cx="260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-5045710</wp:posOffset>
            </wp:positionV>
            <wp:extent cx="431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-5045710</wp:posOffset>
            </wp:positionV>
            <wp:extent cx="431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-2919730</wp:posOffset>
            </wp:positionV>
            <wp:extent cx="3429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-2919730</wp:posOffset>
            </wp:positionV>
            <wp:extent cx="3429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-2919730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-2919730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-2919730</wp:posOffset>
            </wp:positionV>
            <wp:extent cx="254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-2919730</wp:posOffset>
            </wp:positionV>
            <wp:extent cx="260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-2919730</wp:posOffset>
            </wp:positionV>
            <wp:extent cx="431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-2919730</wp:posOffset>
            </wp:positionV>
            <wp:extent cx="431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-1344930</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-1327785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-1344930</wp:posOffset>
            </wp:positionV>
            <wp:extent cx="342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-1327785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-1344930</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-1327785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-1344930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-1327785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-1344930</wp:posOffset>
            </wp:positionV>
            <wp:extent cx="254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-1327785</wp:posOffset>
            </wp:positionV>
            <wp:extent cx="25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-1344930</wp:posOffset>
            </wp:positionV>
            <wp:extent cx="260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-1327785</wp:posOffset>
            </wp:positionV>
            <wp:extent cx="26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-1344930</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-1327785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-1344930</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-1327785</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-142240</wp:posOffset>
            </wp:positionV>
            <wp:extent cx="342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-142240</wp:posOffset>
            </wp:positionV>
            <wp:extent cx="3429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-142240</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-142240</wp:posOffset>
            </wp:positionV>
            <wp:extent cx="514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-142240</wp:posOffset>
            </wp:positionV>
            <wp:extent cx="254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-142240</wp:posOffset>
            </wp:positionV>
            <wp:extent cx="2603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-142240</wp:posOffset>
            </wp:positionV>
            <wp:extent cx="431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3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Nine Months Ended January 31,</w:t>
            </w:r>
          </w:p>
        </w:tc>
      </w:tr>
      <w:tr>
        <w:trPr>
          <w:trHeight w:val="169"/>
        </w:trPr>
        <w:tc>
          <w:tcPr>
            <w:tcW w:w="744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7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gridSpan w:val="3"/>
          </w:tcPr>
          <w:p>
            <w:pPr>
              <w:jc w:val="right"/>
              <w:ind w:right="215"/>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74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flows from operating activities: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Income from continuing operations</w:t>
            </w:r>
          </w:p>
        </w:tc>
        <w:tc>
          <w:tcPr>
            <w:tcW w:w="1280" w:type="dxa"/>
            <w:vAlign w:val="bottom"/>
          </w:tcPr>
          <w:p>
            <w:pPr>
              <w:jc w:val="right"/>
              <w:ind w:right="1099"/>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158,359</w:t>
            </w:r>
          </w:p>
        </w:tc>
        <w:tc>
          <w:tcPr>
            <w:tcW w:w="200" w:type="dxa"/>
            <w:vAlign w:val="bottom"/>
          </w:tcPr>
          <w:p>
            <w:pPr>
              <w:spacing w:after="0"/>
              <w:rPr>
                <w:sz w:val="17"/>
                <w:szCs w:val="17"/>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154,679</w:t>
            </w:r>
          </w:p>
        </w:tc>
        <w:tc>
          <w:tcPr>
            <w:tcW w:w="80" w:type="dxa"/>
            <w:vAlign w:val="bottom"/>
          </w:tcPr>
          <w:p>
            <w:pPr>
              <w:spacing w:after="0"/>
              <w:rPr>
                <w:sz w:val="17"/>
                <w:szCs w:val="17"/>
                <w:color w:val="auto"/>
              </w:rPr>
            </w:pPr>
          </w:p>
        </w:tc>
      </w:tr>
      <w:tr>
        <w:trPr>
          <w:trHeight w:val="202"/>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380"/>
              <w:spacing w:after="0"/>
              <w:rPr>
                <w:sz w:val="20"/>
                <w:szCs w:val="20"/>
                <w:color w:val="auto"/>
              </w:rPr>
            </w:pPr>
            <w:r>
              <w:rPr>
                <w:rFonts w:ascii="Arial" w:cs="Arial" w:eastAsia="Arial" w:hAnsi="Arial"/>
                <w:sz w:val="17"/>
                <w:szCs w:val="17"/>
                <w:color w:val="auto"/>
              </w:rPr>
              <w:t>Depreciation and amortization</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22,413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24,133</w:t>
            </w: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Loss on sale/disposition of assets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380"/>
              <w:spacing w:after="0"/>
              <w:rPr>
                <w:sz w:val="20"/>
                <w:szCs w:val="20"/>
                <w:color w:val="auto"/>
              </w:rPr>
            </w:pPr>
            <w:r>
              <w:rPr>
                <w:rFonts w:ascii="Arial" w:cs="Arial" w:eastAsia="Arial" w:hAnsi="Arial"/>
                <w:sz w:val="17"/>
                <w:szCs w:val="17"/>
                <w:color w:val="auto"/>
              </w:rPr>
              <w:t>Provision for losses/(recoveries) on notes and accounts receivable</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(693 )</w:t>
            </w:r>
          </w:p>
        </w:tc>
      </w:tr>
      <w:tr>
        <w:trPr>
          <w:trHeight w:val="203"/>
        </w:trPr>
        <w:tc>
          <w:tcPr>
            <w:tcW w:w="74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Impairment of long-lived tangible assets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7440" w:type="dxa"/>
            <w:vAlign w:val="bottom"/>
          </w:tcPr>
          <w:p>
            <w:pPr>
              <w:ind w:left="380"/>
              <w:spacing w:after="0"/>
              <w:rPr>
                <w:sz w:val="20"/>
                <w:szCs w:val="20"/>
                <w:color w:val="auto"/>
              </w:rPr>
            </w:pPr>
            <w:r>
              <w:rPr>
                <w:rFonts w:ascii="Arial" w:cs="Arial" w:eastAsia="Arial" w:hAnsi="Arial"/>
                <w:sz w:val="17"/>
                <w:szCs w:val="17"/>
                <w:color w:val="auto"/>
              </w:rPr>
              <w:t>Deferred income taxes</w:t>
            </w:r>
          </w:p>
        </w:tc>
        <w:tc>
          <w:tcPr>
            <w:tcW w:w="1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316</w:t>
            </w: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Stock-based compensation expense</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3,565</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3,392</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380"/>
              <w:spacing w:after="0"/>
              <w:rPr>
                <w:sz w:val="20"/>
                <w:szCs w:val="20"/>
                <w:color w:val="auto"/>
              </w:rPr>
            </w:pPr>
            <w:r>
              <w:rPr>
                <w:rFonts w:ascii="Arial" w:cs="Arial" w:eastAsia="Arial" w:hAnsi="Arial"/>
                <w:sz w:val="17"/>
                <w:szCs w:val="17"/>
                <w:color w:val="auto"/>
              </w:rPr>
              <w:t>Changes in operating assets and liabilities:</w:t>
            </w: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receivable</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17,378</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560"/>
              <w:spacing w:after="0"/>
              <w:rPr>
                <w:sz w:val="20"/>
                <w:szCs w:val="20"/>
                <w:color w:val="auto"/>
              </w:rPr>
            </w:pPr>
            <w:r>
              <w:rPr>
                <w:rFonts w:ascii="Arial" w:cs="Arial" w:eastAsia="Arial" w:hAnsi="Arial"/>
                <w:sz w:val="17"/>
                <w:szCs w:val="17"/>
                <w:color w:val="auto"/>
              </w:rPr>
              <w:t>Inventories</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(55,791 )</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19,295</w:t>
            </w: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560"/>
              <w:spacing w:after="0"/>
              <w:rPr>
                <w:sz w:val="20"/>
                <w:szCs w:val="20"/>
                <w:color w:val="auto"/>
              </w:rPr>
            </w:pPr>
            <w:r>
              <w:rPr>
                <w:rFonts w:ascii="Arial" w:cs="Arial" w:eastAsia="Arial" w:hAnsi="Arial"/>
                <w:sz w:val="17"/>
                <w:szCs w:val="17"/>
                <w:color w:val="auto"/>
              </w:rPr>
              <w:t>Prepaid expenses and other current assets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887</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(1,018 )</w:t>
            </w:r>
          </w:p>
        </w:tc>
      </w:tr>
      <w:tr>
        <w:trPr>
          <w:trHeight w:val="203"/>
        </w:trPr>
        <w:tc>
          <w:tcPr>
            <w:tcW w:w="7440" w:type="dxa"/>
            <w:vAlign w:val="bottom"/>
          </w:tcPr>
          <w:p>
            <w:pPr>
              <w:ind w:left="560"/>
              <w:spacing w:after="0"/>
              <w:rPr>
                <w:sz w:val="20"/>
                <w:szCs w:val="20"/>
                <w:color w:val="auto"/>
              </w:rPr>
            </w:pPr>
            <w:r>
              <w:rPr>
                <w:rFonts w:ascii="Arial" w:cs="Arial" w:eastAsia="Arial" w:hAnsi="Arial"/>
                <w:sz w:val="17"/>
                <w:szCs w:val="17"/>
                <w:color w:val="auto"/>
              </w:rPr>
              <w:t>Income taxes</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(2,119 )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(12,831 )</w:t>
            </w:r>
          </w:p>
        </w:tc>
      </w:tr>
      <w:tr>
        <w:trPr>
          <w:trHeight w:val="203"/>
        </w:trPr>
        <w:tc>
          <w:tcPr>
            <w:tcW w:w="744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(21,209 )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17,299</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560"/>
              <w:spacing w:after="0"/>
              <w:rPr>
                <w:sz w:val="20"/>
                <w:szCs w:val="20"/>
                <w:color w:val="auto"/>
              </w:rPr>
            </w:pPr>
            <w:r>
              <w:rPr>
                <w:rFonts w:ascii="Arial" w:cs="Arial" w:eastAsia="Arial" w:hAnsi="Arial"/>
                <w:sz w:val="17"/>
                <w:szCs w:val="17"/>
                <w:color w:val="auto"/>
              </w:rPr>
              <w:t>Accrued payroll and incentives</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(1,158 )</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2,040</w:t>
            </w: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Accrued profit sharing</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(2,943 )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8,663</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560"/>
              <w:spacing w:after="0"/>
              <w:rPr>
                <w:sz w:val="20"/>
                <w:szCs w:val="20"/>
                <w:color w:val="auto"/>
              </w:rPr>
            </w:pPr>
            <w:r>
              <w:rPr>
                <w:rFonts w:ascii="Arial" w:cs="Arial" w:eastAsia="Arial" w:hAnsi="Arial"/>
                <w:sz w:val="17"/>
                <w:szCs w:val="17"/>
                <w:color w:val="auto"/>
              </w:rPr>
              <w:t>Accrued expenses and deferred revenue</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(6,322 )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(19,950 )</w:t>
            </w:r>
          </w:p>
        </w:tc>
      </w:tr>
      <w:tr>
        <w:trPr>
          <w:trHeight w:val="203"/>
        </w:trPr>
        <w:tc>
          <w:tcPr>
            <w:tcW w:w="744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Accrued warranty</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(159 )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560"/>
              <w:spacing w:after="0"/>
              <w:rPr>
                <w:sz w:val="20"/>
                <w:szCs w:val="20"/>
                <w:color w:val="auto"/>
              </w:rPr>
            </w:pPr>
            <w:r>
              <w:rPr>
                <w:rFonts w:ascii="Arial" w:cs="Arial" w:eastAsia="Arial" w:hAnsi="Arial"/>
                <w:sz w:val="17"/>
                <w:szCs w:val="17"/>
                <w:color w:val="auto"/>
              </w:rPr>
              <w:t>Other assets</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2,188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1,226</w:t>
            </w: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560"/>
              <w:spacing w:after="0"/>
              <w:rPr>
                <w:sz w:val="20"/>
                <w:szCs w:val="20"/>
                <w:color w:val="auto"/>
              </w:rPr>
            </w:pPr>
            <w:r>
              <w:rPr>
                <w:rFonts w:ascii="Arial" w:cs="Arial" w:eastAsia="Arial" w:hAnsi="Arial"/>
                <w:sz w:val="17"/>
                <w:szCs w:val="17"/>
                <w:color w:val="auto"/>
              </w:rPr>
              <w:t>Other non-current liabilities</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(3,609 )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1,309</w:t>
            </w:r>
          </w:p>
        </w:tc>
        <w:tc>
          <w:tcPr>
            <w:tcW w:w="80" w:type="dxa"/>
            <w:vAlign w:val="bottom"/>
            <w:shd w:val="clear" w:color="auto" w:fill="CFF0FC"/>
          </w:tcPr>
          <w:p>
            <w:pPr>
              <w:spacing w:after="0"/>
              <w:rPr>
                <w:sz w:val="17"/>
                <w:szCs w:val="17"/>
                <w:color w:val="auto"/>
              </w:rPr>
            </w:pPr>
          </w:p>
        </w:tc>
      </w:tr>
      <w:tr>
        <w:trPr>
          <w:trHeight w:val="196"/>
        </w:trPr>
        <w:tc>
          <w:tcPr>
            <w:tcW w:w="7440" w:type="dxa"/>
            <w:vAlign w:val="bottom"/>
            <w:tcBorders>
              <w:top w:val="single" w:sz="8" w:color="CFF0FC"/>
            </w:tcBorders>
          </w:tcPr>
          <w:p>
            <w:pPr>
              <w:ind w:left="560"/>
              <w:spacing w:after="0"/>
              <w:rPr>
                <w:sz w:val="20"/>
                <w:szCs w:val="20"/>
                <w:color w:val="auto"/>
              </w:rPr>
            </w:pPr>
            <w:r>
              <w:rPr>
                <w:rFonts w:ascii="Arial" w:cs="Arial" w:eastAsia="Arial" w:hAnsi="Arial"/>
                <w:sz w:val="17"/>
                <w:szCs w:val="17"/>
                <w:color w:val="auto"/>
              </w:rPr>
              <w:t>Cash provided by operating activities - continuing operations</w:t>
            </w:r>
          </w:p>
        </w:tc>
        <w:tc>
          <w:tcPr>
            <w:tcW w:w="1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112,275</w:t>
            </w: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198,437</w:t>
            </w:r>
          </w:p>
        </w:tc>
        <w:tc>
          <w:tcPr>
            <w:tcW w:w="80" w:type="dxa"/>
            <w:vAlign w:val="bottom"/>
            <w:tcBorders>
              <w:top w:val="single" w:sz="8" w:color="CFF0FC"/>
            </w:tcBorders>
          </w:tcPr>
          <w:p>
            <w:pPr>
              <w:spacing w:after="0"/>
              <w:rPr>
                <w:sz w:val="17"/>
                <w:szCs w:val="17"/>
                <w:color w:val="auto"/>
              </w:rPr>
            </w:pPr>
          </w:p>
        </w:tc>
      </w:tr>
      <w:tr>
        <w:trPr>
          <w:trHeight w:val="203"/>
        </w:trPr>
        <w:tc>
          <w:tcPr>
            <w:tcW w:w="7440" w:type="dxa"/>
            <w:vAlign w:val="bottom"/>
            <w:shd w:val="clear" w:color="auto" w:fill="CFF0FC"/>
          </w:tcPr>
          <w:p>
            <w:pPr>
              <w:ind w:left="560"/>
              <w:spacing w:after="0"/>
              <w:rPr>
                <w:sz w:val="20"/>
                <w:szCs w:val="20"/>
                <w:color w:val="auto"/>
              </w:rPr>
            </w:pPr>
            <w:r>
              <w:rPr>
                <w:rFonts w:ascii="Arial" w:cs="Arial" w:eastAsia="Arial" w:hAnsi="Arial"/>
                <w:sz w:val="17"/>
                <w:szCs w:val="17"/>
                <w:color w:val="auto"/>
              </w:rPr>
              <w:t>Cash used in operating activities - discontinued operations</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(2,129 )</w:t>
            </w:r>
          </w:p>
        </w:tc>
      </w:tr>
      <w:tr>
        <w:trPr>
          <w:trHeight w:val="196"/>
        </w:trPr>
        <w:tc>
          <w:tcPr>
            <w:tcW w:w="7440" w:type="dxa"/>
            <w:vAlign w:val="bottom"/>
            <w:tcBorders>
              <w:top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1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112,275</w:t>
            </w: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196,308</w:t>
            </w:r>
          </w:p>
        </w:tc>
        <w:tc>
          <w:tcPr>
            <w:tcW w:w="80" w:type="dxa"/>
            <w:vAlign w:val="bottom"/>
            <w:tcBorders>
              <w:top w:val="single" w:sz="8" w:color="CFF0FC"/>
            </w:tcBorders>
          </w:tcPr>
          <w:p>
            <w:pPr>
              <w:spacing w:after="0"/>
              <w:rPr>
                <w:sz w:val="17"/>
                <w:szCs w:val="17"/>
                <w:color w:val="auto"/>
              </w:rPr>
            </w:pPr>
          </w:p>
        </w:tc>
      </w:tr>
      <w:tr>
        <w:trPr>
          <w:trHeight w:val="196"/>
        </w:trPr>
        <w:tc>
          <w:tcPr>
            <w:tcW w:w="74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flows from investing activities: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Refunds on machinery and equipment</w:t>
            </w:r>
          </w:p>
        </w:tc>
        <w:tc>
          <w:tcPr>
            <w:tcW w:w="1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310</w:t>
            </w: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to acquire patents and software</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(218 )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(502 )</w:t>
            </w: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Proceeds from sale of property and equipment</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to acquire property and equipment</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(15,090 )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(18,378 )</w:t>
            </w:r>
          </w:p>
        </w:tc>
      </w:tr>
      <w:tr>
        <w:trPr>
          <w:trHeight w:val="20"/>
        </w:trPr>
        <w:tc>
          <w:tcPr>
            <w:tcW w:w="74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440" w:type="dxa"/>
            <w:vAlign w:val="bottom"/>
          </w:tcPr>
          <w:p>
            <w:pPr>
              <w:ind w:left="200"/>
              <w:spacing w:after="0"/>
              <w:rPr>
                <w:sz w:val="20"/>
                <w:szCs w:val="20"/>
                <w:color w:val="auto"/>
              </w:rPr>
            </w:pPr>
            <w:r>
              <w:rPr>
                <w:rFonts w:ascii="Arial" w:cs="Arial" w:eastAsia="Arial" w:hAnsi="Arial"/>
                <w:sz w:val="17"/>
                <w:szCs w:val="17"/>
                <w:color w:val="auto"/>
              </w:rPr>
              <w:t>Cash used in investing activities - continuing operations</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(15,211 )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(18,570 )</w:t>
            </w:r>
          </w:p>
        </w:tc>
      </w:tr>
      <w:tr>
        <w:trPr>
          <w:trHeight w:val="203"/>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used in investing activities - discontinued operations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(1,143 )</w:t>
            </w:r>
          </w:p>
        </w:tc>
      </w:tr>
      <w:tr>
        <w:trPr>
          <w:trHeight w:val="20"/>
        </w:trPr>
        <w:tc>
          <w:tcPr>
            <w:tcW w:w="74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440" w:type="dxa"/>
            <w:vAlign w:val="bottom"/>
          </w:tcPr>
          <w:p>
            <w:pPr>
              <w:ind w:left="740"/>
              <w:spacing w:after="0"/>
              <w:rPr>
                <w:sz w:val="20"/>
                <w:szCs w:val="20"/>
                <w:color w:val="auto"/>
              </w:rPr>
            </w:pPr>
            <w:r>
              <w:rPr>
                <w:rFonts w:ascii="Arial" w:cs="Arial" w:eastAsia="Arial" w:hAnsi="Arial"/>
                <w:sz w:val="17"/>
                <w:szCs w:val="17"/>
                <w:color w:val="auto"/>
              </w:rPr>
              <w:t>Net cash used in investing activities</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(15,211 )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(19,713 )</w:t>
            </w:r>
          </w:p>
        </w:tc>
      </w:tr>
      <w:tr>
        <w:trPr>
          <w:trHeight w:val="196"/>
        </w:trPr>
        <w:tc>
          <w:tcPr>
            <w:tcW w:w="74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flows from financing activities:</w:t>
            </w:r>
          </w:p>
        </w:tc>
        <w:tc>
          <w:tcPr>
            <w:tcW w:w="1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Proceeds from loans and notes payable</w:t>
            </w:r>
          </w:p>
        </w:tc>
        <w:tc>
          <w:tcPr>
            <w:tcW w:w="1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25,000</w:t>
            </w: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paid for debt issuance costs</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(450 )</w:t>
            </w: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Payments on finance lease obligation</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(813 )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(736 )</w:t>
            </w:r>
          </w:p>
        </w:tc>
      </w:tr>
      <w:tr>
        <w:trPr>
          <w:trHeight w:val="203"/>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on notes and loans payable</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(185,000 )</w:t>
            </w: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Distribution to discontinued operations</w:t>
            </w:r>
          </w:p>
        </w:tc>
        <w:tc>
          <w:tcPr>
            <w:tcW w:w="1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(25,000 )</w:t>
            </w:r>
          </w:p>
        </w:tc>
      </w:tr>
      <w:tr>
        <w:trPr>
          <w:trHeight w:val="203"/>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to acquire treasury stock</w:t>
            </w:r>
          </w:p>
        </w:tc>
        <w:tc>
          <w:tcPr>
            <w:tcW w:w="1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(90,000 )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(50,000 )</w:t>
            </w: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Dividend distribution</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(11,393 )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(5,594 )</w:t>
            </w:r>
          </w:p>
        </w:tc>
      </w:tr>
      <w:tr>
        <w:trPr>
          <w:trHeight w:val="158"/>
        </w:trPr>
        <w:tc>
          <w:tcPr>
            <w:tcW w:w="744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Proceeds from exercise of options to acquire common stock, including employee</w:t>
            </w:r>
          </w:p>
        </w:tc>
        <w:tc>
          <w:tcPr>
            <w:tcW w:w="1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0"/>
        </w:trPr>
        <w:tc>
          <w:tcPr>
            <w:tcW w:w="7440" w:type="dxa"/>
            <w:vAlign w:val="bottom"/>
            <w:shd w:val="clear" w:color="auto" w:fill="CFF0FC"/>
          </w:tcPr>
          <w:p>
            <w:pPr>
              <w:ind w:left="320"/>
              <w:spacing w:after="0"/>
              <w:rPr>
                <w:sz w:val="20"/>
                <w:szCs w:val="20"/>
                <w:color w:val="auto"/>
              </w:rPr>
            </w:pPr>
            <w:r>
              <w:rPr>
                <w:rFonts w:ascii="Arial" w:cs="Arial" w:eastAsia="Arial" w:hAnsi="Arial"/>
                <w:sz w:val="17"/>
                <w:szCs w:val="17"/>
                <w:color w:val="auto"/>
              </w:rPr>
              <w:t>stock purchase plan</w:t>
            </w:r>
          </w:p>
        </w:tc>
        <w:tc>
          <w:tcPr>
            <w:tcW w:w="1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2,217</w:t>
            </w:r>
          </w:p>
        </w:tc>
        <w:tc>
          <w:tcPr>
            <w:tcW w:w="80" w:type="dxa"/>
            <w:vAlign w:val="bottom"/>
            <w:shd w:val="clear" w:color="auto" w:fill="CFF0FC"/>
          </w:tcPr>
          <w:p>
            <w:pPr>
              <w:spacing w:after="0"/>
              <w:rPr>
                <w:sz w:val="19"/>
                <w:szCs w:val="19"/>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Payment of employee withholding tax related to restricted stock units</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(1,453 )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(2,201 )</w:t>
            </w:r>
          </w:p>
        </w:tc>
      </w:tr>
      <w:tr>
        <w:trPr>
          <w:trHeight w:val="196"/>
        </w:trPr>
        <w:tc>
          <w:tcPr>
            <w:tcW w:w="74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used in financing activities - continuing operations</w:t>
            </w:r>
          </w:p>
        </w:tc>
        <w:tc>
          <w:tcPr>
            <w:tcW w:w="1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(102,813</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(241,764</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Cash used in financing activities - discontinued operations</w:t>
            </w:r>
          </w:p>
        </w:tc>
        <w:tc>
          <w:tcPr>
            <w:tcW w:w="12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(166 )</w:t>
            </w:r>
          </w:p>
        </w:tc>
      </w:tr>
      <w:tr>
        <w:trPr>
          <w:trHeight w:val="196"/>
        </w:trPr>
        <w:tc>
          <w:tcPr>
            <w:tcW w:w="74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by financing activities</w:t>
            </w:r>
          </w:p>
        </w:tc>
        <w:tc>
          <w:tcPr>
            <w:tcW w:w="128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(102,813</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(241,930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440" w:type="dxa"/>
            <w:vAlign w:val="bottom"/>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2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(5,749 )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(65,335 )</w:t>
            </w:r>
          </w:p>
        </w:tc>
      </w:tr>
      <w:tr>
        <w:trPr>
          <w:trHeight w:val="365"/>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128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113,017</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125,011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196"/>
        </w:trPr>
        <w:tc>
          <w:tcPr>
            <w:tcW w:w="744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1280" w:type="dxa"/>
            <w:vAlign w:val="bottom"/>
            <w:tcBorders>
              <w:bottom w:val="single" w:sz="8" w:color="auto"/>
            </w:tcBorders>
          </w:tcPr>
          <w:p>
            <w:pPr>
              <w:jc w:val="right"/>
              <w:ind w:right="1099"/>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107,268</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59,676</w:t>
            </w:r>
          </w:p>
        </w:tc>
        <w:tc>
          <w:tcPr>
            <w:tcW w:w="8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44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Supplemental disclosure of cash flow information</w:t>
            </w:r>
          </w:p>
        </w:tc>
        <w:tc>
          <w:tcPr>
            <w:tcW w:w="1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7"/>
                <w:szCs w:val="17"/>
                <w:color w:val="auto"/>
              </w:rPr>
              <w:t>Cash paid for:</w:t>
            </w: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Interest</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2,745</w:t>
            </w:r>
          </w:p>
        </w:tc>
        <w:tc>
          <w:tcPr>
            <w:tcW w:w="80" w:type="dxa"/>
            <w:vAlign w:val="bottom"/>
            <w:shd w:val="clear" w:color="auto" w:fill="CFF0FC"/>
          </w:tcPr>
          <w:p>
            <w:pPr>
              <w:spacing w:after="0"/>
              <w:rPr>
                <w:sz w:val="17"/>
                <w:szCs w:val="17"/>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7"/>
                <w:szCs w:val="17"/>
                <w:color w:val="auto"/>
              </w:rPr>
              <w:t>Income taxes</w:t>
            </w:r>
          </w:p>
        </w:tc>
        <w:tc>
          <w:tcPr>
            <w:tcW w:w="1280" w:type="dxa"/>
            <w:vAlign w:val="bottom"/>
          </w:tcPr>
          <w:p>
            <w:pPr>
              <w:jc w:val="right"/>
              <w:ind w:right="1099"/>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49,402</w:t>
            </w:r>
          </w:p>
        </w:tc>
        <w:tc>
          <w:tcPr>
            <w:tcW w:w="2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63,525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-4317365</wp:posOffset>
            </wp:positionV>
            <wp:extent cx="514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-4317365</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-4051300</wp:posOffset>
            </wp:positionV>
            <wp:extent cx="514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-4051300</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-3262630</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-3262630</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-2997200</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-2997200</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-1050925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-1050925</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-682625</wp:posOffset>
            </wp:positionV>
            <wp:extent cx="514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-682625</wp:posOffset>
            </wp:positionV>
            <wp:extent cx="514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03" w:right="1440"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8" w:name="page9"/>
    <w:bookmarkEnd w:id="8"/>
    <w:p>
      <w:pPr>
        <w:jc w:val="center"/>
        <w:spacing w:after="0" w:line="250"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CASH FLOWS - (Continued) (Unaudited)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Disclosure of Non-cash Investing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3400" w:type="dxa"/>
            <w:vAlign w:val="bottom"/>
            <w:tcBorders>
              <w:bottom w:val="single" w:sz="8" w:color="auto"/>
            </w:tcBorders>
            <w:gridSpan w:val="5"/>
          </w:tcPr>
          <w:p>
            <w:pPr>
              <w:jc w:val="center"/>
              <w:ind w:left="442"/>
              <w:spacing w:after="0"/>
              <w:rPr>
                <w:sz w:val="20"/>
                <w:szCs w:val="20"/>
                <w:color w:val="auto"/>
              </w:rPr>
            </w:pPr>
            <w:r>
              <w:rPr>
                <w:rFonts w:ascii="Arial" w:cs="Arial" w:eastAsia="Arial" w:hAnsi="Arial"/>
                <w:sz w:val="14"/>
                <w:szCs w:val="14"/>
                <w:b w:val="1"/>
                <w:bCs w:val="1"/>
                <w:color w:val="auto"/>
                <w:w w:val="94"/>
              </w:rPr>
              <w:t>For the Nine Months Ended January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240" w:type="dxa"/>
            <w:vAlign w:val="bottom"/>
          </w:tcPr>
          <w:p>
            <w:pPr>
              <w:spacing w:after="0"/>
              <w:rPr>
                <w:sz w:val="14"/>
                <w:szCs w:val="14"/>
                <w:color w:val="auto"/>
              </w:rPr>
            </w:pPr>
          </w:p>
        </w:tc>
        <w:tc>
          <w:tcPr>
            <w:tcW w:w="14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3"/>
          </w:tcPr>
          <w:p>
            <w:pPr>
              <w:jc w:val="center"/>
              <w:ind w:left="76"/>
              <w:spacing w:after="0"/>
              <w:rPr>
                <w:sz w:val="20"/>
                <w:szCs w:val="20"/>
                <w:color w:val="auto"/>
              </w:rPr>
            </w:pPr>
            <w:r>
              <w:rPr>
                <w:rFonts w:ascii="Arial" w:cs="Arial" w:eastAsia="Arial" w:hAnsi="Arial"/>
                <w:sz w:val="14"/>
                <w:szCs w:val="14"/>
                <w:color w:val="auto"/>
                <w:w w:val="91"/>
              </w:rPr>
              <w:t>(In thousands)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property and equipment included in accounts payable</w:t>
            </w:r>
          </w:p>
        </w:tc>
        <w:tc>
          <w:tcPr>
            <w:tcW w:w="1400" w:type="dxa"/>
            <w:vAlign w:val="bottom"/>
            <w:shd w:val="clear" w:color="auto" w:fill="CFF0FC"/>
          </w:tcPr>
          <w:p>
            <w:pPr>
              <w:jc w:val="right"/>
              <w:ind w:right="122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679</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9"/>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817</w:t>
            </w:r>
          </w:p>
        </w:tc>
        <w:tc>
          <w:tcPr>
            <w:tcW w:w="60" w:type="dxa"/>
            <w:vAlign w:val="bottom"/>
            <w:shd w:val="clear" w:color="auto" w:fill="CFF0FC"/>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Machinery and equipment on deposit placed into service</w:t>
            </w:r>
          </w:p>
        </w:tc>
        <w:tc>
          <w:tcPr>
            <w:tcW w:w="140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1,855</w:t>
            </w:r>
          </w:p>
        </w:tc>
        <w:tc>
          <w:tcPr>
            <w:tcW w:w="60" w:type="dxa"/>
            <w:vAlign w:val="bottom"/>
          </w:tcPr>
          <w:p>
            <w:pPr>
              <w:spacing w:after="0"/>
              <w:rPr>
                <w:sz w:val="20"/>
                <w:szCs w:val="20"/>
                <w:color w:val="auto"/>
              </w:rPr>
            </w:pPr>
          </w:p>
        </w:tc>
      </w:tr>
    </w:tbl>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4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 xml:space="preserve">We are one of the world’s leading manufacturers and designers of firearms. We manufacture a wide array of handguns (including revolvers and pistols), long guns (including modern sporting rifles, bolt action rifles, and muzzleloaders), handcuffs,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M&amp;P, Thompson/Center Arms, and Gemtech brands. We manufacture our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 We plan to move our headquarters and certain of our manufacturing operations to a new facility being constructed in Maryville, Tennessee. See Note 10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more information regarding such plan to move.</w:t>
      </w:r>
    </w:p>
    <w:p>
      <w:pPr>
        <w:spacing w:after="0" w:line="103"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On May 3, 2021, we announced our intent to divest our Thompson/Center Arms brand. As of January 31, 2022, we continue to evaluate our options to sell this brand. We believe our sale of the brand will not have a material impact on our financial statements or results of our operations.</w:t>
      </w:r>
    </w:p>
    <w:p>
      <w:pPr>
        <w:spacing w:after="0" w:line="13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 xml:space="preserve">On November 13, 2019, we announced that we were proceeding with a plan to spin-off our outdoor products and accessories business and create an independent publicly traded company to conduct that business, or the Separation. On August 24, 2020, or the Distribution Date, we completed the Separation. See also Note 3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more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0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i w:val="1"/>
          <w:iCs w:val="1"/>
          <w:color w:val="auto"/>
        </w:rPr>
        <w:t xml:space="preserve">Interim Financial Information – </w:t>
      </w:r>
      <w:r>
        <w:rPr>
          <w:rFonts w:ascii="Arial" w:cs="Arial" w:eastAsia="Arial" w:hAnsi="Arial"/>
          <w:sz w:val="17"/>
          <w:szCs w:val="17"/>
          <w:color w:val="auto"/>
        </w:rPr>
        <w:t>The condensed consolidated balance sheet as of January 31, 2022, the condensed consolidated statements of income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and nine months ended January 31, 2022 and 2021, the condensed consolidated statements of changes in stockholders’ equity for the three and nine months ended January 31, 2022 and 2021, and the condensed consolidated statements of cash flows for the nine months ended January 31, 2022 and 2021 have been prepared by us without audit. In our opinion, all adjustments, which include only normal recurring adjustments necessary to fairly present the financial position, results of operations, changes in stockholders’ equity, and cash flows for the three and nine months ended January 31, 2022 and for the periods presented, have been included. All intercompany transactions have been eliminated in consolidation. The consolidated balance sheet as of April 30, 2021 has been derived from our audited consolidated financial statements.</w:t>
      </w:r>
    </w:p>
    <w:p>
      <w:pPr>
        <w:spacing w:after="0" w:line="180"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2021 Form 10-K. The results of operations for the three and nine months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ended January 31, 2022 may not be indicative of the results that may be expected for the fiscal year ending April 30, 2022, or any other period.</w:t>
      </w:r>
    </w:p>
    <w:p>
      <w:pPr>
        <w:spacing w:after="0" w:line="23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December 2019, the Financial Accounting Standards Board issued Accounting Standards Update, or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Simplifying the Accounting for Income Taxes," an update that amends and simplifies the accounting for income taxes by removing certain exceptions in the existing guidance and providing new guidance to reduce complexity in certain areas. The guidance went into effect at the start of this fiscal year ending April 30, 2022 with early adoption permitted. We have reviewed the amendments in this update and determined that there were no material changes or impacts on our condensed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November 13, 2019, we announced the Separation. On the Distribution Date, at 12:01 a.m. Eastern Time, the Separation of our wholly owned subsidiary, American Outdoor Brands, Inc., a Delaware corporation, or AOUT, from our company was completed. The Separation was treated as tax free for U.S federal income tax purposes and was achieved through the transfer of all the assets and legal entities, subject to any related liabilities, associated with our outdoor products and accessories business to AOUT, or the Transfer, and the distribution of 100% of the AOUT outstanding capital stock to holders of our common stock, or the Distribution, as of the close of business on August 10, 2020, or the Record Date. In connection with the Distribution, our stockholders received one share of AOUT common stock for every four shares of our common stock held as of the close of business on the Record Date. Following the Distribution, AOUT became an independent, publicly traded company, and we retain no ownership interest in AOUT. For the nine months ended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January 31, 2021, we recorded $8.4 million in general and administrative expenses related to the Separation and there was no gain/(loss) recognized for the Separation. In connection with the Separation, we distributed $25.0 million in cash to AOUT.</w:t>
      </w:r>
    </w:p>
    <w:p>
      <w:pPr>
        <w:spacing w:after="0" w:line="19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Our common stock continues to trade on the Nasdaq Global Select Market under the ticker symbol “SWBI,” and AOUT's common stock trades on the Nasdaq Global Select Market under the ticker symbol “AOUT.” The outdoor products and accessories business historical financial data is recorded as discontinued operations. See our Current Report on Form 8-K filed with the SEC on August 26, 2020 for more information regarding the Separation. As a result of the Separation, we divested net assets of $260.4 million, which included a $25.0 million cash distribution to AOUT, in the prior fiscal year.</w:t>
      </w:r>
    </w:p>
    <w:p>
      <w:pPr>
        <w:spacing w:after="0" w:line="16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results of AOUT were previously reported in our Outdoor Products &amp; Accessories segment. The historical financial data of the outdoor products and accessories business through August 23, 2020 is recorded as discontinued operations in income from discontinued operations in the condensed consolidated financial statements. For the three and nine months ended January 31, 2021, income from discontinued operations, net of tax was $127,000 and $8.3 million, respectively.</w:t>
      </w:r>
    </w:p>
    <w:p>
      <w:pPr>
        <w:spacing w:after="0" w:line="21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In connection with the Separation, we entered into several agreements with AOUT that govern the relationship of the parties following the Separation, including a Separation and Distribution Agreement, a Tax Matters Agreement, a Transition Services Agreement, and an Employee Matters Agreement. Under the terms of the Transition Services Agreement, both companies agreed to provide each other certain transitional services, including information technology, information management, human resources, employee benefits administration, facilities, and other limited finance and accounting related services, for periods up to 24 months. Payments and operating expense reimbursements for transition services are recorded accordingly in our condensed consolidated financial statements based on the service provided.</w:t>
      </w:r>
    </w:p>
    <w:p>
      <w:pPr>
        <w:spacing w:after="0" w:line="189"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following table summarizes the major line items for the outdoor products and accessories business that are included in income from discontinued operations, net of tax, in the condensed consolidated statements of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880" w:type="dxa"/>
            <w:vAlign w:val="bottom"/>
            <w:gridSpan w:val="8"/>
          </w:tcPr>
          <w:p>
            <w:pPr>
              <w:ind w:left="80"/>
              <w:spacing w:after="0"/>
              <w:rPr>
                <w:sz w:val="20"/>
                <w:szCs w:val="20"/>
                <w:color w:val="auto"/>
              </w:rPr>
            </w:pPr>
            <w:r>
              <w:rPr>
                <w:rFonts w:ascii="Arial" w:cs="Arial" w:eastAsia="Arial" w:hAnsi="Arial"/>
                <w:sz w:val="14"/>
                <w:szCs w:val="14"/>
                <w:b w:val="1"/>
                <w:bCs w:val="1"/>
                <w:color w:val="auto"/>
              </w:rPr>
              <w:t>For the Three Months Ended January 31,</w:t>
            </w:r>
          </w:p>
        </w:tc>
        <w:tc>
          <w:tcPr>
            <w:tcW w:w="26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For the Nine Months Ended January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4"/>
          </w:tcPr>
          <w:p>
            <w:pPr>
              <w:jc w:val="right"/>
              <w:ind w:right="16"/>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revenues</w:t>
            </w:r>
          </w:p>
        </w:tc>
        <w:tc>
          <w:tcPr>
            <w:tcW w:w="920" w:type="dxa"/>
            <w:vAlign w:val="bottom"/>
            <w:shd w:val="clear" w:color="auto" w:fill="CCECFF"/>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CFF"/>
          </w:tcPr>
          <w:p>
            <w:pPr>
              <w:ind w:left="140"/>
              <w:spacing w:after="0" w:line="202" w:lineRule="exact"/>
              <w:rPr>
                <w:sz w:val="20"/>
                <w:szCs w:val="20"/>
                <w:color w:val="auto"/>
              </w:rPr>
            </w:pPr>
            <w:r>
              <w:rPr>
                <w:rFonts w:ascii="Arial" w:cs="Arial" w:eastAsia="Arial" w:hAnsi="Arial"/>
                <w:sz w:val="18"/>
                <w:szCs w:val="18"/>
                <w:color w:val="auto"/>
                <w:w w:val="88"/>
              </w:rPr>
              <w:t>—</w:t>
            </w:r>
          </w:p>
        </w:tc>
        <w:tc>
          <w:tcPr>
            <w:tcW w:w="520" w:type="dxa"/>
            <w:vAlign w:val="bottom"/>
            <w:gridSpan w:val="3"/>
            <w:shd w:val="clear" w:color="auto" w:fill="CCEC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C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jc w:val="right"/>
              <w:ind w:right="19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ind w:left="64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tcBorders>
              <w:left w:val="single" w:sz="8" w:color="CCECFF"/>
            </w:tcBorders>
            <w:gridSpan w:val="2"/>
            <w:shd w:val="clear" w:color="auto" w:fill="CCEC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61,249</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920" w:type="dxa"/>
            <w:vAlign w:val="bottom"/>
          </w:tcPr>
          <w:p>
            <w:pPr>
              <w:spacing w:after="0"/>
              <w:rPr>
                <w:sz w:val="17"/>
                <w:szCs w:val="17"/>
                <w:color w:val="auto"/>
              </w:rPr>
            </w:pP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4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27,147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Borders>
              <w:left w:val="single" w:sz="8" w:color="CFF0FC"/>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23,458</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Other income/(expense), net</w:t>
            </w:r>
          </w:p>
        </w:tc>
        <w:tc>
          <w:tcPr>
            <w:tcW w:w="920" w:type="dxa"/>
            <w:vAlign w:val="bottom"/>
          </w:tcPr>
          <w:p>
            <w:pPr>
              <w:spacing w:after="0"/>
              <w:rPr>
                <w:sz w:val="17"/>
                <w:szCs w:val="17"/>
                <w:color w:val="auto"/>
              </w:rPr>
            </w:pP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60" w:type="dxa"/>
            <w:vAlign w:val="bottom"/>
            <w:shd w:val="clear" w:color="auto" w:fill="CCECFF"/>
          </w:tcPr>
          <w:p>
            <w:pPr>
              <w:ind w:left="20"/>
              <w:spacing w:after="0" w:line="156" w:lineRule="exact"/>
              <w:rPr>
                <w:sz w:val="20"/>
                <w:szCs w:val="20"/>
                <w:color w:val="auto"/>
              </w:rPr>
            </w:pPr>
            <w:r>
              <w:rPr>
                <w:rFonts w:ascii="Arial" w:cs="Arial" w:eastAsia="Arial" w:hAnsi="Arial"/>
                <w:sz w:val="18"/>
                <w:szCs w:val="18"/>
                <w:color w:val="auto"/>
              </w:rPr>
              <w:t>Income/(loss) from discontinued operations before</w:t>
            </w:r>
          </w:p>
        </w:tc>
        <w:tc>
          <w:tcPr>
            <w:tcW w:w="920" w:type="dxa"/>
            <w:vAlign w:val="bottom"/>
            <w:shd w:val="clear" w:color="auto" w:fill="CCECFF"/>
          </w:tcPr>
          <w:p>
            <w:pPr>
              <w:spacing w:after="0"/>
              <w:rPr>
                <w:sz w:val="13"/>
                <w:szCs w:val="13"/>
                <w:color w:val="auto"/>
              </w:rPr>
            </w:pPr>
          </w:p>
        </w:tc>
        <w:tc>
          <w:tcPr>
            <w:tcW w:w="320" w:type="dxa"/>
            <w:vAlign w:val="bottom"/>
            <w:vMerge w:val="restart"/>
            <w:shd w:val="clear" w:color="auto" w:fill="CCECFF"/>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840" w:type="dxa"/>
            <w:vAlign w:val="bottom"/>
            <w:vMerge w:val="restart"/>
            <w:shd w:val="clear" w:color="auto" w:fill="CCECFF"/>
          </w:tcPr>
          <w:p>
            <w:pPr>
              <w:ind w:left="640"/>
              <w:spacing w:after="0"/>
              <w:rPr>
                <w:sz w:val="20"/>
                <w:szCs w:val="20"/>
                <w:color w:val="auto"/>
              </w:rPr>
            </w:pPr>
            <w:r>
              <w:rPr>
                <w:rFonts w:ascii="Arial" w:cs="Arial" w:eastAsia="Arial" w:hAnsi="Arial"/>
                <w:sz w:val="18"/>
                <w:szCs w:val="18"/>
                <w:color w:val="auto"/>
                <w:w w:val="88"/>
              </w:rPr>
              <w:t>—</w:t>
            </w:r>
          </w:p>
        </w:tc>
        <w:tc>
          <w:tcPr>
            <w:tcW w:w="480" w:type="dxa"/>
            <w:vAlign w:val="bottom"/>
            <w:tcBorders>
              <w:left w:val="single" w:sz="8" w:color="CCECFF"/>
            </w:tcBorders>
            <w:gridSpan w:val="2"/>
            <w:vMerge w:val="restart"/>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10,756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ind w:left="16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CFF"/>
          </w:tcPr>
          <w:p>
            <w:pPr>
              <w:spacing w:after="0"/>
              <w:rPr>
                <w:sz w:val="18"/>
                <w:szCs w:val="18"/>
                <w:color w:val="auto"/>
              </w:rPr>
            </w:pPr>
          </w:p>
        </w:tc>
        <w:tc>
          <w:tcPr>
            <w:tcW w:w="320" w:type="dxa"/>
            <w:vAlign w:val="bottom"/>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40" w:type="dxa"/>
            <w:vAlign w:val="bottom"/>
            <w:gridSpan w:val="2"/>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840" w:type="dxa"/>
            <w:vAlign w:val="bottom"/>
            <w:vMerge w:val="continue"/>
            <w:shd w:val="clear" w:color="auto" w:fill="CCECFF"/>
          </w:tcPr>
          <w:p>
            <w:pPr>
              <w:spacing w:after="0"/>
              <w:rPr>
                <w:sz w:val="18"/>
                <w:szCs w:val="18"/>
                <w:color w:val="auto"/>
              </w:rPr>
            </w:pPr>
          </w:p>
        </w:tc>
        <w:tc>
          <w:tcPr>
            <w:tcW w:w="480" w:type="dxa"/>
            <w:vAlign w:val="bottom"/>
            <w:tcBorders>
              <w:left w:val="single" w:sz="8" w:color="CCECFF"/>
            </w:tcBorders>
            <w:gridSpan w:val="2"/>
            <w:vMerge w:val="continue"/>
            <w:shd w:val="clear" w:color="auto" w:fill="CCECFF"/>
          </w:tcPr>
          <w:p>
            <w:pPr>
              <w:spacing w:after="0"/>
              <w:rPr>
                <w:sz w:val="18"/>
                <w:szCs w:val="18"/>
                <w:color w:val="auto"/>
              </w:rPr>
            </w:pPr>
          </w:p>
        </w:tc>
        <w:tc>
          <w:tcPr>
            <w:tcW w:w="920" w:type="dxa"/>
            <w:vAlign w:val="bottom"/>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expense/(benefit)</w:t>
            </w:r>
          </w:p>
        </w:tc>
        <w:tc>
          <w:tcPr>
            <w:tcW w:w="920" w:type="dxa"/>
            <w:vAlign w:val="bottom"/>
          </w:tcPr>
          <w:p>
            <w:pPr>
              <w:spacing w:after="0"/>
              <w:rPr>
                <w:sz w:val="17"/>
                <w:szCs w:val="17"/>
                <w:color w:val="auto"/>
              </w:rPr>
            </w:pP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ind w:left="64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Income from discontinued operations, net of tax</w:t>
            </w:r>
          </w:p>
        </w:tc>
        <w:tc>
          <w:tcPr>
            <w:tcW w:w="920" w:type="dxa"/>
            <w:vAlign w:val="bottom"/>
            <w:tcBorders>
              <w:top w:val="single" w:sz="8" w:color="auto"/>
              <w:bottom w:val="single" w:sz="8" w:color="auto"/>
            </w:tcBorders>
            <w:shd w:val="clear" w:color="auto" w:fill="CCECFF"/>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CFF"/>
          </w:tcPr>
          <w:p>
            <w:pPr>
              <w:ind w:left="14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CFF"/>
            </w:tcBorders>
            <w:gridSpan w:val="2"/>
            <w:shd w:val="clear" w:color="auto" w:fill="CCECFF"/>
          </w:tcPr>
          <w:p>
            <w:pPr>
              <w:spacing w:after="0"/>
              <w:rPr>
                <w:sz w:val="20"/>
                <w:szCs w:val="20"/>
                <w:color w:val="auto"/>
              </w:rPr>
            </w:pPr>
          </w:p>
        </w:tc>
        <w:tc>
          <w:tcPr>
            <w:tcW w:w="280" w:type="dxa"/>
            <w:vAlign w:val="bottom"/>
            <w:tcBorders>
              <w:top w:val="single" w:sz="8" w:color="auto"/>
              <w:bottom w:val="single" w:sz="8" w:color="auto"/>
            </w:tcBorders>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127</w:t>
            </w:r>
          </w:p>
        </w:tc>
        <w:tc>
          <w:tcPr>
            <w:tcW w:w="80" w:type="dxa"/>
            <w:vAlign w:val="bottom"/>
            <w:tcBorders>
              <w:bottom w:val="single" w:sz="8" w:color="CCECFF"/>
            </w:tcBorders>
            <w:shd w:val="clear" w:color="auto" w:fill="CCECFF"/>
          </w:tcPr>
          <w:p>
            <w:pPr>
              <w:spacing w:after="0"/>
              <w:rPr>
                <w:sz w:val="20"/>
                <w:szCs w:val="20"/>
                <w:color w:val="auto"/>
              </w:rPr>
            </w:pPr>
          </w:p>
        </w:tc>
        <w:tc>
          <w:tcPr>
            <w:tcW w:w="80" w:type="dxa"/>
            <w:vAlign w:val="bottom"/>
            <w:tcBorders>
              <w:bottom w:val="single" w:sz="8" w:color="CCECFF"/>
            </w:tcBorders>
            <w:shd w:val="clear" w:color="auto" w:fill="CCECFF"/>
          </w:tcPr>
          <w:p>
            <w:pPr>
              <w:spacing w:after="0"/>
              <w:rPr>
                <w:sz w:val="20"/>
                <w:szCs w:val="20"/>
                <w:color w:val="auto"/>
              </w:rPr>
            </w:pPr>
          </w:p>
        </w:tc>
        <w:tc>
          <w:tcPr>
            <w:tcW w:w="380" w:type="dxa"/>
            <w:vAlign w:val="bottom"/>
            <w:tcBorders>
              <w:top w:val="single" w:sz="8" w:color="auto"/>
              <w:bottom w:val="single" w:sz="8" w:color="auto"/>
            </w:tcBorders>
            <w:shd w:val="clear" w:color="auto" w:fill="CCECFF"/>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CFF"/>
          </w:tcPr>
          <w:p>
            <w:pPr>
              <w:ind w:left="64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left w:val="single" w:sz="8" w:color="CCECFF"/>
              <w:bottom w:val="single" w:sz="8" w:color="CCECFF"/>
            </w:tcBorders>
            <w:shd w:val="clear" w:color="auto" w:fill="CCECFF"/>
          </w:tcPr>
          <w:p>
            <w:pPr>
              <w:spacing w:after="0"/>
              <w:rPr>
                <w:sz w:val="20"/>
                <w:szCs w:val="20"/>
                <w:color w:val="auto"/>
              </w:rPr>
            </w:pPr>
          </w:p>
        </w:tc>
        <w:tc>
          <w:tcPr>
            <w:tcW w:w="280" w:type="dxa"/>
            <w:vAlign w:val="bottom"/>
            <w:tcBorders>
              <w:top w:val="single" w:sz="8" w:color="auto"/>
              <w:bottom w:val="single" w:sz="8" w:color="auto"/>
            </w:tcBorders>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8,334</w:t>
            </w:r>
          </w:p>
        </w:tc>
        <w:tc>
          <w:tcPr>
            <w:tcW w:w="8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43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lease certain of our real estate, machinery, equipment, and vehicles under non-cancelable operating lease agreements.</w:t>
      </w:r>
    </w:p>
    <w:p>
      <w:pPr>
        <w:spacing w:after="0" w:line="22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We record tenant improvement allowances as an offsetting adjustment included in our calculation of the respective right-of-use asset.</w:t>
      </w:r>
    </w:p>
    <w:p>
      <w:pPr>
        <w:spacing w:after="0" w:line="15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Many of our leases include renewal options that enable us to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amounts of assets and liabilities related to our operating and financing leases as of January 31, 2022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720" w:type="dxa"/>
            <w:vAlign w:val="bottom"/>
          </w:tcPr>
          <w:p>
            <w:pPr>
              <w:ind w:left="1180"/>
              <w:spacing w:after="0"/>
              <w:rPr>
                <w:sz w:val="20"/>
                <w:szCs w:val="20"/>
                <w:color w:val="auto"/>
              </w:rPr>
            </w:pPr>
            <w:r>
              <w:rPr>
                <w:rFonts w:ascii="Arial" w:cs="Arial" w:eastAsia="Arial" w:hAnsi="Arial"/>
                <w:sz w:val="14"/>
                <w:szCs w:val="14"/>
                <w:b w:val="1"/>
                <w:bCs w:val="1"/>
                <w:color w:val="auto"/>
              </w:rPr>
              <w:t>Balance Sheet Caption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January 31, 2022</w:t>
            </w: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Leases</w:t>
            </w:r>
          </w:p>
        </w:tc>
        <w:tc>
          <w:tcPr>
            <w:tcW w:w="3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720" w:type="dxa"/>
            <w:vAlign w:val="bottom"/>
          </w:tcPr>
          <w:p>
            <w:pPr>
              <w:spacing w:after="0"/>
              <w:rPr>
                <w:sz w:val="17"/>
                <w:szCs w:val="17"/>
                <w:color w:val="auto"/>
              </w:rPr>
            </w:pP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7,181</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3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(3,291 )</w:t>
            </w:r>
          </w:p>
        </w:tc>
      </w:tr>
      <w:tr>
        <w:trPr>
          <w:trHeight w:val="196"/>
        </w:trPr>
        <w:tc>
          <w:tcPr>
            <w:tcW w:w="548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Right-of-use assets, net</w:t>
            </w:r>
          </w:p>
        </w:tc>
        <w:tc>
          <w:tcPr>
            <w:tcW w:w="37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Other assets</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3,890</w:t>
            </w:r>
          </w:p>
        </w:tc>
        <w:tc>
          <w:tcPr>
            <w:tcW w:w="100" w:type="dxa"/>
            <w:vAlign w:val="bottom"/>
            <w:tcBorders>
              <w:top w:val="single" w:sz="8" w:color="CFF0FC"/>
            </w:tcBorders>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80" w:type="dxa"/>
            <w:vAlign w:val="bottom"/>
            <w:shd w:val="clear" w:color="auto" w:fill="CFF0FC"/>
          </w:tcPr>
          <w:p>
            <w:pPr>
              <w:spacing w:after="0"/>
              <w:rPr>
                <w:sz w:val="15"/>
                <w:szCs w:val="15"/>
                <w:color w:val="auto"/>
              </w:rPr>
            </w:pPr>
          </w:p>
        </w:tc>
        <w:tc>
          <w:tcPr>
            <w:tcW w:w="3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 and deferred revenue</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1,476</w:t>
            </w:r>
          </w:p>
        </w:tc>
        <w:tc>
          <w:tcPr>
            <w:tcW w:w="100" w:type="dxa"/>
            <w:vAlign w:val="bottom"/>
          </w:tcPr>
          <w:p>
            <w:pPr>
              <w:spacing w:after="0"/>
              <w:rPr>
                <w:sz w:val="17"/>
                <w:szCs w:val="17"/>
                <w:color w:val="auto"/>
              </w:rPr>
            </w:pPr>
          </w:p>
        </w:tc>
      </w:tr>
      <w:tr>
        <w:trPr>
          <w:trHeight w:val="203"/>
        </w:trPr>
        <w:tc>
          <w:tcPr>
            <w:tcW w:w="5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3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80" w:type="dxa"/>
            <w:vAlign w:val="bottom"/>
          </w:tcPr>
          <w:p>
            <w:pPr>
              <w:ind w:left="200"/>
              <w:spacing w:after="0" w:line="182" w:lineRule="exact"/>
              <w:rPr>
                <w:sz w:val="20"/>
                <w:szCs w:val="20"/>
                <w:color w:val="auto"/>
              </w:rPr>
            </w:pPr>
            <w:r>
              <w:rPr>
                <w:rFonts w:ascii="Arial" w:cs="Arial" w:eastAsia="Arial" w:hAnsi="Arial"/>
                <w:sz w:val="18"/>
                <w:szCs w:val="18"/>
                <w:color w:val="auto"/>
              </w:rPr>
              <w:t>Total operating lease liabilities</w:t>
            </w:r>
          </w:p>
        </w:tc>
        <w:tc>
          <w:tcPr>
            <w:tcW w:w="3720" w:type="dxa"/>
            <w:vAlign w:val="bottom"/>
          </w:tcPr>
          <w:p>
            <w:pPr>
              <w:spacing w:after="0"/>
              <w:rPr>
                <w:sz w:val="17"/>
                <w:szCs w:val="17"/>
                <w:color w:val="auto"/>
              </w:rPr>
            </w:pPr>
          </w:p>
        </w:tc>
        <w:tc>
          <w:tcPr>
            <w:tcW w:w="4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4,161</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Finance Leases</w:t>
            </w:r>
          </w:p>
        </w:tc>
        <w:tc>
          <w:tcPr>
            <w:tcW w:w="3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720" w:type="dxa"/>
            <w:vAlign w:val="bottom"/>
          </w:tcPr>
          <w:p>
            <w:pPr>
              <w:spacing w:after="0"/>
              <w:rPr>
                <w:sz w:val="17"/>
                <w:szCs w:val="17"/>
                <w:color w:val="auto"/>
              </w:rPr>
            </w:pP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40,986</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3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(5,808 )</w:t>
            </w:r>
          </w:p>
        </w:tc>
      </w:tr>
      <w:tr>
        <w:trPr>
          <w:trHeight w:val="196"/>
        </w:trPr>
        <w:tc>
          <w:tcPr>
            <w:tcW w:w="548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Right-of-use assets, net</w:t>
            </w:r>
          </w:p>
        </w:tc>
        <w:tc>
          <w:tcPr>
            <w:tcW w:w="37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35,178</w:t>
            </w:r>
          </w:p>
        </w:tc>
        <w:tc>
          <w:tcPr>
            <w:tcW w:w="100" w:type="dxa"/>
            <w:vAlign w:val="bottom"/>
            <w:tcBorders>
              <w:top w:val="single" w:sz="8" w:color="CFF0FC"/>
            </w:tcBorders>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80" w:type="dxa"/>
            <w:vAlign w:val="bottom"/>
            <w:shd w:val="clear" w:color="auto" w:fill="CFF0FC"/>
          </w:tcPr>
          <w:p>
            <w:pPr>
              <w:spacing w:after="0"/>
              <w:rPr>
                <w:sz w:val="15"/>
                <w:szCs w:val="15"/>
                <w:color w:val="auto"/>
              </w:rPr>
            </w:pPr>
          </w:p>
        </w:tc>
        <w:tc>
          <w:tcPr>
            <w:tcW w:w="3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 and deferred revenue</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1,131</w:t>
            </w:r>
          </w:p>
        </w:tc>
        <w:tc>
          <w:tcPr>
            <w:tcW w:w="100" w:type="dxa"/>
            <w:vAlign w:val="bottom"/>
          </w:tcPr>
          <w:p>
            <w:pPr>
              <w:spacing w:after="0"/>
              <w:rPr>
                <w:sz w:val="17"/>
                <w:szCs w:val="17"/>
                <w:color w:val="auto"/>
              </w:rPr>
            </w:pPr>
          </w:p>
        </w:tc>
      </w:tr>
      <w:tr>
        <w:trPr>
          <w:trHeight w:val="203"/>
        </w:trPr>
        <w:tc>
          <w:tcPr>
            <w:tcW w:w="5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3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payable, net of current portion</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37,930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80" w:type="dxa"/>
            <w:vAlign w:val="bottom"/>
          </w:tcPr>
          <w:p>
            <w:pPr>
              <w:ind w:left="200"/>
              <w:spacing w:after="0" w:line="182" w:lineRule="exact"/>
              <w:rPr>
                <w:sz w:val="20"/>
                <w:szCs w:val="20"/>
                <w:color w:val="auto"/>
              </w:rPr>
            </w:pPr>
            <w:r>
              <w:rPr>
                <w:rFonts w:ascii="Arial" w:cs="Arial" w:eastAsia="Arial" w:hAnsi="Arial"/>
                <w:sz w:val="18"/>
                <w:szCs w:val="18"/>
                <w:color w:val="auto"/>
              </w:rPr>
              <w:t>Total finance lease liabilities</w:t>
            </w:r>
          </w:p>
        </w:tc>
        <w:tc>
          <w:tcPr>
            <w:tcW w:w="3720" w:type="dxa"/>
            <w:vAlign w:val="bottom"/>
          </w:tcPr>
          <w:p>
            <w:pPr>
              <w:spacing w:after="0"/>
              <w:rPr>
                <w:sz w:val="17"/>
                <w:szCs w:val="17"/>
                <w:color w:val="auto"/>
              </w:rPr>
            </w:pPr>
          </w:p>
        </w:tc>
        <w:tc>
          <w:tcPr>
            <w:tcW w:w="4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39,061</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-1805305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-1256665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For the three months ended January 31, 2022, we recorded $434,000 of operating lease costs, of which $35,000 related to short-term leases that were not recorded as right-of-use assets. We recorded $525,000 of financing lease amortization and $491,000 of financing lease interest expense for the three months ended January 31, 2022. For the nine months ended January 31, 2022, we recorded $1.3 million of operating lease costs, of which $106,000 related to short-term leases that were not recorded as right-of-use assets. We recorded $1.6 million of financing lease amortization and $1.5 million of financing lease interest expense for the nine months ended January 31, 2022. As of January 31, 2022, our weighted average lease term and weighted average discount rate for our operating leases were 2.1 years and 4.4%, respectively. As of January 31, 2022, our weighted average lease term and weighted average discount rate for our financing leases were 16.7 years and 5.0%, respectively, and consisted primarily of our Missouri distribution facility. The depreciable lives of right-of-use assets are limited by the lease term and are amortized on a straight-line basis over the life of the lease.</w:t>
      </w:r>
    </w:p>
    <w:p>
      <w:pPr>
        <w:spacing w:after="0" w:line="22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With the completion of the Separation, we entered into a sublease whereby AOUT subleases from us 59.0% of our Missouri distribution facility under the same terms as the master lease. For the nine months ended January 31, 2022, we recorded $1.6 million of income related to this sublease agreement, which was recorded in other income in our condensed consolidated statements of income.</w:t>
      </w:r>
    </w:p>
    <w:p>
      <w:pPr>
        <w:spacing w:after="0" w:line="16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represents future expected undiscounted cashflows, based on the sublease agreement with AOUT, to be received on an annual basis for the next five years and thereafter, as of January 31,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Fiscal</w:t>
            </w:r>
          </w:p>
        </w:tc>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4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50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7"/>
                <w:szCs w:val="17"/>
                <w:color w:val="auto"/>
              </w:rPr>
            </w:pPr>
          </w:p>
        </w:tc>
      </w:tr>
      <w:tr>
        <w:trPr>
          <w:trHeight w:val="202"/>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1,897</w:t>
            </w:r>
          </w:p>
        </w:tc>
        <w:tc>
          <w:tcPr>
            <w:tcW w:w="100" w:type="dxa"/>
            <w:vAlign w:val="bottom"/>
          </w:tcPr>
          <w:p>
            <w:pPr>
              <w:spacing w:after="0"/>
              <w:rPr>
                <w:sz w:val="17"/>
                <w:szCs w:val="17"/>
                <w:color w:val="auto"/>
              </w:rPr>
            </w:pPr>
          </w:p>
        </w:tc>
      </w:tr>
      <w:tr>
        <w:trPr>
          <w:trHeight w:val="203"/>
        </w:trPr>
        <w:tc>
          <w:tcPr>
            <w:tcW w:w="4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5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c>
          <w:tcPr>
            <w:tcW w:w="100" w:type="dxa"/>
            <w:vAlign w:val="bottom"/>
          </w:tcPr>
          <w:p>
            <w:pPr>
              <w:spacing w:after="0"/>
              <w:rPr>
                <w:sz w:val="17"/>
                <w:szCs w:val="17"/>
                <w:color w:val="auto"/>
              </w:rPr>
            </w:pPr>
          </w:p>
        </w:tc>
      </w:tr>
      <w:tr>
        <w:trPr>
          <w:trHeight w:val="203"/>
        </w:trPr>
        <w:tc>
          <w:tcPr>
            <w:tcW w:w="4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5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1,998</w:t>
            </w:r>
          </w:p>
        </w:tc>
        <w:tc>
          <w:tcPr>
            <w:tcW w:w="100" w:type="dxa"/>
            <w:vAlign w:val="bottom"/>
            <w:shd w:val="clear" w:color="auto" w:fill="CFF0FC"/>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28,547</w:t>
            </w:r>
          </w:p>
        </w:tc>
        <w:tc>
          <w:tcPr>
            <w:tcW w:w="100" w:type="dxa"/>
            <w:vAlign w:val="bottom"/>
          </w:tcPr>
          <w:p>
            <w:pPr>
              <w:spacing w:after="0"/>
              <w:rPr>
                <w:sz w:val="17"/>
                <w:szCs w:val="17"/>
                <w:color w:val="auto"/>
              </w:rPr>
            </w:pPr>
          </w:p>
        </w:tc>
      </w:tr>
      <w:tr>
        <w:trPr>
          <w:trHeight w:val="196"/>
        </w:trPr>
        <w:tc>
          <w:tcPr>
            <w:tcW w:w="4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sublease receipts</w:t>
            </w:r>
          </w:p>
        </w:tc>
        <w:tc>
          <w:tcPr>
            <w:tcW w:w="50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20" w:type="dxa"/>
            <w:vAlign w:val="bottom"/>
          </w:tcPr>
          <w:p>
            <w:pPr>
              <w:ind w:left="20"/>
              <w:spacing w:after="0" w:line="196" w:lineRule="exact"/>
              <w:rPr>
                <w:sz w:val="20"/>
                <w:szCs w:val="20"/>
                <w:color w:val="auto"/>
              </w:rPr>
            </w:pPr>
            <w:r>
              <w:rPr>
                <w:rFonts w:ascii="Arial" w:cs="Arial" w:eastAsia="Arial" w:hAnsi="Arial"/>
                <w:sz w:val="18"/>
                <w:szCs w:val="18"/>
                <w:color w:val="auto"/>
              </w:rPr>
              <w:t>Less amounts representing interest</w:t>
            </w: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(12,408 )</w:t>
            </w:r>
          </w:p>
        </w:tc>
      </w:tr>
      <w:tr>
        <w:trPr>
          <w:trHeight w:val="236"/>
        </w:trPr>
        <w:tc>
          <w:tcPr>
            <w:tcW w:w="4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Present value of sublease receipts</w:t>
            </w:r>
          </w:p>
        </w:tc>
        <w:tc>
          <w:tcPr>
            <w:tcW w:w="50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24,399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56"/>
        </w:trPr>
        <w:tc>
          <w:tcPr>
            <w:tcW w:w="4020" w:type="dxa"/>
            <w:vAlign w:val="bottom"/>
          </w:tcPr>
          <w:p>
            <w:pPr>
              <w:spacing w:after="0"/>
              <w:rPr>
                <w:sz w:val="24"/>
                <w:szCs w:val="24"/>
                <w:color w:val="auto"/>
              </w:rPr>
            </w:pPr>
          </w:p>
        </w:tc>
        <w:tc>
          <w:tcPr>
            <w:tcW w:w="5020" w:type="dxa"/>
            <w:vAlign w:val="bottom"/>
          </w:tcPr>
          <w:p>
            <w:pPr>
              <w:jc w:val="right"/>
              <w:ind w:right="323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5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-802005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lease payments for all our operating and finance leases for succeeding fiscal years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Financing</w:t>
            </w:r>
          </w:p>
        </w:tc>
        <w:tc>
          <w:tcPr>
            <w:tcW w:w="300" w:type="dxa"/>
            <w:vAlign w:val="bottom"/>
          </w:tcPr>
          <w:p>
            <w:pPr>
              <w:spacing w:after="0"/>
              <w:rPr>
                <w:sz w:val="16"/>
                <w:szCs w:val="16"/>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761</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3,071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4,746</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4,742</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3,180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3,504</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3,536</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45,548</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45,945</w:t>
            </w:r>
          </w:p>
        </w:tc>
        <w:tc>
          <w:tcPr>
            <w:tcW w:w="100" w:type="dxa"/>
            <w:vAlign w:val="bottom"/>
          </w:tcPr>
          <w:p>
            <w:pPr>
              <w:spacing w:after="0"/>
              <w:rPr>
                <w:sz w:val="17"/>
                <w:szCs w:val="17"/>
                <w:color w:val="auto"/>
              </w:rPr>
            </w:pPr>
          </w:p>
        </w:tc>
      </w:tr>
      <w:tr>
        <w:trPr>
          <w:trHeight w:val="196"/>
        </w:trPr>
        <w:tc>
          <w:tcPr>
            <w:tcW w:w="69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lease payments</w:t>
            </w: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4,730</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58,920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63,650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ind w:left="20"/>
              <w:spacing w:after="0" w:line="196" w:lineRule="exact"/>
              <w:rPr>
                <w:sz w:val="20"/>
                <w:szCs w:val="20"/>
                <w:color w:val="auto"/>
              </w:rPr>
            </w:pPr>
            <w:r>
              <w:rPr>
                <w:rFonts w:ascii="Arial" w:cs="Arial" w:eastAsia="Arial" w:hAnsi="Arial"/>
                <w:sz w:val="18"/>
                <w:szCs w:val="18"/>
                <w:color w:val="auto"/>
              </w:rPr>
              <w:t>Less amounts representing interest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(569 )</w:t>
            </w:r>
          </w:p>
        </w:tc>
        <w:tc>
          <w:tcPr>
            <w:tcW w:w="220" w:type="dxa"/>
            <w:vAlign w:val="bottom"/>
          </w:tcPr>
          <w:p>
            <w:pPr>
              <w:spacing w:after="0"/>
              <w:rPr>
                <w:sz w:val="17"/>
                <w:szCs w:val="17"/>
                <w:color w:val="auto"/>
              </w:rPr>
            </w:pP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(19,859 )</w:t>
            </w: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(20,428 )</w:t>
            </w: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lease payments</w:t>
            </w: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4,161</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39,061</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43,222</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Less current maturities of lease liabilities</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(1,476 )</w:t>
            </w:r>
          </w:p>
        </w:tc>
        <w:tc>
          <w:tcPr>
            <w:tcW w:w="2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(1,131 )</w:t>
            </w: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(2,607 )</w:t>
            </w:r>
          </w:p>
        </w:tc>
      </w:tr>
      <w:tr>
        <w:trPr>
          <w:trHeight w:val="236"/>
        </w:trPr>
        <w:tc>
          <w:tcPr>
            <w:tcW w:w="69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Long-term maturities of lease liabilities</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2,685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37,930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40,615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-561975</wp:posOffset>
            </wp:positionV>
            <wp:extent cx="596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-561975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three and nine months ended January 31, 2022, the cash paid for amounts included in the measurement of the liabilities and the operating cash flows was $1.1 million and $3.3 million,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Loans Payable, and Financing Arrangements: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 On August 24, 2020, we and certain of our subsidiaries entered into an amended and restated credit agreement, or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amended and restated our former credit agreement dated as of June 15, 2015. The Amended and Restated Credit Agreement is currently unsecured; however, should any Springing Lien Trigger Event (as defined in the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Amended and Restated Credit Agreement provides for a revolving line of credit of $100.0 million at any one time, or the Revolving Line. The Revolving Line bears interest at either the Base Rate (as defined in the Amended and Restated Credit Agreement)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Adjusted Consolidated Leverage Ratio (as defined in the Amended and Restated Credit Agreement).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(as defined in the Amended and Restated Credit Agreement) under the Amended and Restated Credit Agreement.</w:t>
      </w:r>
    </w:p>
    <w:p>
      <w:pPr>
        <w:spacing w:after="0" w:line="18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January 31, 2022, we did not have any borrowings outstanding on the Revolving Line. Had there been borrowings, they would have borne an interest rate of 1.61%, which is equal to the LIBOR rate plus an applicable margin.</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As of January 31, 2022, we were compliant with all required financial covenants.</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January 31, 2022, we had outstanding letters of credit aggregating $2.7 million, which included a $1.5 million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to collateralize our captive insurance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0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We follow the provisions of Accounting Standards Codification, or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 at the measurement date (e.g., active exchange-traded equity securities, listed derivatives, and most U.S. Government and agency securities).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cash and cash equivalents, which are measured at fair value on a recurring basis, totaled $107.3 million and $113.0 million as of January 31, 2022 and April 30, 2021, respectively. We utilized Level 1 of the value hierarchy to determine the fair values of these assets.</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are based on quoted prices of instruments with similar attributes in active markets. Level 2 inputs include the following:</w:t>
      </w:r>
    </w:p>
    <w:p>
      <w:pPr>
        <w:spacing w:after="0" w:line="63" w:lineRule="exact"/>
        <w:rPr>
          <w:sz w:val="20"/>
          <w:szCs w:val="20"/>
          <w:color w:val="auto"/>
        </w:rPr>
      </w:pPr>
    </w:p>
    <w:p>
      <w:pPr>
        <w:ind w:left="900" w:hanging="383"/>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(such as corporate and municipal bonds which trade infrequently);</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judgments about the assumptions a market participant would use in pricing the asset or liability.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2 or Level 3 financial assets or liabilities as of January 31, 2022.</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inventories, net of reserves, stated at lower of cost or net realizable value, as of January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2021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January 31, 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16"/>
                <w:szCs w:val="16"/>
                <w:color w:val="auto"/>
              </w:rPr>
            </w:pPr>
          </w:p>
        </w:tc>
      </w:tr>
      <w:tr>
        <w:trPr>
          <w:trHeight w:val="196"/>
        </w:trPr>
        <w:tc>
          <w:tcPr>
            <w:tcW w:w="338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Finished goods</w:t>
            </w:r>
          </w:p>
        </w:tc>
        <w:tc>
          <w:tcPr>
            <w:tcW w:w="4320" w:type="dxa"/>
            <w:vAlign w:val="bottom"/>
            <w:shd w:val="clear" w:color="auto" w:fill="CCECFF"/>
          </w:tcPr>
          <w:p>
            <w:pPr>
              <w:spacing w:after="0"/>
              <w:rPr>
                <w:sz w:val="17"/>
                <w:szCs w:val="17"/>
                <w:color w:val="auto"/>
              </w:rPr>
            </w:pPr>
          </w:p>
        </w:tc>
        <w:tc>
          <w:tcPr>
            <w:tcW w:w="1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50,243</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21,528</w:t>
            </w:r>
          </w:p>
        </w:tc>
        <w:tc>
          <w:tcPr>
            <w:tcW w:w="100" w:type="dxa"/>
            <w:vAlign w:val="bottom"/>
            <w:shd w:val="clear" w:color="auto" w:fill="CCECFF"/>
          </w:tcPr>
          <w:p>
            <w:pPr>
              <w:spacing w:after="0"/>
              <w:rPr>
                <w:sz w:val="17"/>
                <w:szCs w:val="17"/>
                <w:color w:val="auto"/>
              </w:rPr>
            </w:pPr>
          </w:p>
        </w:tc>
      </w:tr>
      <w:tr>
        <w:trPr>
          <w:trHeight w:val="202"/>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Finished parts</w:t>
            </w:r>
          </w:p>
        </w:tc>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64,697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41,738</w:t>
            </w:r>
          </w:p>
        </w:tc>
        <w:tc>
          <w:tcPr>
            <w:tcW w:w="100" w:type="dxa"/>
            <w:vAlign w:val="bottom"/>
          </w:tcPr>
          <w:p>
            <w:pPr>
              <w:spacing w:after="0"/>
              <w:rPr>
                <w:sz w:val="17"/>
                <w:szCs w:val="17"/>
                <w:color w:val="auto"/>
              </w:rPr>
            </w:pPr>
          </w:p>
        </w:tc>
      </w:tr>
      <w:tr>
        <w:trPr>
          <w:trHeight w:val="203"/>
        </w:trPr>
        <w:tc>
          <w:tcPr>
            <w:tcW w:w="338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432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4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7,717</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3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7,918</w:t>
            </w:r>
          </w:p>
        </w:tc>
        <w:tc>
          <w:tcPr>
            <w:tcW w:w="100" w:type="dxa"/>
            <w:vAlign w:val="bottom"/>
            <w:shd w:val="clear" w:color="auto" w:fill="CCECFF"/>
          </w:tcPr>
          <w:p>
            <w:pPr>
              <w:spacing w:after="0"/>
              <w:rPr>
                <w:sz w:val="17"/>
                <w:szCs w:val="17"/>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Raw material</w:t>
            </w:r>
          </w:p>
        </w:tc>
        <w:tc>
          <w:tcPr>
            <w:tcW w:w="4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7,293</w:t>
            </w:r>
          </w:p>
        </w:tc>
        <w:tc>
          <w:tcPr>
            <w:tcW w:w="100" w:type="dxa"/>
            <w:vAlign w:val="bottom"/>
          </w:tcPr>
          <w:p>
            <w:pPr>
              <w:spacing w:after="0"/>
              <w:rPr>
                <w:sz w:val="17"/>
                <w:szCs w:val="17"/>
                <w:color w:val="auto"/>
              </w:rPr>
            </w:pPr>
          </w:p>
        </w:tc>
      </w:tr>
      <w:tr>
        <w:trPr>
          <w:trHeight w:val="236"/>
        </w:trPr>
        <w:tc>
          <w:tcPr>
            <w:tcW w:w="3380" w:type="dxa"/>
            <w:vAlign w:val="bottom"/>
            <w:tcBorders>
              <w:bottom w:val="single" w:sz="8" w:color="CCECFF"/>
            </w:tcBorders>
            <w:shd w:val="clear" w:color="auto" w:fill="CCECFF"/>
          </w:tcPr>
          <w:p>
            <w:pPr>
              <w:ind w:left="20"/>
              <w:spacing w:after="0" w:line="182" w:lineRule="exact"/>
              <w:rPr>
                <w:sz w:val="20"/>
                <w:szCs w:val="20"/>
                <w:color w:val="auto"/>
              </w:rPr>
            </w:pPr>
            <w:r>
              <w:rPr>
                <w:rFonts w:ascii="Arial" w:cs="Arial" w:eastAsia="Arial" w:hAnsi="Arial"/>
                <w:sz w:val="18"/>
                <w:szCs w:val="18"/>
                <w:color w:val="auto"/>
              </w:rPr>
              <w:t>Total inventories</w:t>
            </w:r>
          </w:p>
        </w:tc>
        <w:tc>
          <w:tcPr>
            <w:tcW w:w="43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134,268</w:t>
            </w:r>
          </w:p>
        </w:tc>
        <w:tc>
          <w:tcPr>
            <w:tcW w:w="28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auto"/>
            </w:tcBorders>
            <w:shd w:val="clear" w:color="auto" w:fill="CCEC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78,477</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615"/>
        </w:trPr>
        <w:tc>
          <w:tcPr>
            <w:tcW w:w="3380" w:type="dxa"/>
            <w:vAlign w:val="bottom"/>
          </w:tcPr>
          <w:p>
            <w:pPr>
              <w:spacing w:after="0"/>
              <w:rPr>
                <w:sz w:val="24"/>
                <w:szCs w:val="24"/>
                <w:color w:val="auto"/>
              </w:rPr>
            </w:pPr>
          </w:p>
        </w:tc>
        <w:tc>
          <w:tcPr>
            <w:tcW w:w="4320" w:type="dxa"/>
            <w:vAlign w:val="bottom"/>
          </w:tcPr>
          <w:p>
            <w:pPr>
              <w:jc w:val="right"/>
              <w:ind w:right="189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-487680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Deferred Revenue: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other accrued expenses as of January 31, 2022 and April 30, 2021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January 31, 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16"/>
                <w:szCs w:val="16"/>
                <w:color w:val="auto"/>
              </w:rPr>
            </w:pPr>
          </w:p>
        </w:tc>
      </w:tr>
      <w:tr>
        <w:trPr>
          <w:trHeight w:val="196"/>
        </w:trPr>
        <w:tc>
          <w:tcPr>
            <w:tcW w:w="77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Accrued taxes other than income</w:t>
            </w:r>
          </w:p>
        </w:tc>
        <w:tc>
          <w:tcPr>
            <w:tcW w:w="1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8,035</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12,210</w:t>
            </w:r>
          </w:p>
        </w:tc>
        <w:tc>
          <w:tcPr>
            <w:tcW w:w="100" w:type="dxa"/>
            <w:vAlign w:val="bottom"/>
            <w:shd w:val="clear" w:color="auto" w:fill="CCECFF"/>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Accrued distributor incentives</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4,014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2,414</w:t>
            </w:r>
          </w:p>
        </w:tc>
        <w:tc>
          <w:tcPr>
            <w:tcW w:w="100" w:type="dxa"/>
            <w:vAlign w:val="bottom"/>
          </w:tcPr>
          <w:p>
            <w:pPr>
              <w:spacing w:after="0"/>
              <w:rPr>
                <w:sz w:val="17"/>
                <w:szCs w:val="17"/>
                <w:color w:val="auto"/>
              </w:rPr>
            </w:pPr>
          </w:p>
        </w:tc>
      </w:tr>
      <w:tr>
        <w:trPr>
          <w:trHeight w:val="203"/>
        </w:trPr>
        <w:tc>
          <w:tcPr>
            <w:tcW w:w="77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Accrued other</w:t>
            </w:r>
          </w:p>
        </w:tc>
        <w:tc>
          <w:tcPr>
            <w:tcW w:w="180" w:type="dxa"/>
            <w:vAlign w:val="bottom"/>
            <w:shd w:val="clear" w:color="auto" w:fill="CCECFF"/>
          </w:tcPr>
          <w:p>
            <w:pPr>
              <w:spacing w:after="0"/>
              <w:rPr>
                <w:sz w:val="17"/>
                <w:szCs w:val="17"/>
                <w:color w:val="auto"/>
              </w:rPr>
            </w:pPr>
          </w:p>
        </w:tc>
        <w:tc>
          <w:tcPr>
            <w:tcW w:w="14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3,824</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3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3,451</w:t>
            </w:r>
          </w:p>
        </w:tc>
        <w:tc>
          <w:tcPr>
            <w:tcW w:w="100" w:type="dxa"/>
            <w:vAlign w:val="bottom"/>
            <w:shd w:val="clear" w:color="auto" w:fill="CCECFF"/>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Accrued employee benefits</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3,697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4,780</w:t>
            </w:r>
          </w:p>
        </w:tc>
        <w:tc>
          <w:tcPr>
            <w:tcW w:w="100" w:type="dxa"/>
            <w:vAlign w:val="bottom"/>
          </w:tcPr>
          <w:p>
            <w:pPr>
              <w:spacing w:after="0"/>
              <w:rPr>
                <w:sz w:val="17"/>
                <w:szCs w:val="17"/>
                <w:color w:val="auto"/>
              </w:rPr>
            </w:pPr>
          </w:p>
        </w:tc>
      </w:tr>
      <w:tr>
        <w:trPr>
          <w:trHeight w:val="203"/>
        </w:trPr>
        <w:tc>
          <w:tcPr>
            <w:tcW w:w="77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CFF"/>
          </w:tcPr>
          <w:p>
            <w:pPr>
              <w:spacing w:after="0"/>
              <w:rPr>
                <w:sz w:val="17"/>
                <w:szCs w:val="17"/>
                <w:color w:val="auto"/>
              </w:rPr>
            </w:pPr>
          </w:p>
        </w:tc>
        <w:tc>
          <w:tcPr>
            <w:tcW w:w="14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2,291</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3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2,804</w:t>
            </w:r>
          </w:p>
        </w:tc>
        <w:tc>
          <w:tcPr>
            <w:tcW w:w="100" w:type="dxa"/>
            <w:vAlign w:val="bottom"/>
            <w:shd w:val="clear" w:color="auto" w:fill="CCECFF"/>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Accrued rebates and promotions</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2,207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2,174</w:t>
            </w:r>
          </w:p>
        </w:tc>
        <w:tc>
          <w:tcPr>
            <w:tcW w:w="100" w:type="dxa"/>
            <w:vAlign w:val="bottom"/>
          </w:tcPr>
          <w:p>
            <w:pPr>
              <w:spacing w:after="0"/>
              <w:rPr>
                <w:sz w:val="17"/>
                <w:szCs w:val="17"/>
                <w:color w:val="auto"/>
              </w:rPr>
            </w:pPr>
          </w:p>
        </w:tc>
      </w:tr>
      <w:tr>
        <w:trPr>
          <w:trHeight w:val="203"/>
        </w:trPr>
        <w:tc>
          <w:tcPr>
            <w:tcW w:w="77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Current portion of operating lease obligation</w:t>
            </w:r>
          </w:p>
        </w:tc>
        <w:tc>
          <w:tcPr>
            <w:tcW w:w="180" w:type="dxa"/>
            <w:vAlign w:val="bottom"/>
            <w:shd w:val="clear" w:color="auto" w:fill="CCECFF"/>
          </w:tcPr>
          <w:p>
            <w:pPr>
              <w:spacing w:after="0"/>
              <w:rPr>
                <w:sz w:val="17"/>
                <w:szCs w:val="17"/>
                <w:color w:val="auto"/>
              </w:rPr>
            </w:pPr>
          </w:p>
        </w:tc>
        <w:tc>
          <w:tcPr>
            <w:tcW w:w="14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1,476</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3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1,309</w:t>
            </w:r>
          </w:p>
        </w:tc>
        <w:tc>
          <w:tcPr>
            <w:tcW w:w="100" w:type="dxa"/>
            <w:vAlign w:val="bottom"/>
            <w:shd w:val="clear" w:color="auto" w:fill="CCECFF"/>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portion of finance lease obligation</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1,131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100" w:type="dxa"/>
            <w:vAlign w:val="bottom"/>
          </w:tcPr>
          <w:p>
            <w:pPr>
              <w:spacing w:after="0"/>
              <w:rPr>
                <w:sz w:val="17"/>
                <w:szCs w:val="17"/>
                <w:color w:val="auto"/>
              </w:rPr>
            </w:pPr>
          </w:p>
        </w:tc>
      </w:tr>
      <w:tr>
        <w:trPr>
          <w:trHeight w:val="203"/>
        </w:trPr>
        <w:tc>
          <w:tcPr>
            <w:tcW w:w="77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CECFF"/>
          </w:tcPr>
          <w:p>
            <w:pPr>
              <w:spacing w:after="0"/>
              <w:rPr>
                <w:sz w:val="17"/>
                <w:szCs w:val="17"/>
                <w:color w:val="auto"/>
              </w:rPr>
            </w:pPr>
          </w:p>
        </w:tc>
        <w:tc>
          <w:tcPr>
            <w:tcW w:w="14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182</w:t>
            </w:r>
          </w:p>
        </w:tc>
        <w:tc>
          <w:tcPr>
            <w:tcW w:w="28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13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2,907</w:t>
            </w:r>
          </w:p>
        </w:tc>
        <w:tc>
          <w:tcPr>
            <w:tcW w:w="100" w:type="dxa"/>
            <w:vAlign w:val="bottom"/>
            <w:shd w:val="clear" w:color="auto" w:fill="CCECFF"/>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deferred revenue</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26,857</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33,136</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ind w:right="9300" w:firstLine="8"/>
        <w:spacing w:after="0" w:line="362" w:lineRule="auto"/>
        <w:tabs>
          <w:tab w:leader="none" w:pos="2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i w:val="1"/>
          <w:iCs w:val="1"/>
          <w:color w:val="auto"/>
        </w:rPr>
        <w:t>Treasury Stock</w:t>
      </w:r>
    </w:p>
    <w:p>
      <w:pPr>
        <w:spacing w:after="0" w:line="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On March 2, 2021, our Board of Directors authorized the repurchase of up to $100.0 million of our common stock, subject to certain conditions, in the open market or in privately negotiated transactions. During fiscal 2021, we repurchased 3,380,447 shares of our common stock for $60.0 million under this authorization. During the nine months ended January 31, 2022,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During the nine months ended January 31, 2022, we completed this repurchase program by purchasing 2,788,152 shares of our common stock for $50.0 million, utilizing cash on hand.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following table provides a reconciliation of the net income amounts and weighted average number of common and common equivalent shares used to determine basic and diluted earnings per share for the three and nine months ended January 31, 2022 and 2021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Nine Months Ended</w:t>
            </w:r>
          </w:p>
        </w:tc>
        <w:tc>
          <w:tcPr>
            <w:tcW w:w="80" w:type="dxa"/>
            <w:vAlign w:val="bottom"/>
          </w:tcPr>
          <w:p>
            <w:pPr>
              <w:spacing w:after="0"/>
              <w:rPr>
                <w:sz w:val="14"/>
                <w:szCs w:val="14"/>
                <w:color w:val="auto"/>
              </w:rPr>
            </w:pPr>
          </w:p>
        </w:tc>
      </w:tr>
      <w:tr>
        <w:trPr>
          <w:trHeight w:val="185"/>
        </w:trPr>
        <w:tc>
          <w:tcPr>
            <w:tcW w:w="55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January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January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30,542</w:t>
            </w:r>
          </w:p>
        </w:tc>
        <w:tc>
          <w:tcPr>
            <w:tcW w:w="10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62,263</w:t>
            </w:r>
          </w:p>
        </w:tc>
        <w:tc>
          <w:tcPr>
            <w:tcW w:w="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158,359</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154,679</w:t>
            </w:r>
          </w:p>
        </w:tc>
        <w:tc>
          <w:tcPr>
            <w:tcW w:w="80" w:type="dxa"/>
            <w:vAlign w:val="bottom"/>
          </w:tcPr>
          <w:p>
            <w:pPr>
              <w:spacing w:after="0"/>
              <w:rPr>
                <w:sz w:val="17"/>
                <w:szCs w:val="17"/>
                <w:color w:val="auto"/>
              </w:rPr>
            </w:pPr>
          </w:p>
        </w:tc>
      </w:tr>
      <w:tr>
        <w:trPr>
          <w:trHeight w:val="189"/>
        </w:trPr>
        <w:tc>
          <w:tcPr>
            <w:tcW w:w="5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from discontinued operations</w:t>
            </w:r>
          </w:p>
        </w:tc>
        <w:tc>
          <w:tcPr>
            <w:tcW w:w="8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5580" w:type="dxa"/>
            <w:vAlign w:val="bottom"/>
          </w:tcPr>
          <w:p>
            <w:pPr>
              <w:ind w:left="20"/>
              <w:spacing w:after="0" w:line="169" w:lineRule="exact"/>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1"/>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w w:val="89"/>
              </w:rPr>
              <w:t>30,542</w:t>
            </w:r>
          </w:p>
        </w:tc>
        <w:tc>
          <w:tcPr>
            <w:tcW w:w="1000" w:type="dxa"/>
            <w:vAlign w:val="bottom"/>
            <w:gridSpan w:val="2"/>
          </w:tcPr>
          <w:p>
            <w:pPr>
              <w:jc w:val="right"/>
              <w:ind w:right="700"/>
              <w:spacing w:after="0" w:line="169"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w w:val="89"/>
              </w:rPr>
              <w:t>62,390</w:t>
            </w:r>
          </w:p>
        </w:tc>
        <w:tc>
          <w:tcPr>
            <w:tcW w:w="480" w:type="dxa"/>
            <w:vAlign w:val="bottom"/>
            <w:gridSpan w:val="3"/>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158,359</w:t>
            </w:r>
          </w:p>
        </w:tc>
        <w:tc>
          <w:tcPr>
            <w:tcW w:w="64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163,013</w:t>
            </w:r>
          </w:p>
        </w:tc>
        <w:tc>
          <w:tcPr>
            <w:tcW w:w="80" w:type="dxa"/>
            <w:vAlign w:val="bottom"/>
          </w:tcPr>
          <w:p>
            <w:pPr>
              <w:spacing w:after="0"/>
              <w:rPr>
                <w:sz w:val="15"/>
                <w:szCs w:val="15"/>
                <w:color w:val="auto"/>
              </w:rPr>
            </w:pPr>
          </w:p>
        </w:tc>
      </w:tr>
      <w:tr>
        <w:trPr>
          <w:trHeight w:val="20"/>
        </w:trPr>
        <w:tc>
          <w:tcPr>
            <w:tcW w:w="5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8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46,763</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55,137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47,769</w:t>
            </w: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55,515</w:t>
            </w:r>
          </w:p>
        </w:tc>
        <w:tc>
          <w:tcPr>
            <w:tcW w:w="80" w:type="dxa"/>
            <w:vAlign w:val="bottom"/>
            <w:shd w:val="clear" w:color="auto" w:fill="CFF0FC"/>
          </w:tcPr>
          <w:p>
            <w:pPr>
              <w:spacing w:after="0"/>
              <w:rPr>
                <w:sz w:val="15"/>
                <w:szCs w:val="15"/>
                <w:color w:val="auto"/>
              </w:rPr>
            </w:pPr>
          </w:p>
        </w:tc>
      </w:tr>
      <w:tr>
        <w:trPr>
          <w:trHeight w:val="189"/>
        </w:trPr>
        <w:tc>
          <w:tcPr>
            <w:tcW w:w="5580" w:type="dxa"/>
            <w:vAlign w:val="bottom"/>
          </w:tcPr>
          <w:p>
            <w:pPr>
              <w:ind w:left="20"/>
              <w:spacing w:after="0"/>
              <w:rPr>
                <w:sz w:val="20"/>
                <w:szCs w:val="20"/>
                <w:color w:val="auto"/>
              </w:rPr>
            </w:pPr>
            <w:r>
              <w:rPr>
                <w:rFonts w:ascii="Arial" w:cs="Arial" w:eastAsia="Arial" w:hAnsi="Arial"/>
                <w:sz w:val="16"/>
                <w:szCs w:val="16"/>
                <w:color w:val="auto"/>
              </w:rPr>
              <w:t>Effect of dilutive stock awards</w:t>
            </w: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80" w:type="dxa"/>
            <w:vAlign w:val="bottom"/>
          </w:tcPr>
          <w:p>
            <w:pPr>
              <w:spacing w:after="0"/>
              <w:rPr>
                <w:sz w:val="16"/>
                <w:szCs w:val="16"/>
                <w:color w:val="auto"/>
              </w:rPr>
            </w:pPr>
          </w:p>
        </w:tc>
      </w:tr>
      <w:tr>
        <w:trPr>
          <w:trHeight w:val="223"/>
        </w:trPr>
        <w:tc>
          <w:tcPr>
            <w:tcW w:w="55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Weighted average shares outstanding — Diluted</w:t>
            </w:r>
          </w:p>
        </w:tc>
        <w:tc>
          <w:tcPr>
            <w:tcW w:w="8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47,175</w:t>
            </w: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55,702</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48,307</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56,258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5580" w:type="dxa"/>
            <w:vAlign w:val="bottom"/>
          </w:tcPr>
          <w:p>
            <w:pPr>
              <w:ind w:left="20"/>
              <w:spacing w:after="0"/>
              <w:rPr>
                <w:sz w:val="20"/>
                <w:szCs w:val="20"/>
                <w:color w:val="auto"/>
              </w:rPr>
            </w:pPr>
            <w:r>
              <w:rPr>
                <w:rFonts w:ascii="Arial" w:cs="Arial" w:eastAsia="Arial" w:hAnsi="Arial"/>
                <w:sz w:val="16"/>
                <w:szCs w:val="16"/>
                <w:color w:val="auto"/>
              </w:rPr>
              <w:t>Earnings per share — Basic</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from continuing operations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FF0FC"/>
          </w:tcPr>
          <w:p>
            <w:pPr>
              <w:spacing w:after="0"/>
              <w:rPr>
                <w:sz w:val="17"/>
                <w:szCs w:val="17"/>
                <w:color w:val="auto"/>
              </w:rPr>
            </w:pPr>
          </w:p>
        </w:tc>
      </w:tr>
      <w:tr>
        <w:trPr>
          <w:trHeight w:val="203"/>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0.15</w:t>
            </w:r>
          </w:p>
        </w:tc>
        <w:tc>
          <w:tcPr>
            <w:tcW w:w="80" w:type="dxa"/>
            <w:vAlign w:val="bottom"/>
          </w:tcPr>
          <w:p>
            <w:pPr>
              <w:spacing w:after="0"/>
              <w:rPr>
                <w:sz w:val="17"/>
                <w:szCs w:val="17"/>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FF0FC"/>
          </w:tcPr>
          <w:p>
            <w:pPr>
              <w:spacing w:after="0"/>
              <w:rPr>
                <w:sz w:val="17"/>
                <w:szCs w:val="17"/>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from continuing operations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FF0FC"/>
          </w:tcPr>
          <w:p>
            <w:pPr>
              <w:spacing w:after="0"/>
              <w:rPr>
                <w:sz w:val="17"/>
                <w:szCs w:val="17"/>
                <w:color w:val="auto"/>
              </w:rPr>
            </w:pPr>
          </w:p>
        </w:tc>
      </w:tr>
      <w:tr>
        <w:trPr>
          <w:trHeight w:val="203"/>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0.15</w:t>
            </w:r>
          </w:p>
        </w:tc>
        <w:tc>
          <w:tcPr>
            <w:tcW w:w="80" w:type="dxa"/>
            <w:vAlign w:val="bottom"/>
          </w:tcPr>
          <w:p>
            <w:pPr>
              <w:spacing w:after="0"/>
              <w:rPr>
                <w:sz w:val="17"/>
                <w:szCs w:val="17"/>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-1582420</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-1582420</wp:posOffset>
            </wp:positionV>
            <wp:extent cx="431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-1582420</wp:posOffset>
            </wp:positionV>
            <wp:extent cx="431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-1582420</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-1053465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-1036320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-1053465</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-1036320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-1053465</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-1036320</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-1053465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-1036320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For the three months ended January 31, 2022 and 2021, the amount of shares excluded from the computation of diluted earnings per share was 11,739 and 14,994, respectively, because the effect would be antidilutive. For the nine months ended January 31, 2022 and 2021, the amount of shares excluded from the computation of diluted earnings per share was 22,720 and 16,724, respectively, because the effect would be antidilutive.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September 2013, our Board of Directors approved the 2013 Incentive Stock Plan under which employees and non-employees may be granted stock options, restricted stock awards, restricted stock units, stock appreciation rights, and bonus stock awards.</w:t>
      </w:r>
    </w:p>
    <w:p>
      <w:pPr>
        <w:spacing w:after="0" w:line="17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spacing w:after="0" w:line="12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total stock-based compensation expense, including stock options, purchases under our ESPP, service-based restricted stock units, or RSUs, and performance-based RSUs, or PSUs, was $3.6 million and $3.4 million for the nine months ended January 31, 2022 and 2021, respectively. We include stock-based compensation expense in cost of sales, sales and marketing, research and development, and general and administrative expenses.</w:t>
      </w:r>
    </w:p>
    <w:p>
      <w:pPr>
        <w:spacing w:after="0" w:line="14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71" w:lineRule="exact"/>
        <w:rPr>
          <w:sz w:val="20"/>
          <w:szCs w:val="20"/>
          <w:color w:val="auto"/>
        </w:rPr>
      </w:pPr>
    </w:p>
    <w:p>
      <w:pPr>
        <w:jc w:val="both"/>
        <w:ind w:firstLine="579"/>
        <w:spacing w:after="0" w:line="239" w:lineRule="auto"/>
        <w:rPr>
          <w:sz w:val="20"/>
          <w:szCs w:val="20"/>
          <w:color w:val="auto"/>
        </w:rPr>
      </w:pPr>
      <w:r>
        <w:rPr>
          <w:rFonts w:ascii="Arial" w:cs="Arial" w:eastAsia="Arial" w:hAnsi="Arial"/>
          <w:sz w:val="18"/>
          <w:szCs w:val="18"/>
          <w:color w:val="auto"/>
        </w:rPr>
        <w:t>During the nine months ended January 31, 2022, we granted an aggregate of 184,767 RSUs, including 76,547 RSUs to non-executive officer employees, 65,518 RSUs to our executive officers, and 42,702 RSUs to our directors. During the nine months ended January 31, 2022, we granted 73,913 PSUs to certain of our executive officers. During the nine months ended January 31, 2022, we cancelled 40,869 PSUs and 44,529 RSUs as a result of the service conditions not being met. In connection with the vesting of RSUs, during the nine months ended January 31, 2022, we delivered common stock to our employees and directors, including our executive officers, with a total market value of $7.1 million. In addition, in connection with a 2018 grant, 86,400 PSUs vested to certain of our executive officers and a former executive officer, which resulted from achieving the maximum performance of 200.0% of target for the original 43,200 PSUs granted.</w:t>
      </w:r>
    </w:p>
    <w:p>
      <w:pPr>
        <w:spacing w:after="0" w:line="17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nine months ended January 31, 2021, we granted an aggregate of 234,007 RSUs, including 139,976 RSUs to non-executive officer employees, 68,461 RSUs to our executive officers, and 25,570 RSUs to our directors. During the nine months ended January 31, 2021, we granted 36,308 PSUs to certain of our executive officers. During the nine months ended January 31, 2021, we cancelled 92,500 PSUs as a result of the failure to satisfy the performance metric and 88,219 RSUs as a result of the service conditions not being met. In connection with the vesting of RSUs, during the nine months ended January 31, 2021, we delivered common stock to our employees and directors, including our executive officers, with a total market value of $7.0 million.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unvested RSUs and PSUs for the nine months ended January 31, 2022 and 2021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RSUs and PSUs outstanding, beginning of period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Awarded</w:t>
      </w:r>
    </w:p>
    <w:p>
      <w:pPr>
        <w:ind w:left="20"/>
        <w:spacing w:after="0"/>
        <w:rPr>
          <w:sz w:val="20"/>
          <w:szCs w:val="20"/>
          <w:color w:val="auto"/>
        </w:rPr>
      </w:pPr>
      <w:r>
        <w:rPr>
          <w:rFonts w:ascii="Arial" w:cs="Arial" w:eastAsia="Arial" w:hAnsi="Arial"/>
          <w:sz w:val="18"/>
          <w:szCs w:val="18"/>
          <w:color w:val="auto"/>
        </w:rPr>
        <w:t>Vested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ind w:right="1780" w:firstLine="13"/>
        <w:spacing w:after="0" w:line="261" w:lineRule="auto"/>
        <w:rPr>
          <w:sz w:val="20"/>
          <w:szCs w:val="20"/>
          <w:color w:val="auto"/>
        </w:rPr>
      </w:pPr>
      <w:r>
        <w:rPr>
          <w:rFonts w:ascii="Arial" w:cs="Arial" w:eastAsia="Arial" w:hAnsi="Arial"/>
          <w:sz w:val="18"/>
          <w:szCs w:val="18"/>
          <w:color w:val="auto"/>
        </w:rPr>
        <w:t>RSUs and PSUs outstanding, end of period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For the Nine Months Ended January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2022</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60"/>
        </w:trPr>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78"/>
              <w:spacing w:after="0" w:line="160" w:lineRule="exact"/>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78"/>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75"/>
        </w:trPr>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Total # of</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 of</w:t>
            </w: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Restricted</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Grant Date</w:t>
            </w:r>
          </w:p>
        </w:tc>
        <w:tc>
          <w:tcPr>
            <w:tcW w:w="30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Stock Units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 Units</w:t>
            </w:r>
          </w:p>
        </w:tc>
        <w:tc>
          <w:tcPr>
            <w:tcW w:w="16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r>
      <w:tr>
        <w:trPr>
          <w:trHeight w:val="182"/>
        </w:trPr>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995,879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11.14</w:t>
            </w:r>
          </w:p>
        </w:tc>
        <w:tc>
          <w:tcPr>
            <w:tcW w:w="300" w:type="dxa"/>
            <w:vAlign w:val="bottom"/>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1,313,974</w:t>
            </w:r>
          </w:p>
        </w:tc>
        <w:tc>
          <w:tcPr>
            <w:tcW w:w="280" w:type="dxa"/>
            <w:vAlign w:val="bottom"/>
          </w:tcPr>
          <w:p>
            <w:pPr>
              <w:spacing w:after="0"/>
              <w:rPr>
                <w:sz w:val="15"/>
                <w:szCs w:val="15"/>
                <w:color w:val="auto"/>
              </w:rPr>
            </w:pPr>
          </w:p>
        </w:tc>
        <w:tc>
          <w:tcPr>
            <w:tcW w:w="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11.65</w:t>
            </w:r>
          </w:p>
        </w:tc>
      </w:tr>
      <w:tr>
        <w:trPr>
          <w:trHeight w:val="203"/>
        </w:trPr>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301,880</w:t>
            </w:r>
          </w:p>
        </w:tc>
        <w:tc>
          <w:tcPr>
            <w:tcW w:w="80" w:type="dxa"/>
            <w:vAlign w:val="bottom"/>
          </w:tcPr>
          <w:p>
            <w:pPr>
              <w:spacing w:after="0"/>
              <w:rPr>
                <w:sz w:val="17"/>
                <w:szCs w:val="17"/>
                <w:color w:val="auto"/>
              </w:rPr>
            </w:pPr>
          </w:p>
        </w:tc>
        <w:tc>
          <w:tcPr>
            <w:tcW w:w="5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(a)</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18.95</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270,315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16.54</w:t>
            </w:r>
          </w:p>
        </w:tc>
      </w:tr>
      <w:tr>
        <w:trPr>
          <w:trHeight w:val="203"/>
        </w:trPr>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(336,920 )</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12.52</w:t>
            </w:r>
          </w:p>
        </w:tc>
        <w:tc>
          <w:tcPr>
            <w:tcW w:w="17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(404,608 )</w:t>
            </w: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14.61</w:t>
            </w:r>
          </w:p>
        </w:tc>
      </w:tr>
      <w:tr>
        <w:trPr>
          <w:trHeight w:val="217"/>
        </w:trPr>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(85,398 )</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11.76</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(180,719 )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196"/>
        </w:trPr>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875,441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13.25</w:t>
            </w:r>
          </w:p>
        </w:tc>
        <w:tc>
          <w:tcPr>
            <w:tcW w:w="3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998,962</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11.13</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-676910</wp:posOffset>
            </wp:positionV>
            <wp:extent cx="713232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-419735</wp:posOffset>
            </wp:positionV>
            <wp:extent cx="71323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-153670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43,200 PSUs vested in connection with achieving maximum performance targets for the 2018 grant.</w:t>
      </w:r>
    </w:p>
    <w:p>
      <w:pPr>
        <w:spacing w:after="0" w:line="13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As of January 31, 2022, there was $3.5 million of unrecognized compensation expense related to unvested RSUs and PSUs. This expense is expected to be recognized over a weighted average remaining contractual term of 1.3 years.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4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 xml:space="preserve">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In June 2018, Gemini appealed the decision dismissing its complaint to the U.S. Court of Appeals for the Ninth Circuit, or the Ninth Circuit. In July 2019, the Ninth Circuit reversed the dismissal and remanded the case to the District Court to perform a traditional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analysis. In September 2019, the parties stipulated that they do not contest that the venue is proper in the District of Idaho. In November 2019, we filed an answer to Gemini’s complaint and a counterclaim against Gemini and its stockholders at the time of the signing of the asset purchase agreement. Plaintiffs amended their complaint to add a claim of fraud in the inducement. In September 2021, Gemini filed a motion for summary judgment seeking to dismiss our counterclaim. In October 2021, we filed our opposition to Gemini’s motion. No decision has issued to date. We believe the claims asserted in the complaint have no merit, and we intend to aggressively defend this action.</w:t>
      </w:r>
    </w:p>
    <w:p>
      <w:pPr>
        <w:spacing w:after="0" w:line="8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are a defendant in seven product liability cases and are aware of four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our petition to transfer and the case was returned to the trial court. The trial court granted defendants’ motion to sequence discovery, requiring the City to respond to defendants’ discovery requests by December 31, 2021. All discovery requests against the defendants are stayed until 90 days after the City responds to defendants’ discovery requests.</w:t>
      </w:r>
    </w:p>
    <w:p>
      <w:pPr>
        <w:spacing w:after="0" w:line="11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In May 2018, we were named in an action related to the Parkland, Florida shooting that was filed in the Circuit Court, Broward County, Florida seeking a declaratory judgment that a Florida statute that provides firearm manufacturers and dealers immunity from liability when their legally manufactured and lawfully sold firearms are later used in criminal acts applies only to civil actions commenced by governmental agencies, not private litigants. In August 2018, we moved to dismiss the complaint on the grounds that it seeks an impermissible advisory opinion. In December 2018, the court granted defendants’ motion to dismiss without prejudice and granted plaintiffs leave to amend their complaint. Later in December 2018, plaintiffs filed a Second Amended Complaint for Declaratory Relief and defendants filed a Motion to Dismiss Plaintiffs’ Second Amended Complaint. In November 2019, the court granted defendants’ motion to dismiss plaintiffs’ second amended complaint, with prejudice. In June 2021, upon plaintiffs’ motion, the Fourth District Court of Appeal of the State of Florida, or the Court of Appeal, ruled that the Circuit Court’s order dismissing the case was not “final and appealable,” and ordered the Circuit Court to enter a final order of dismissal. In July 2021, plaintiffs Frederic and Jennifer Guttenberg filed a notice of appeal to the Court of Appeal. Plaintiffs’ filed their initial brief in November 2021.</w:t>
      </w:r>
    </w:p>
    <w:p>
      <w:pPr>
        <w:spacing w:after="0" w:line="11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appeal is premature. In November 2021, the Divisional Court granted plaintiffs' motion, staying our motion for leave to appeal until 30 days after the decision on the balance of plaintiffs' certification motion. Plaintiffs’ certification motion is scheduled to be heard in December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1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The plaintiffs filed an opposition to our motion in December 2020. Our reply to plaintiffs’ opposition was filed in January 2021. The hearing on our motion was held in June 2021. In July 2021, the court granted our motion in part, and reversed it in part, ruling that: (1) the PLCAA barred plaintiffs’ product liability action; (2) plaintiffs did not have standing to maintain an action under the Unfair Competition Law for personal injury related damages, but giving plaintiffs leave to amend to plead an economic injury; and (3) the PLCAA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Discovery is ongoing.</w:t>
      </w:r>
    </w:p>
    <w:p>
      <w:pPr>
        <w:spacing w:after="0" w:line="8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We are a defendant in an action filed in the U.S. District Court for the District of Massachusetts. On August 4, 2021, the Mexican Government filed an action against several U.S.-based firearms manufacturers and a firearms distributor, claiming defendants design, market, distribute, and sell firearms in ways they know routinely arm the drug cartels in Mexico. Plaintiff alleges, among other claims, negligence, public nuisance, design defect, unjust enrichment and restitution against all defendants and violation of the Massachusetts Consumer Protection Act against us alone, and is seeking monetary damages and injunctive relief. In November 2021, defendants filed motions to dismiss plaintiff's complaint. On January 31, 2022, plaintiff filed its oppositions to our motions. Several amicus briefs were also filed with the court. A hearing has not yet been scheduled on our motion. We believe the claims asserted in the complaint have no merit, and we intend to aggressively defend this action.</w:t>
      </w:r>
    </w:p>
    <w:p>
      <w:pPr>
        <w:spacing w:after="0" w:line="1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a defendant in a putative class action filed on January 12, 2022, in the Circuit Court of the Eighteenth Judicial Circuit Dupage County, Illinois. The action claims damages for alleged violations of consumer protection laws, breach of implied warranty of merchantability, unjust enrichment, and negligence. Plaintiff is seeking to certify a claim on behalf of all persons who purchased an M&amp;P12 shotgun manufactured by us prior to October 15, 2021. The case has not been certified as a class action. We believe the claims asserted in the complaint have no merit and we intend to aggressively defend this action.</w:t>
      </w:r>
    </w:p>
    <w:p>
      <w:pPr>
        <w:spacing w:after="0" w:line="12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believe that the various allegations described above are unfounded, and, in addition, that any incident and any results from them or any injuries were due to negligence or misuse of the firearm by the claimant or a third party.</w:t>
      </w:r>
    </w:p>
    <w:p>
      <w:pPr>
        <w:spacing w:after="0" w:line="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03"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8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9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08" w:lineRule="exact"/>
        <w:rPr>
          <w:sz w:val="20"/>
          <w:szCs w:val="20"/>
          <w:color w:val="auto"/>
        </w:rPr>
      </w:pPr>
    </w:p>
    <w:p>
      <w:pPr>
        <w:jc w:val="both"/>
        <w:ind w:right="20" w:firstLine="509"/>
        <w:spacing w:after="0" w:line="291"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On September 30, 2021, we announced our plan to move our headquarters and significant elements of our operations to Maryville, Tennessee in 2023, or the Relocation. 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IDB in the event that our actual capital expenditures, number of employees, or average hourly wage of such employees are less than our projections.</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As part of the Relocation, we intend to vacate and sublease our Missouri distribution facility. We have received indications of interest from potential third-party sublessees, and we believe that we will not incur an impairment associated with this lease. Assets associated with our assembly operations in Massachusetts and distribution operations in Missouri continue to be fully utilized, and we intend to either move those assets to Tennessee at the appropriate time or sell or sublease those assets that will not be moved. Consequently, as of January 31, 2022, we do not believe we have an impairment with the building or assets. Subsequent to the Relocation, our Massachusetts facility will continue to remain an important part of our manufacturing activities with significant portions of the operations being unaffected by the Relocation.</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In addition, at or near the conclusion of our Connecticut building lease in May 2024, we intend to relocate a portion of our plastic injection molding operations to Tennessee and will evaluate selling the remaining molding operations utilized in our Connecticut operations to a third party. As of January 31, 2022, all plastic injection molding machinery and equipment was being utilized and therefore, we could not determine an estimated range of reasonably possible losses associated with any impairment of such assets because we have not yet determined which assets will be sold.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67" w:lineRule="exact"/>
        <w:rPr>
          <w:sz w:val="20"/>
          <w:szCs w:val="20"/>
          <w:color w:val="auto"/>
        </w:rPr>
      </w:pPr>
    </w:p>
    <w:p>
      <w:pPr>
        <w:jc w:val="both"/>
        <w:ind w:firstLine="563"/>
        <w:spacing w:after="0" w:line="261" w:lineRule="auto"/>
        <w:rPr>
          <w:sz w:val="20"/>
          <w:szCs w:val="20"/>
          <w:color w:val="auto"/>
        </w:rPr>
      </w:pPr>
      <w:r>
        <w:rPr>
          <w:rFonts w:ascii="Arial" w:cs="Arial" w:eastAsia="Arial" w:hAnsi="Arial"/>
          <w:sz w:val="18"/>
          <w:szCs w:val="18"/>
          <w:color w:val="auto"/>
        </w:rPr>
        <w:t>In June 2021, our Board of Directors authorized a regular quarterly dividend for stockholders of $0.08 per share. The dividend will be for stockholders of record as of market close on March 17, 2022 and will be payable on March 31,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12" w:lineRule="exact"/>
        <w:rPr>
          <w:sz w:val="20"/>
          <w:szCs w:val="20"/>
          <w:color w:val="auto"/>
        </w:rPr>
      </w:pPr>
    </w:p>
    <w:p>
      <w:pPr>
        <w:ind w:right="3980"/>
        <w:spacing w:after="0" w:line="362"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Please refer to the Management’s Discussion and Analysis of Financial Condition and Results of Operations in our Fiscal 2021 Annual Report and our unaudited condensed consolidated financial statements included in Item 1 of this Quarterly Report on Form 10-Q. This section sets forth key objectives and performance indicators used by us as well as key industry data tracked by us.</w:t>
      </w:r>
    </w:p>
    <w:p>
      <w:pPr>
        <w:spacing w:after="0" w:line="19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 xml:space="preserve">The results of AOUT, our former outdoor products and accessories business, which were previously reported in the Outdoor Products &amp; Accessories segment, are being presented as discontinued operations in the condensed consolidated statements of income for all periods presented following the Separation as described above. See Note 3 -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in the notes to condensed consolidated financial statements for additional information regarding these discontinued operations. Unless otherwise indicated, any reference to income statement items in this Management’s Discussion and Analysis of Financial Condition and Results of Operations refers to results from continuing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2022 Highlights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January 31, 2022 included the following:</w:t>
      </w:r>
    </w:p>
    <w:p>
      <w:pPr>
        <w:spacing w:after="0" w:line="104" w:lineRule="exact"/>
        <w:rPr>
          <w:sz w:val="20"/>
          <w:szCs w:val="20"/>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were $177.7 million, a decrease of $79.9 million, or 31.0%, from the comparable quarter last year.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was 39.6% compared with gross margin of 42.6% for the comparable quarter last year.</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continuing operations was $30.5 million, or $0.65 per diluted share, compared with income from continuing operations of $62.3 million, or $1.12 per diluted share, for the comparable quarter last year.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quarter, we purchased 2,788,152 shares of our common stock for $50.0 million, utilizing cash on hand.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nine months ended January 31, 2022 included the following:</w:t>
      </w:r>
    </w:p>
    <w:p>
      <w:pPr>
        <w:spacing w:after="0" w:line="104" w:lineRule="exact"/>
        <w:rPr>
          <w:sz w:val="20"/>
          <w:szCs w:val="20"/>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were $682.8 million, a decrease of $53.4 million, or 7.3%, from the prior year comparable period.</w:t>
      </w:r>
    </w:p>
    <w:p>
      <w:pPr>
        <w:spacing w:after="0" w:line="103" w:lineRule="exact"/>
        <w:rPr>
          <w:rFonts w:ascii="Arial" w:cs="Arial" w:eastAsia="Arial" w:hAnsi="Arial"/>
          <w:sz w:val="18"/>
          <w:szCs w:val="18"/>
          <w:color w:val="auto"/>
        </w:rPr>
      </w:pPr>
    </w:p>
    <w:p>
      <w:pPr>
        <w:ind w:left="880" w:hanging="36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was 44.3% compared with gross margin of 41.2% for the prior year comparable period.</w:t>
      </w:r>
    </w:p>
    <w:p>
      <w:pPr>
        <w:spacing w:after="0" w:line="103" w:lineRule="exact"/>
        <w:rPr>
          <w:rFonts w:ascii="Arial" w:cs="Arial" w:eastAsia="Arial" w:hAnsi="Arial"/>
          <w:sz w:val="18"/>
          <w:szCs w:val="18"/>
          <w:color w:val="auto"/>
        </w:rPr>
      </w:pPr>
    </w:p>
    <w:p>
      <w:pPr>
        <w:ind w:left="880" w:hanging="363"/>
        <w:spacing w:after="0" w:line="26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continuing operations was $158.4 million, or $3.28 per diluted share, compared with income from continuing operations of $154.7 million, or $2.75 per diluted share, for the prior year comparable period.</w:t>
      </w:r>
    </w:p>
    <w:p>
      <w:pPr>
        <w:spacing w:after="0" w:line="62" w:lineRule="exact"/>
        <w:rPr>
          <w:rFonts w:ascii="Arial" w:cs="Arial" w:eastAsia="Arial" w:hAnsi="Arial"/>
          <w:sz w:val="18"/>
          <w:szCs w:val="18"/>
          <w:color w:val="auto"/>
        </w:rPr>
      </w:pPr>
    </w:p>
    <w:p>
      <w:pPr>
        <w:jc w:val="both"/>
        <w:ind w:left="880" w:hanging="363"/>
        <w:spacing w:after="0" w:line="248"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Relocation, we expect to incur capital expenditures in connection with the construction and equipping of the new facility in an aggregate amount of no less than $120.0 million on or before December 31, 2025. Through January 31, 2022, we have incurred $8.5 million of restructuring charges related to the Relocation.</w:t>
      </w:r>
    </w:p>
    <w:p>
      <w:pPr>
        <w:spacing w:after="0" w:line="73" w:lineRule="exact"/>
        <w:rPr>
          <w:rFonts w:ascii="Arial" w:cs="Arial" w:eastAsia="Arial" w:hAnsi="Arial"/>
          <w:sz w:val="18"/>
          <w:szCs w:val="18"/>
          <w:color w:val="auto"/>
        </w:rPr>
      </w:pPr>
    </w:p>
    <w:p>
      <w:pPr>
        <w:ind w:left="880" w:hanging="36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nine months ended January 31, 2022, we purchased 4,755,572 shares of our common stock for $90.0 million, utilizing cash on hand.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 For the Three Months Ended January 31, 2022</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net sales and gross profit for the three months ended January 31, 2022 and 2021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3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Handguns</w:t>
            </w:r>
          </w:p>
        </w:tc>
        <w:tc>
          <w:tcPr>
            <w:tcW w:w="17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132,921</w:t>
            </w:r>
          </w:p>
        </w:tc>
        <w:tc>
          <w:tcPr>
            <w:tcW w:w="3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183,106</w:t>
            </w:r>
          </w:p>
        </w:tc>
        <w:tc>
          <w:tcPr>
            <w:tcW w:w="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(50,185</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Long Guns</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29,459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61,581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(32,122 )</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-52.2 %</w:t>
            </w:r>
          </w:p>
        </w:tc>
      </w:tr>
      <w:tr>
        <w:trPr>
          <w:trHeight w:val="203"/>
        </w:trPr>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Products &amp; Services</w:t>
            </w:r>
          </w:p>
        </w:tc>
        <w:tc>
          <w:tcPr>
            <w:tcW w:w="1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15,358</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12,947</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2,411</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18.6 %</w:t>
            </w:r>
          </w:p>
        </w:tc>
      </w:tr>
      <w:tr>
        <w:trPr>
          <w:trHeight w:val="20"/>
        </w:trPr>
        <w:tc>
          <w:tcPr>
            <w:tcW w:w="392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3920" w:type="dxa"/>
            <w:vAlign w:val="bottom"/>
          </w:tcPr>
          <w:p>
            <w:pPr>
              <w:ind w:left="120"/>
              <w:spacing w:after="0" w:line="196" w:lineRule="exact"/>
              <w:rPr>
                <w:sz w:val="20"/>
                <w:szCs w:val="20"/>
                <w:color w:val="auto"/>
              </w:rPr>
            </w:pPr>
            <w:r>
              <w:rPr>
                <w:rFonts w:ascii="Arial" w:cs="Arial" w:eastAsia="Arial" w:hAnsi="Arial"/>
                <w:sz w:val="18"/>
                <w:szCs w:val="18"/>
                <w:color w:val="auto"/>
              </w:rPr>
              <w:t>Total sales</w:t>
            </w:r>
          </w:p>
        </w:tc>
        <w:tc>
          <w:tcPr>
            <w:tcW w:w="17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177,738</w:t>
            </w:r>
          </w:p>
        </w:tc>
        <w:tc>
          <w:tcPr>
            <w:tcW w:w="3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257,634</w:t>
            </w:r>
          </w:p>
        </w:tc>
        <w:tc>
          <w:tcPr>
            <w:tcW w:w="3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(79,896 )</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-31.0 %</w:t>
            </w:r>
          </w:p>
        </w:tc>
      </w:tr>
      <w:tr>
        <w:trPr>
          <w:trHeight w:val="203"/>
        </w:trPr>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sales</w:t>
            </w:r>
          </w:p>
        </w:tc>
        <w:tc>
          <w:tcPr>
            <w:tcW w:w="1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107,339</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147,955</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(40,616 )</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-27.5 %</w:t>
            </w:r>
          </w:p>
        </w:tc>
      </w:tr>
      <w:tr>
        <w:trPr>
          <w:trHeight w:val="20"/>
        </w:trPr>
        <w:tc>
          <w:tcPr>
            <w:tcW w:w="392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3920" w:type="dxa"/>
            <w:vAlign w:val="bottom"/>
          </w:tcPr>
          <w:p>
            <w:pPr>
              <w:ind w:left="20"/>
              <w:spacing w:after="0" w:line="196" w:lineRule="exact"/>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70,399</w:t>
            </w:r>
          </w:p>
        </w:tc>
        <w:tc>
          <w:tcPr>
            <w:tcW w:w="3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109,679</w:t>
            </w:r>
          </w:p>
        </w:tc>
        <w:tc>
          <w:tcPr>
            <w:tcW w:w="3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(39,280 )</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-35.8 %</w:t>
            </w:r>
          </w:p>
        </w:tc>
      </w:tr>
      <w:tr>
        <w:trPr>
          <w:trHeight w:val="203"/>
        </w:trPr>
        <w:tc>
          <w:tcPr>
            <w:tcW w:w="3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 of net sales (gross margin)</w:t>
            </w:r>
          </w:p>
        </w:tc>
        <w:tc>
          <w:tcPr>
            <w:tcW w:w="1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39.6 %</w:t>
            </w: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42.6 %</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635"/>
        </w:trPr>
        <w:tc>
          <w:tcPr>
            <w:tcW w:w="3920" w:type="dxa"/>
            <w:vAlign w:val="bottom"/>
          </w:tcPr>
          <w:p>
            <w:pPr>
              <w:spacing w:after="0"/>
              <w:rPr>
                <w:sz w:val="24"/>
                <w:szCs w:val="24"/>
                <w:color w:val="auto"/>
              </w:rPr>
            </w:pPr>
          </w:p>
        </w:tc>
        <w:tc>
          <w:tcPr>
            <w:tcW w:w="196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-1007745</wp:posOffset>
            </wp:positionV>
            <wp:extent cx="14605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-1007745</wp:posOffset>
            </wp:positionV>
            <wp:extent cx="1460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-1007745</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-1007745</wp:posOffset>
            </wp:positionV>
            <wp:extent cx="13716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-742315</wp:posOffset>
            </wp:positionV>
            <wp:extent cx="1460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-742315</wp:posOffset>
            </wp:positionV>
            <wp:extent cx="14605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-742315</wp:posOffset>
            </wp:positionV>
            <wp:extent cx="514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-742315</wp:posOffset>
            </wp:positionV>
            <wp:extent cx="13716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2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three months ended January 31, 2022 and 2021 (units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Total Units Shipped</w:t>
            </w:r>
          </w:p>
        </w:tc>
        <w:tc>
          <w:tcPr>
            <w:tcW w:w="4580" w:type="dxa"/>
            <w:vAlign w:val="bottom"/>
            <w:gridSpan w:val="3"/>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3"/>
        </w:trPr>
        <w:tc>
          <w:tcPr>
            <w:tcW w:w="5820" w:type="dxa"/>
            <w:vAlign w:val="bottom"/>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Handguns</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w:t>
            </w:r>
          </w:p>
        </w:tc>
        <w:tc>
          <w:tcPr>
            <w:tcW w:w="2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-36.8%</w:t>
            </w:r>
          </w:p>
        </w:tc>
      </w:tr>
      <w:tr>
        <w:trPr>
          <w:trHeight w:val="230"/>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620" w:type="dxa"/>
            <w:vAlign w:val="bottom"/>
            <w:gridSpan w:val="3"/>
          </w:tcPr>
          <w:p>
            <w:pPr>
              <w:jc w:val="right"/>
              <w:ind w:right="70"/>
              <w:spacing w:after="0"/>
              <w:rPr>
                <w:sz w:val="20"/>
                <w:szCs w:val="20"/>
                <w:color w:val="auto"/>
              </w:rPr>
            </w:pPr>
            <w:r>
              <w:rPr>
                <w:rFonts w:ascii="Arial" w:cs="Arial" w:eastAsia="Arial" w:hAnsi="Arial"/>
                <w:sz w:val="18"/>
                <w:szCs w:val="18"/>
                <w:color w:val="auto"/>
              </w:rPr>
              <w:t>(68 )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-55.3%</w:t>
            </w:r>
          </w:p>
        </w:tc>
      </w:tr>
      <w:tr>
        <w:trPr>
          <w:trHeight w:val="357"/>
        </w:trPr>
        <w:tc>
          <w:tcPr>
            <w:tcW w:w="2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Sporting Goods Channel Units Shipped</w:t>
            </w: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38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13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3"/>
        </w:trPr>
        <w:tc>
          <w:tcPr>
            <w:tcW w:w="20" w:type="dxa"/>
            <w:vAlign w:val="bottom"/>
            <w:shd w:val="clear" w:color="auto" w:fill="CFF0FC"/>
          </w:tcPr>
          <w:p>
            <w:pPr>
              <w:spacing w:after="0"/>
              <w:rPr>
                <w:sz w:val="17"/>
                <w:szCs w:val="17"/>
                <w:color w:val="auto"/>
              </w:rPr>
            </w:pPr>
          </w:p>
        </w:tc>
        <w:tc>
          <w:tcPr>
            <w:tcW w:w="2420" w:type="dxa"/>
            <w:vAlign w:val="bottom"/>
            <w:tcBorders>
              <w:top w:val="single" w:sz="8" w:color="auto"/>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Handguns</w:t>
            </w:r>
          </w:p>
        </w:tc>
        <w:tc>
          <w:tcPr>
            <w:tcW w:w="338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473</w:t>
            </w: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2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-36.8%</w:t>
            </w:r>
          </w:p>
        </w:tc>
      </w:tr>
      <w:tr>
        <w:trPr>
          <w:trHeight w:val="230"/>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620" w:type="dxa"/>
            <w:vAlign w:val="bottom"/>
            <w:gridSpan w:val="3"/>
          </w:tcPr>
          <w:p>
            <w:pPr>
              <w:jc w:val="right"/>
              <w:ind w:right="70"/>
              <w:spacing w:after="0"/>
              <w:rPr>
                <w:sz w:val="20"/>
                <w:szCs w:val="20"/>
                <w:color w:val="auto"/>
              </w:rPr>
            </w:pPr>
            <w:r>
              <w:rPr>
                <w:rFonts w:ascii="Arial" w:cs="Arial" w:eastAsia="Arial" w:hAnsi="Arial"/>
                <w:sz w:val="18"/>
                <w:szCs w:val="18"/>
                <w:color w:val="auto"/>
              </w:rPr>
              <w:t>(70 )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-58.3%</w:t>
            </w:r>
          </w:p>
        </w:tc>
      </w:tr>
      <w:tr>
        <w:trPr>
          <w:trHeight w:val="357"/>
        </w:trPr>
        <w:tc>
          <w:tcPr>
            <w:tcW w:w="2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Professional Channel Units Shipped</w:t>
            </w: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38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13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3"/>
        </w:trPr>
        <w:tc>
          <w:tcPr>
            <w:tcW w:w="20" w:type="dxa"/>
            <w:vAlign w:val="bottom"/>
            <w:shd w:val="clear" w:color="auto" w:fill="CFF0FC"/>
          </w:tcPr>
          <w:p>
            <w:pPr>
              <w:spacing w:after="0"/>
              <w:rPr>
                <w:sz w:val="17"/>
                <w:szCs w:val="17"/>
                <w:color w:val="auto"/>
              </w:rPr>
            </w:pPr>
          </w:p>
        </w:tc>
        <w:tc>
          <w:tcPr>
            <w:tcW w:w="2200" w:type="dxa"/>
            <w:vAlign w:val="bottom"/>
            <w:tcBorders>
              <w:top w:val="single" w:sz="8" w:color="auto"/>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Handguns</w:t>
            </w:r>
          </w:p>
        </w:tc>
        <w:tc>
          <w:tcPr>
            <w:tcW w:w="3600" w:type="dxa"/>
            <w:vAlign w:val="bottom"/>
            <w:gridSpan w:val="2"/>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-37.0%</w:t>
            </w:r>
          </w:p>
        </w:tc>
      </w:tr>
      <w:tr>
        <w:trPr>
          <w:trHeight w:val="230"/>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66.7%</w:t>
            </w:r>
          </w:p>
        </w:tc>
      </w:tr>
    </w:tbl>
    <w:p>
      <w:pPr>
        <w:spacing w:after="0" w:line="16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161616"/>
        </w:rPr>
        <w:t>Sales of our handguns decreased $50.2 million, or 27.4%, from the comparable quarter last year. The decrease in sales was primarily because of decreased shipments of our M&amp;P branded polymer pistols, partially offset by the introduction of two new products within the quarter, increased shipments of revolvers, and two price increases, one in June 2021 and one in January 2022. Handgun unit shipments into the sporting goods channel decreased by 36.8% from the comparable quarter last year while overall consumer demand decreased 24.1% (as indicated by adjusted background checks reported in the National Instant Criminal Background Check System, or NICS).</w:t>
      </w:r>
    </w:p>
    <w:p>
      <w:pPr>
        <w:spacing w:after="0" w:line="17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161616"/>
        </w:rPr>
        <w:t>Sales of our long guns decreased $32.1 million, or 52.2%, from the comparable quarter last year. The decrease in sales was primarily because of lower shipments of our M&amp;P modern sporting rifles combined with decreased shipments of our hunting rifles as a result of the planned divestiture of that product line, partially offset by two price increases. Long gun unit shipments into our sporting goods channel decreased 58.3% from the comparable quarter last year. Excluding shipments of Thompson/Center branded products, long gun units decreased 40.8% as compared with a 24.9% decrease in reported NICS checks.</w:t>
      </w:r>
    </w:p>
    <w:p>
      <w:pPr>
        <w:spacing w:after="0" w:line="1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161616"/>
        </w:rPr>
        <w:t>We believe the decrease in overall firearm demand (as indicated by adjusted NICS) versus the prior year comparable quarter was due to heightened demand in the prior year quarter driven by civil unrest, ongoing COVID restrictions, and news events driving increased fear of personal safety and firearm restrictions. We believe our ability to ramp up production to meet surging customer demand in the prior year, at a time when many of our competitors were unable to do so and when overall firearm demand exceeded the industry’s production capacity, enabled us to gain significant market share. As these concerns have become less pressing for consumers more recently, demand has continued to ease, inventory levels in the distribution and retail channels have normalized, and competitor offerings have become more available at retail, our prior year outperformance has likely resulted in a market share decline for us in the short-term in comparison to our peak levels during the surge. We believe, when comparing to levels prior to the surge that, over the long-term, we have gained market share and expanded our leadership position.</w:t>
      </w:r>
    </w:p>
    <w:p>
      <w:pPr>
        <w:spacing w:after="0" w:line="10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Other products and services revenue increased $2.4 million, or 18.6%, over the comparable quarter last year, primarily because of increased sales of component parts and increased business-to-business services, partially offset by a decrease in sales of handcuffs.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New products, defined as any new SKU not shipped in the comparable quarter last year, represented 20.0% of sales for the three months ended January 31, 2022 and included two new pistols, one new modern sporting rifle, and many new product line extensions.</w:t>
      </w:r>
    </w:p>
    <w:p>
      <w:pPr>
        <w:spacing w:after="0" w:line="17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Gross margin for the three months ended January 31, 2022 was 39.6%, compared with gross margin of 42.6% for the comparable quarter last year, primarily because of a combination of reduced sales volumes across nearly all product lines, unfavorable fixed-cost absorption due to lower production volume, and expenses recorded related to employee severance and relocation costs associated with the Relocation, partially offset by price increases.</w:t>
      </w:r>
    </w:p>
    <w:p>
      <w:pPr>
        <w:spacing w:after="0" w:line="14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expected, our inventory balances increased $55.8 million between April 30, 2021 and January 31, 2022, as we replenished stock to provide our customers with a more robust selection of inventory and positioned ourselves for potential increases in consumer demand. We increased our finished parts inventory by $23.0 million, resulting from our efforts to reduce the risk of potential supply chain issues and the impact of slowly ramping down our outsourced part supply.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introductions, news events, political events, and consumer tastes. We expect our inventory levels to continue to increase as we build to our more normalized stocking levels.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 For the Nine Months Ended January 31, 2022</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net sales and gross profit for the nine months ended January 31, 2022 and 2021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Handguns</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488,303</w:t>
            </w:r>
          </w:p>
        </w:tc>
        <w:tc>
          <w:tcPr>
            <w:tcW w:w="3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509,315</w:t>
            </w:r>
          </w:p>
        </w:tc>
        <w:tc>
          <w:tcPr>
            <w:tcW w:w="3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(21,012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Long Guns</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157,470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191,416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(33,946 )</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-17.7 %</w:t>
            </w: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Products &amp; Services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37,053</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35,516</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1,537</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ind w:left="12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682,826</w:t>
            </w:r>
          </w:p>
        </w:tc>
        <w:tc>
          <w:tcPr>
            <w:tcW w:w="3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736,247</w:t>
            </w:r>
          </w:p>
        </w:tc>
        <w:tc>
          <w:tcPr>
            <w:tcW w:w="3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(53,421 )</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-7.3 %</w:t>
            </w: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380,490</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433,073</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(52,583 )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-12.1 %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302,336</w:t>
            </w:r>
          </w:p>
        </w:tc>
        <w:tc>
          <w:tcPr>
            <w:tcW w:w="3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303,174</w:t>
            </w:r>
          </w:p>
        </w:tc>
        <w:tc>
          <w:tcPr>
            <w:tcW w:w="3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(838 )</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-0.3 %</w:t>
            </w: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 of net sales (gross margin)</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44.3 %</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41.2 %</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-527685</wp:posOffset>
            </wp:positionV>
            <wp:extent cx="14605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-527685</wp:posOffset>
            </wp:positionV>
            <wp:extent cx="13716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-527685</wp:posOffset>
            </wp:positionV>
            <wp:extent cx="514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-527685</wp:posOffset>
            </wp:positionV>
            <wp:extent cx="13716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-262255</wp:posOffset>
            </wp:positionV>
            <wp:extent cx="14605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-262255</wp:posOffset>
            </wp:positionV>
            <wp:extent cx="13716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-262255</wp:posOffset>
            </wp:positionV>
            <wp:extent cx="514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-262255</wp:posOffset>
            </wp:positionV>
            <wp:extent cx="13716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3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nine months ended January 31, 2022 and 2021 (units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Total Units Shipped</w:t>
            </w:r>
          </w:p>
        </w:tc>
        <w:tc>
          <w:tcPr>
            <w:tcW w:w="4580" w:type="dxa"/>
            <w:vAlign w:val="bottom"/>
            <w:gridSpan w:val="3"/>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3"/>
        </w:trPr>
        <w:tc>
          <w:tcPr>
            <w:tcW w:w="5820" w:type="dxa"/>
            <w:vAlign w:val="bottom"/>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Handguns</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1,205</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1,426</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w:t>
            </w:r>
          </w:p>
        </w:tc>
        <w:tc>
          <w:tcPr>
            <w:tcW w:w="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-15.5%</w:t>
            </w:r>
          </w:p>
        </w:tc>
      </w:tr>
      <w:tr>
        <w:trPr>
          <w:trHeight w:val="230"/>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80" w:type="dxa"/>
            <w:vAlign w:val="bottom"/>
          </w:tcPr>
          <w:p>
            <w:pPr>
              <w:jc w:val="right"/>
              <w:spacing w:after="0"/>
              <w:rPr>
                <w:sz w:val="20"/>
                <w:szCs w:val="20"/>
                <w:color w:val="auto"/>
              </w:rPr>
            </w:pPr>
            <w:r>
              <w:rPr>
                <w:rFonts w:ascii="Arial" w:cs="Arial" w:eastAsia="Arial" w:hAnsi="Arial"/>
                <w:sz w:val="18"/>
                <w:szCs w:val="18"/>
                <w:color w:val="auto"/>
              </w:rPr>
              <w:t>301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(106 )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-26.0%</w:t>
            </w:r>
          </w:p>
        </w:tc>
      </w:tr>
      <w:tr>
        <w:trPr>
          <w:trHeight w:val="357"/>
        </w:trPr>
        <w:tc>
          <w:tcPr>
            <w:tcW w:w="2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Sporting Goods Channel Units Shipped</w:t>
            </w: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4"/>
                <w:szCs w:val="24"/>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3"/>
        </w:trPr>
        <w:tc>
          <w:tcPr>
            <w:tcW w:w="20" w:type="dxa"/>
            <w:vAlign w:val="bottom"/>
            <w:shd w:val="clear" w:color="auto" w:fill="CFF0FC"/>
          </w:tcPr>
          <w:p>
            <w:pPr>
              <w:spacing w:after="0"/>
              <w:rPr>
                <w:sz w:val="17"/>
                <w:szCs w:val="17"/>
                <w:color w:val="auto"/>
              </w:rPr>
            </w:pPr>
          </w:p>
        </w:tc>
        <w:tc>
          <w:tcPr>
            <w:tcW w:w="2420" w:type="dxa"/>
            <w:vAlign w:val="bottom"/>
            <w:tcBorders>
              <w:top w:val="single" w:sz="8" w:color="auto"/>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Handguns</w:t>
            </w:r>
          </w:p>
        </w:tc>
        <w:tc>
          <w:tcPr>
            <w:tcW w:w="33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1,132</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1,334</w:t>
            </w: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-15.1%</w:t>
            </w:r>
          </w:p>
        </w:tc>
      </w:tr>
      <w:tr>
        <w:trPr>
          <w:trHeight w:val="230"/>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80" w:type="dxa"/>
            <w:vAlign w:val="bottom"/>
          </w:tcPr>
          <w:p>
            <w:pPr>
              <w:jc w:val="right"/>
              <w:spacing w:after="0"/>
              <w:rPr>
                <w:sz w:val="20"/>
                <w:szCs w:val="20"/>
                <w:color w:val="auto"/>
              </w:rPr>
            </w:pPr>
            <w:r>
              <w:rPr>
                <w:rFonts w:ascii="Arial" w:cs="Arial" w:eastAsia="Arial" w:hAnsi="Arial"/>
                <w:sz w:val="18"/>
                <w:szCs w:val="18"/>
                <w:color w:val="auto"/>
              </w:rPr>
              <w:t>285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(110 )</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-27.8%</w:t>
            </w:r>
          </w:p>
        </w:tc>
      </w:tr>
      <w:tr>
        <w:trPr>
          <w:trHeight w:val="357"/>
        </w:trPr>
        <w:tc>
          <w:tcPr>
            <w:tcW w:w="20" w:type="dxa"/>
            <w:vAlign w:val="bottom"/>
          </w:tcPr>
          <w:p>
            <w:pPr>
              <w:spacing w:after="0"/>
              <w:rPr>
                <w:sz w:val="24"/>
                <w:szCs w:val="2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Professional Channel Units Shipped</w:t>
            </w:r>
          </w:p>
        </w:tc>
        <w:tc>
          <w:tcPr>
            <w:tcW w:w="11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4"/>
                <w:szCs w:val="24"/>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03"/>
        </w:trPr>
        <w:tc>
          <w:tcPr>
            <w:tcW w:w="20" w:type="dxa"/>
            <w:vAlign w:val="bottom"/>
            <w:shd w:val="clear" w:color="auto" w:fill="CFF0FC"/>
          </w:tcPr>
          <w:p>
            <w:pPr>
              <w:spacing w:after="0"/>
              <w:rPr>
                <w:sz w:val="17"/>
                <w:szCs w:val="17"/>
                <w:color w:val="auto"/>
              </w:rPr>
            </w:pPr>
          </w:p>
        </w:tc>
        <w:tc>
          <w:tcPr>
            <w:tcW w:w="2200" w:type="dxa"/>
            <w:vAlign w:val="bottom"/>
            <w:tcBorders>
              <w:top w:val="single" w:sz="8" w:color="auto"/>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Handguns</w:t>
            </w:r>
          </w:p>
        </w:tc>
        <w:tc>
          <w:tcPr>
            <w:tcW w:w="3600" w:type="dxa"/>
            <w:vAlign w:val="bottom"/>
            <w:gridSpan w:val="2"/>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-20.7%</w:t>
            </w:r>
          </w:p>
        </w:tc>
      </w:tr>
      <w:tr>
        <w:trPr>
          <w:trHeight w:val="230"/>
        </w:trPr>
        <w:tc>
          <w:tcPr>
            <w:tcW w:w="5820" w:type="dxa"/>
            <w:vAlign w:val="bottom"/>
            <w:gridSpan w:val="5"/>
          </w:tcPr>
          <w:p>
            <w:pPr>
              <w:ind w:left="20"/>
              <w:spacing w:after="0"/>
              <w:rPr>
                <w:sz w:val="20"/>
                <w:szCs w:val="20"/>
                <w:color w:val="auto"/>
              </w:rPr>
            </w:pPr>
            <w:r>
              <w:rPr>
                <w:rFonts w:ascii="Arial" w:cs="Arial" w:eastAsia="Arial" w:hAnsi="Arial"/>
                <w:sz w:val="18"/>
                <w:szCs w:val="18"/>
                <w:color w:val="auto"/>
              </w:rPr>
              <w:t>Long Guns</w:t>
            </w: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33.3%</w:t>
            </w:r>
          </w:p>
        </w:tc>
      </w:tr>
    </w:tbl>
    <w:p>
      <w:pPr>
        <w:spacing w:after="0" w:line="160"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Sales of our handguns decreased $21.0 million, or 4.1%, from the prior year comparable period. The decrease in revenue was primarily due to lower demand for the majority of our products, partially offset by revenues generated from increased shipments of newly introduced products, combined with two price increases. During the current period, we did not offer any promotional programs and fulfilled very few older promotional orders, which resulted in an increase in average selling prices compared with the prior period when we fulfilled numerous promotional orders that were offered prior to the increase in demand in March 2020. Unit shipments into the sporting goods channel decreased by 15.1% from the comparable period last year while overall consumer demand decreased 28.3% as indicated by NICS, however, we believe that a significant portion of our unit shipments were used to replenish inventories in the distribution and retail channels, and after adjusting for this, we believe our market share likely declined as compared to 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Sales from our long guns decreased $33.9 million, or 17.7%, from the prior year comparable period primarily because of decreased shipments of our M&amp;P modern sporting rifles and lower shipments of our hunting rifles as a result of the planned divestiture of that product line, partially offset by increased shipments of newly introduced products in the fiscal year and two price increases. Unit shipments into our sporting goods channel decreased 27.8% compared with a 22.4% decrease in NICS checks versus the prior year comparable period, however, we believe that a significant portion of our unit shipments were used to replenish inventories in the distribution and retail channels, and after adjusting for this, we believe our market share likely declined as compared to NICS.</w:t>
      </w:r>
    </w:p>
    <w:p>
      <w:pPr>
        <w:spacing w:after="0" w:line="21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161616"/>
        </w:rPr>
        <w:t>We believe the decrease in overall firearm demand (as indicated by adjusted NICS) versus the prior year comparable period was due to heightened demand in the prior year period driven by civil unrest, ongoing COVID restrictions, and news events driving increased fear of personal safety and firearm restrictions. We believe our ability to ramp up production to meet surging customer demand in the prior year, at a time when many of our competitors were unable to do so and when overall firearm demand exceeded the industry’s production capacity, enabled us to gain significant market share. As these concerns have become less pressing for consumers more recently, demand has continued to ease, inventory levels in the distribution and retail channels have normalized, and competitor offerings have become more available at retail, our prior year outperformance has likely resulted in a market share decline for us in the short-term</w:t>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61616"/>
        </w:rPr>
        <w:t>in comparison to our peak levels during the surge. We believe, when comparing to levels prior to the surge that, over the long-term, we have gained market share and expanded our leadership position.</w:t>
      </w:r>
    </w:p>
    <w:p>
      <w:pPr>
        <w:spacing w:after="0" w:line="34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Other products and services revenue increased $1.5 million, or 4.3%, over the prior year comparable period, primarily because of increased business-to-business services and sales of component parts, partially offset by a decrease in sales of handcuffs.</w:t>
      </w:r>
    </w:p>
    <w:p>
      <w:pPr>
        <w:spacing w:after="0" w:line="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New products represented 17.0% of sales for the nine months ended January 31, 2022 and included two new long guns, two new handguns, and many new product line extensions.</w:t>
      </w:r>
    </w:p>
    <w:p>
      <w:pPr>
        <w:spacing w:after="0" w:line="10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Gross margin for the nine months ended January 31, 2022 increased 310 basis points over the prior year comparable period primarily because of price increases, favorable manufacturing fixed cost absorption, a shift in mix to higher margin products, decreased manufacturing spend, and lower promotional product spending. These increases were partially offset by increased manufacturing spending and employee severance and relocation costs associated with the Relocation.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January 31, 2022 and 2021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1,716</w:t>
            </w:r>
          </w:p>
        </w:tc>
        <w:tc>
          <w:tcPr>
            <w:tcW w:w="3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1,757</w:t>
            </w:r>
          </w:p>
        </w:tc>
        <w:tc>
          <w:tcPr>
            <w:tcW w:w="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Selling, marketing, and distribution</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11,518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10,487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1,031</w:t>
            </w:r>
          </w:p>
        </w:tc>
        <w:tc>
          <w:tcPr>
            <w:tcW w:w="2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9.8 %</w:t>
            </w: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17,443</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17,054</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
        </w:trPr>
        <w:tc>
          <w:tcPr>
            <w:tcW w:w="5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572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30,677</w:t>
            </w:r>
          </w:p>
        </w:tc>
        <w:tc>
          <w:tcPr>
            <w:tcW w:w="340" w:type="dxa"/>
            <w:vAlign w:val="bottom"/>
          </w:tcPr>
          <w:p>
            <w:pPr>
              <w:spacing w:after="0"/>
              <w:rPr>
                <w:sz w:val="17"/>
                <w:szCs w:val="17"/>
                <w:color w:val="auto"/>
              </w:rPr>
            </w:pP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29,298</w:t>
            </w:r>
          </w:p>
        </w:tc>
        <w:tc>
          <w:tcPr>
            <w:tcW w:w="34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1,379</w:t>
            </w:r>
          </w:p>
        </w:tc>
        <w:tc>
          <w:tcPr>
            <w:tcW w:w="24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4.7 %</w:t>
            </w:r>
          </w:p>
        </w:tc>
      </w:tr>
      <w:tr>
        <w:trPr>
          <w:trHeight w:val="203"/>
        </w:trPr>
        <w:tc>
          <w:tcPr>
            <w:tcW w:w="5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 of net sales</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17.3 %</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11.4 %</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-262255</wp:posOffset>
            </wp:positionV>
            <wp:extent cx="14605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-262255</wp:posOffset>
            </wp:positionV>
            <wp:extent cx="13716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-262255</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-262255</wp:posOffset>
            </wp:positionV>
            <wp:extent cx="13716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317"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Research and development expenses remained relatively flat from the comparable quarter last year. Selling, marketing, and distribution expenses increased $1.0 million, primarily as a result of increased expenses relating to industry shows and increased marketing-related expenses, partially offset by decreased freight costs due to lower shipments. General and administrative expenses increased $389,000, primarily as a result of increased costs associated with the Relocation, partially offset by decreased compensation-related costs due to synergy savings realized from the Separation.</w:t>
      </w:r>
    </w:p>
    <w:p>
      <w:pPr>
        <w:spacing w:after="0" w:line="14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operating expenses for the nine months ended January 31, 2022 and 2021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5,269</w:t>
            </w:r>
          </w:p>
        </w:tc>
        <w:tc>
          <w:tcPr>
            <w:tcW w:w="3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5,518</w:t>
            </w:r>
          </w:p>
        </w:tc>
        <w:tc>
          <w:tcPr>
            <w:tcW w:w="3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Selling, marketing, and distribution</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33,575</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32,095</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1,480</w:t>
            </w:r>
          </w:p>
        </w:tc>
        <w:tc>
          <w:tcPr>
            <w:tcW w:w="2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4.6 %</w:t>
            </w: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58,491</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62,061</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(3,570 )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-5.8 %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97,335</w:t>
            </w:r>
          </w:p>
        </w:tc>
        <w:tc>
          <w:tcPr>
            <w:tcW w:w="3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99,674</w:t>
            </w:r>
          </w:p>
        </w:tc>
        <w:tc>
          <w:tcPr>
            <w:tcW w:w="3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(2,339 )</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-2.3 %</w:t>
            </w: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 of net sales</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14.3 %</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13.5 %</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-262255</wp:posOffset>
            </wp:positionV>
            <wp:extent cx="1460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-262255</wp:posOffset>
            </wp:positionV>
            <wp:extent cx="13716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-262255</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-262255</wp:posOffset>
            </wp:positionV>
            <wp:extent cx="13716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30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Research and development expenses decreased $249,000 from the prior year comparable period, primarily as a result of decreased depreciation and compensation-related costs. Selling, marketing, and distribution expenses increased $1.5 million over the prior year comparable period, primarily as a result of increased marketing costs and increased expenses relating to industry shows, partially offset by decreased co-op advertising expenses and decreased freight costs due to lower shipments. General and administrative expenses decreased $3.6 million primarily because of a decrease of $7.0 million related to Separation costs incurred in the prior year and $3.7 million of lower compensation-related expenses primarily as a result of synergy savings realized from the Separation, partially offset by an increase of $5.2 million of costs associated with the Relocation and $2.2 million of increased legal-related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from Continuing Operations</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operating income for the three months ended January 31, 2022 and 2021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from continuing operations</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39,722</w:t>
            </w:r>
          </w:p>
        </w:tc>
        <w:tc>
          <w:tcPr>
            <w:tcW w:w="3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80,381</w:t>
            </w:r>
          </w:p>
        </w:tc>
        <w:tc>
          <w:tcPr>
            <w:tcW w:w="3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(40,659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 of net sales (operating margin)</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22.3 %</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31.2 %</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Operating income from continuing operations for the three months ended January 31, 2022 decreased $40.7 million from the comparable quarter last year, primarily because of reduced sales volumes across nearly all product lines, unfavorable fixed-cost absorption, expenses recorded in relation to the Relocation, and increased legal costs. These unfavorable impacts were partially offset by lower promotional product spending, lower spend related to the Separation, decreased co-op advertising expenses, and decreased freight costs.</w:t>
      </w:r>
    </w:p>
    <w:p>
      <w:pPr>
        <w:spacing w:after="0" w:line="8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operating income for the nine months ended January 31, 2022 and 2021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from continuing operations</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205,001</w:t>
            </w:r>
          </w:p>
        </w:tc>
        <w:tc>
          <w:tcPr>
            <w:tcW w:w="3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203,500</w:t>
            </w:r>
          </w:p>
        </w:tc>
        <w:tc>
          <w:tcPr>
            <w:tcW w:w="3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1,501</w:t>
            </w: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 of net sales (operating margin)</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30.0 %</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27.6 %</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2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Operating income from continuing operations for the nine months ended January 31, 2022 increased $1.5 million over the prior year comparable period, primarily due to a 310 basis point improvement in gross margin. Operating income from continuing operations was also positively impacted by favorable manufacturing fixed-cost absorption, lower promotional product spending, a decrease in expenses related to the Separation, and a decrease in compensation-related expenses. These increases were partially offset by costs associated with the Relocation, increased marketing-related costs, and increased legal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January 31, 2022 and 2021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2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800" w:type="dxa"/>
            <w:vAlign w:val="bottom"/>
            <w:tcBorders>
              <w:top w:val="single" w:sz="8" w:color="auto"/>
            </w:tcBorders>
            <w:shd w:val="clear" w:color="auto" w:fill="CFF0FC"/>
          </w:tcPr>
          <w:p>
            <w:pPr>
              <w:jc w:val="right"/>
              <w:ind w:right="61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(594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January 31, 2022, interest expense remained relatively flat from the comparable quarter last year.</w:t>
      </w:r>
    </w:p>
    <w:p>
      <w:pPr>
        <w:spacing w:after="0" w:line="18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interest expense for the nine months ended January 31, 2022 and 2021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(3,356</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14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During the nine months ended January 31, 2022, interest expense decreased by $1.8 million from the prior year comparable period as a result of the repayment of all amounts outstanding on our revolving line of credit during the second quarter of fiscal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following table sets forth certain information regarding income tax expense for the three months ended January 31, 2022 and 2021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110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9,337</w:t>
            </w:r>
          </w:p>
        </w:tc>
        <w:tc>
          <w:tcPr>
            <w:tcW w:w="3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18,520</w:t>
            </w:r>
          </w:p>
        </w:tc>
        <w:tc>
          <w:tcPr>
            <w:tcW w:w="3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(9,183</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-49.6</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4600" w:type="dxa"/>
            <w:vAlign w:val="bottom"/>
          </w:tcPr>
          <w:p>
            <w:pPr>
              <w:ind w:left="200"/>
              <w:spacing w:after="0"/>
              <w:rPr>
                <w:sz w:val="20"/>
                <w:szCs w:val="20"/>
                <w:color w:val="auto"/>
              </w:rPr>
            </w:pPr>
            <w:r>
              <w:rPr>
                <w:rFonts w:ascii="Arial" w:cs="Arial" w:eastAsia="Arial" w:hAnsi="Arial"/>
                <w:sz w:val="18"/>
                <w:szCs w:val="18"/>
                <w:color w:val="auto"/>
              </w:rPr>
              <w:t>% of income from operations (effective tax rate)</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23.4 %</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22.9 %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580"/>
        </w:trPr>
        <w:tc>
          <w:tcPr>
            <w:tcW w:w="4600" w:type="dxa"/>
            <w:vAlign w:val="bottom"/>
          </w:tcPr>
          <w:p>
            <w:pPr>
              <w:spacing w:after="0"/>
              <w:rPr>
                <w:sz w:val="24"/>
                <w:szCs w:val="24"/>
                <w:color w:val="auto"/>
              </w:rPr>
            </w:pPr>
          </w:p>
        </w:tc>
        <w:tc>
          <w:tcPr>
            <w:tcW w:w="1820" w:type="dxa"/>
            <w:vAlign w:val="bottom"/>
            <w:gridSpan w:val="2"/>
          </w:tcPr>
          <w:p>
            <w:pPr>
              <w:jc w:val="right"/>
              <w:ind w:right="61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46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decreased $9.2 over the comparable quarter last year as a result of lower operating income for the reasons mentioned above.</w:t>
      </w:r>
    </w:p>
    <w:p>
      <w:pPr>
        <w:spacing w:after="0" w:line="18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following table sets forth certain information regarding income tax expense for the nine months ended January 31, 2022 and 2021 (dollars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47,281</w:t>
            </w:r>
          </w:p>
        </w:tc>
        <w:tc>
          <w:tcPr>
            <w:tcW w:w="3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47,176</w:t>
            </w:r>
          </w:p>
        </w:tc>
        <w:tc>
          <w:tcPr>
            <w:tcW w:w="3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 of income from operations (effective tax rate)</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23.0 %</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23.4 %</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-0.4 %</w:t>
            </w:r>
          </w:p>
        </w:tc>
      </w:tr>
    </w:tbl>
    <w:p>
      <w:pPr>
        <w:spacing w:after="0" w:line="187" w:lineRule="exact"/>
        <w:rPr>
          <w:sz w:val="20"/>
          <w:szCs w:val="20"/>
          <w:color w:val="auto"/>
        </w:rPr>
      </w:pPr>
    </w:p>
    <w:p>
      <w:pPr>
        <w:jc w:val="both"/>
        <w:ind w:right="20" w:firstLine="509"/>
        <w:spacing w:after="0" w:line="235" w:lineRule="auto"/>
        <w:rPr>
          <w:sz w:val="20"/>
          <w:szCs w:val="20"/>
          <w:color w:val="auto"/>
        </w:rPr>
      </w:pPr>
      <w:r>
        <w:rPr>
          <w:rFonts w:ascii="Arial" w:cs="Arial" w:eastAsia="Arial" w:hAnsi="Arial"/>
          <w:sz w:val="18"/>
          <w:szCs w:val="18"/>
          <w:color w:val="auto"/>
        </w:rPr>
        <w:t>Income tax expense remained relatively flat over the comparable quarter last year as a result of comparable operating income for the reasons mentioned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income from continuing operations and the related per share data for the three months ended January 31, 2022 and 2021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30,542</w:t>
            </w: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62,263</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(31,721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 - continuing</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0.65</w:t>
            </w:r>
          </w:p>
        </w:tc>
        <w:tc>
          <w:tcPr>
            <w:tcW w:w="5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7"/>
                <w:szCs w:val="17"/>
                <w:color w:val="auto"/>
              </w:rPr>
            </w:pPr>
          </w:p>
        </w:tc>
        <w:tc>
          <w:tcPr>
            <w:tcW w:w="200" w:type="dxa"/>
            <w:vAlign w:val="bottom"/>
            <w:shd w:val="clear" w:color="auto" w:fill="CCEC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(0.48 )</w:t>
            </w: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-42.5 %</w:t>
            </w: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Diluted - continuing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0.65</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(0.47 )</w:t>
            </w: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-42.0 %</w:t>
            </w:r>
          </w:p>
        </w:tc>
      </w:tr>
    </w:tbl>
    <w:p>
      <w:pPr>
        <w:spacing w:after="0" w:line="22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Income from continuing operations for the three months ended January 31, 2022 was $30.5 million compared with $62.3 million for the comparable quarter last year for the reasons outlined above.</w:t>
      </w:r>
    </w:p>
    <w:p>
      <w:pPr>
        <w:spacing w:after="0" w:line="157"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sets forth certain information regarding income from continuing operations and the related per share data for the nine months ended January 31, 2022 and 2021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158,359</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154,679</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3,680</w:t>
            </w: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 - continuing</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0.53</w:t>
            </w:r>
          </w:p>
        </w:tc>
        <w:tc>
          <w:tcPr>
            <w:tcW w:w="14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19.0 %</w:t>
            </w: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Diluted - continuing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19.3 %</w:t>
            </w:r>
          </w:p>
        </w:tc>
      </w:tr>
    </w:tbl>
    <w:p>
      <w:pPr>
        <w:spacing w:after="0" w:line="22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Income from continuing operations for the nine months ended January 31, 2022 was $158.4 million compared with $154.7 million for the comparable quarter last year for the reasons outlined above.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(2) fund the Relocation, and (3) return capital to stockholders. Capital expenditures for the Relocation, new product development, additional manufacturing capacity, and repair and replacement of equipment represent important cash needs.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certain cash flow information for the nine months ended January 31, 2022 and 2021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3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activities</w:t>
            </w:r>
          </w:p>
        </w:tc>
        <w:tc>
          <w:tcPr>
            <w:tcW w:w="2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112,275</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198,437</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(86,162</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-43.4</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(15,211 )</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(18,570 )</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3,359</w:t>
            </w:r>
          </w:p>
        </w:tc>
        <w:tc>
          <w:tcPr>
            <w:tcW w:w="2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2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(102,813 )</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(241,764 )</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138,951</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Pr>
          <w:p>
            <w:pPr>
              <w:ind w:left="200"/>
              <w:spacing w:after="0" w:line="182" w:lineRule="exact"/>
              <w:rPr>
                <w:sz w:val="20"/>
                <w:szCs w:val="20"/>
                <w:color w:val="auto"/>
              </w:rPr>
            </w:pPr>
            <w:r>
              <w:rPr>
                <w:rFonts w:ascii="Arial" w:cs="Arial" w:eastAsia="Arial" w:hAnsi="Arial"/>
                <w:sz w:val="18"/>
                <w:szCs w:val="18"/>
                <w:color w:val="auto"/>
              </w:rPr>
              <w:t>Total cash flow</w:t>
            </w:r>
          </w:p>
        </w:tc>
        <w:tc>
          <w:tcPr>
            <w:tcW w:w="230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(5,749 )</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(61,897 )</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56,148</w:t>
            </w:r>
          </w:p>
        </w:tc>
        <w:tc>
          <w:tcPr>
            <w:tcW w:w="260" w:type="dxa"/>
            <w:vAlign w:val="bottom"/>
          </w:tcPr>
          <w:p>
            <w:pPr>
              <w:spacing w:after="0"/>
              <w:rPr>
                <w:sz w:val="17"/>
                <w:szCs w:val="17"/>
                <w:color w:val="auto"/>
              </w:rPr>
            </w:pPr>
          </w:p>
        </w:tc>
        <w:tc>
          <w:tcPr>
            <w:tcW w:w="1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90.7 %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4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-639445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-639445</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-639445</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-639445</wp:posOffset>
            </wp:positionV>
            <wp:extent cx="13716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On an annual basis, operating activities generally represent the principal source of our cash flow. Cash provided by operating activities was $112.3 million for the nine months ended January 31, 2022 compared with $198.4 million of cash generated for the nine months ended January 31, 2021. Cash provided by operating activities from continuing operations for the nine months ended January 31, 2022 was negatively impacted by an incremental $75.1 million increase in inventory due to increased production capacity combined with reduced consumer demand, an incremental $38.5 million decrease in accounts payable, and an incremental $11.6 million decrease in profit sharing as a result of the annual scheduled payment made in the second quarter. These unfavorable impacts were partially offset with a $17.4 million incremental decrease in accounts receivable due to timing of shipments and customer payments, a $13.6 million incremental increase in accrued expenses as a result of the payment of deferred federal excise tax liabilities during the first quarter of fiscal 2021, and the fulfillment of performance obligations relating to sales promotions in the prior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Cash used in investing activities decreased $3.4 million for the nine months ended January 31, 2022 compared with the prior year comparable period. We recorded capital expenditures of $15.1 million for the nine months ended January 31, 2022, $3.3 million lower than the prior year comparable period, which included machinery and equipment utilized to increase capacity. Excluding spending related to the Relocation, we currently expect to spend between </w:t>
      </w:r>
      <w:r>
        <w:rPr>
          <w:rFonts w:ascii="Arial" w:cs="Arial" w:eastAsia="Arial" w:hAnsi="Arial"/>
          <w:sz w:val="18"/>
          <w:szCs w:val="18"/>
          <w:color w:val="161616"/>
        </w:rPr>
        <w:t>$18.0 million and $23.0 million</w:t>
      </w:r>
      <w:r>
        <w:rPr>
          <w:rFonts w:ascii="Arial" w:cs="Arial" w:eastAsia="Arial" w:hAnsi="Arial"/>
          <w:sz w:val="18"/>
          <w:szCs w:val="18"/>
          <w:color w:val="auto"/>
        </w:rPr>
        <w:t xml:space="preserve"> on capital expenditures in fiscal 2022, a decrease of $4.1 million to an increase of nearly $1.0 million, as compared with $22.1 million in capital expenditures in fiscal 2021. This is primarily due to lower spending on capacity increases offset by new product development and repair and replacement of equipment.</w:t>
      </w:r>
    </w:p>
    <w:p>
      <w:pPr>
        <w:spacing w:after="0" w:line="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Additionally, as it relates to the Relocation, we expect to incur capital expenditures in connection with the construction and equipping of the new facility in an aggregate amount of not less than $120.0 million on or before December 31, 2025. We currently expect to spend between $20.0 million and $25.0 million on capital expenditures in fiscal 2022, of which $10.0 million to $15.0 million is expected for the construction of the facility. This spending will be recorded in construction in progress throughout the building construction. Through the nine months ended January 31, 2022, we have spent $629,000 in capital expenditures in connection with the Relocation.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Cash used in financing activities was $102.8 million for the nine months ended January 31, 2022 compared with $241.8 million for the nine months ended January 31, 2021. Cash used in financing activities during the nine months ended January 31, 2022 was primarily the result of a $90.0 million treasury stock repurchase and a $11.4 million dividend distribution. For the nine months ended January 31, 2021, cash used in financing activities was primarily a result of a net repayment of $160.0 million of borrowings on our credit facility, a $50.0 million treasury stock repurchase, funding a distribution of $25.0 million to our discontinued operations, and a $5.6 million dividend distribution.</w:t>
      </w:r>
    </w:p>
    <w:p>
      <w:pPr>
        <w:spacing w:after="0" w:line="24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i w:val="1"/>
          <w:iCs w:val="1"/>
          <w:color w:val="auto"/>
        </w:rPr>
        <w:t xml:space="preserve">Finance Lease – </w:t>
      </w:r>
      <w:r>
        <w:rPr>
          <w:rFonts w:ascii="Arial" w:cs="Arial" w:eastAsia="Arial" w:hAnsi="Arial"/>
          <w:sz w:val="16"/>
          <w:szCs w:val="16"/>
          <w:color w:val="auto"/>
        </w:rPr>
        <w:t>We are a party to a $46.2 million lease for our Missouri distribution facility, which has an effective interest rate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5.0% and is payable in 240 monthly installments through fiscal 2039. The building is pledged to secure the amounts outstanding. During the nine months ending January 31, 2022, we paid $776,200 in principal payments relating to this finance lease. With the completion of the Separation on August 24, 2020, we entered into a sublease for 59.0% of this facility under the same terms as the master lease. We have recorded $1.6 million of income related to this sublease agreement, which is recorded in other income/(expense) in our condensed consolidated statements of income.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2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i w:val="1"/>
          <w:iCs w:val="1"/>
          <w:color w:val="auto"/>
        </w:rPr>
        <w:t xml:space="preserve">Credit Facilities — </w:t>
      </w:r>
      <w:r>
        <w:rPr>
          <w:rFonts w:ascii="Arial" w:cs="Arial" w:eastAsia="Arial" w:hAnsi="Arial"/>
          <w:sz w:val="17"/>
          <w:szCs w:val="17"/>
          <w:color w:val="auto"/>
        </w:rPr>
        <w:t>As of January 31, 2022, we had no outstanding indebtedness. However, we maintain the Revolving Line, which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availability up to $100.0 million at any one time. The Revolving Line provides for availability for general corporate purposes, with borrowings to bear interest at either the Base Rate or LIBOR rate, plus an applicable margin based on our consolidated leverage ratio, as of January 31, 2022. The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consolidated leverage ratio. In response to a Springing Lien Triggering Event (as defined in the Amended and Restated Credit Agreement), we would be required to enter into certain documents that create in favor of the administrative agent, and the lenders party to such documents as legal, valid, and enforceable first priority lien on the collateral described therein.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under the Amended and Restated Credit Agreement.</w:t>
      </w:r>
    </w:p>
    <w:p>
      <w:pPr>
        <w:spacing w:after="0" w:line="18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Amended and Restated Credit Agreement contains financial covenants relating to maintaining maximum leverage and minimum debt service coverage. We were in compliance with all debt covenants as of January 31, 2022.</w:t>
      </w:r>
    </w:p>
    <w:p>
      <w:pPr>
        <w:spacing w:after="0" w:line="9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i w:val="1"/>
          <w:iCs w:val="1"/>
          <w:color w:val="auto"/>
        </w:rPr>
        <w:t xml:space="preserve">Share Repurchase Programs — </w:t>
      </w:r>
      <w:r>
        <w:rPr>
          <w:rFonts w:ascii="Arial" w:cs="Arial" w:eastAsia="Arial" w:hAnsi="Arial"/>
          <w:sz w:val="17"/>
          <w:szCs w:val="17"/>
          <w:color w:val="auto"/>
        </w:rPr>
        <w:t>On March 2, 2021, our Board of Directors authorized the repurchase of up to $100.0 million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conditions, in the open market or in privately negotiated transactions. During fiscal 2021, we repurchased 3,380,447 shares of our common stock for $60.0 million under this authorization. During the nine months ended January 31, 2022,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which authorization is valid through August 2022. During the nine months ended January 31, 2022, we completed this stock repurchase program by repurchasing 2,788,152 shares of our common stock for $50.0 million utilizing cash on hand.</w:t>
      </w:r>
    </w:p>
    <w:p>
      <w:pPr>
        <w:spacing w:after="0" w:line="20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In June 2021, our Board of Directors authorized a regular quarterly dividend for stockholders of $0.08 per share. The current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for stockholders of record as of market close on March 17, 2022 and will be payable on March 31, 2022.</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related to the Relocation.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20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of January 31, 2022, we had $107.3 million in cash and cash equivalents on hand. Based upon our current working capital position, current operating plans, and expected business conditions, we believe that our existing capital resources and credit facilities will be adequate to fund our operations, including our finance leases and other commitments, for the next 12 months.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0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2021 Annual Report. The most significant areas involving our judgments and estimates are described in Management’s Discussion and Analysis of Financial Condition and Results of Operations in our Fiscal 2021 Annual Report, to which there have been no material changes. Actual results could differ from our estimates.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During the period ended January 31, 2022, we did not enter into or transact any forward option contracts nor did we have any forward contracts outstanding.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January 31, 2022,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nature of legal proceedings against us is discussed in Note 10</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the relocation of our principal offices.</w:t>
      </w:r>
    </w:p>
    <w:p>
      <w:pPr>
        <w:spacing w:after="0" w:line="22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On September 30, 2021, we announced our plan to relocate our headquarters and significant elements of our operations to Maryville, Tennessee in 2023, or the Relocation. In connection with the Relocation, we will build a new facility in Maryville, Tennessee and our corporate headquarters, some of our Springfield manufacturing operations, a portion of our Deep River, Connecticut plastic injection molding facility, and our Columbia, Missouri distribution operations will be relocated to Maryville, Tennessee. There are a number of risks associated with the Relocation, including the following:</w:t>
      </w:r>
    </w:p>
    <w:p>
      <w:pPr>
        <w:spacing w:after="0" w:line="265"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complete the Relocation during the expected timeframe or within our anticipated budget;</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have adequate cash resources, borrowing capacity, or other forms of available consideration at favorable pricing that would enable us to pay for the Relocation;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portion of our cash flows from operations will be dedicated to funding the Relocation and will not be available for other purposes;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meet the spending, headcount and wage commitments that we are required to meet in order to receive certain incentives associated with the Relocation;</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changes in federal, state, and local laws and regulations that prevent the Relocation from proceeding or increase the costs of the Relocation;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incur capital expenditures for the Relocation in excess of our expected capital expenditures; and</w:t>
      </w:r>
    </w:p>
    <w:p>
      <w:pPr>
        <w:spacing w:after="0" w:line="103"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effectively transition our workforce as part of the Relocation, in which case we could experience business disruption as a result of a loss of historical knowledge and a lack of business continuity. The market for both hourly workers and professional workers is very competitive and we have experienced, and expect to continue to experience, increased turnover and challenges in recruiting and retaining our employees, which challenges have been, and may continue to be exasperated by the Relocation.</w:t>
      </w:r>
    </w:p>
    <w:p>
      <w:pPr>
        <w:spacing w:after="0" w:line="172"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Any one or more of these risks could cause us to fail to realize the expected benefits of the Relocation. In addition, we anticipate that the Relocation will require a substantial commitment of our management’s time and attention, which may adversely affect our day-to-day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The following table sets forth certain information relating to the purchases of our common stock by us and any affiliated purchasers within the meaning of Rule 10b-18(a)(3) under the Exchange Act during the nine months ended January 31, 2022 (dollars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Total # of Shares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101"/>
              <w:spacing w:after="0"/>
              <w:rPr>
                <w:sz w:val="20"/>
                <w:szCs w:val="20"/>
                <w:color w:val="auto"/>
              </w:rPr>
            </w:pPr>
            <w:r>
              <w:rPr>
                <w:rFonts w:ascii="Arial" w:cs="Arial" w:eastAsia="Arial" w:hAnsi="Arial"/>
                <w:sz w:val="14"/>
                <w:szCs w:val="14"/>
                <w:b w:val="1"/>
                <w:bCs w:val="1"/>
                <w:color w:val="auto"/>
                <w:w w:val="97"/>
              </w:rPr>
              <w:t>Maximum Dollar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Purchased as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Value of Shares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that May Yet Be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Announced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Purchased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Price Paid</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Plans or</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Under the Plans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Per Share</w:t>
            </w:r>
          </w:p>
        </w:tc>
        <w:tc>
          <w:tcPr>
            <w:tcW w:w="26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or Programs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May 1 to May 31, 2021</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1,054,550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18.95</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1,054,550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June 1 to June 30, 2021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912,870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21.93</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912,870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to December 31, 2021</w:t>
            </w:r>
          </w:p>
        </w:tc>
        <w:tc>
          <w:tcPr>
            <w:tcW w:w="18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2,788,152</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17.75</w:t>
            </w:r>
          </w:p>
        </w:tc>
        <w:tc>
          <w:tcPr>
            <w:tcW w:w="2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2,788,152</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4,755,572</w:t>
            </w:r>
          </w:p>
        </w:tc>
        <w:tc>
          <w:tcPr>
            <w:tcW w:w="4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18.91</w:t>
            </w:r>
          </w:p>
        </w:tc>
        <w:tc>
          <w:tcPr>
            <w:tcW w:w="1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4,755,572</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-296545</wp:posOffset>
            </wp:positionV>
            <wp:extent cx="431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-296545</wp:posOffset>
            </wp:positionV>
            <wp:extent cx="431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wp:posOffset>
            </wp:positionV>
            <wp:extent cx="3429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-296545</wp:posOffset>
            </wp:positionV>
            <wp:extent cx="342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60" w:lineRule="exact"/>
        <w:rPr>
          <w:sz w:val="20"/>
          <w:szCs w:val="20"/>
          <w:color w:val="auto"/>
        </w:rPr>
      </w:pPr>
    </w:p>
    <w:p>
      <w:pPr>
        <w:jc w:val="both"/>
        <w:ind w:firstLine="8"/>
        <w:spacing w:after="0" w:line="239"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 2021, our Board of Directors authorized the repurchase of up to $100.0 million of our common stock, subject to certain conditions, in the open market or in privately negotiated transactions. During fiscal 2021, we repurchased 3,380,447 shares of our common stock for $60.0 million. During the nine months ended January 31, 2022, we completed this stock repurchase program by repurchasing 1,967,420 shares of our common stock for $40.0 million utilizing cash on hand. On June 15, 2021, our Board of Directors authorized the repurchase of an additional $50.0 million of our common stock, subject to certain conditions, in the open market or in privately negotiated transactions, which authorization is valid through August 2022. During the nine months ended January 31, 2022, we completed this stock repurchase program by repurchasing 2,788,152 shares of our common stock for $50.0 million utilizing cash on hand.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06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9"/>
              </w:rPr>
              <w:t>SMITH &amp; WESSON BRANDS, INC. AND SUBSIDIARIES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0060" w:type="dxa"/>
            <w:vAlign w:val="bottom"/>
            <w:gridSpan w:val="3"/>
          </w:tcPr>
          <w:p>
            <w:pPr>
              <w:jc w:val="center"/>
              <w:ind w:right="1180"/>
              <w:spacing w:after="0" w:line="202" w:lineRule="exact"/>
              <w:rPr>
                <w:sz w:val="20"/>
                <w:szCs w:val="20"/>
                <w:color w:val="auto"/>
              </w:rPr>
            </w:pPr>
            <w:r>
              <w:rPr>
                <w:rFonts w:ascii="Arial" w:cs="Arial" w:eastAsia="Arial" w:hAnsi="Arial"/>
                <w:sz w:val="18"/>
                <w:szCs w:val="18"/>
                <w:b w:val="1"/>
                <w:bCs w:val="1"/>
                <w:color w:val="auto"/>
              </w:rPr>
              <w:t>NOTES TO CONDENSED CONSOLIDATED FINANCIAL STATEMENTS (UNAUDITED)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006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1"/>
              </w:rPr>
              <w:t>For the Three and Nine Months Ended January 31, 2022 and 2021</w:t>
            </w:r>
          </w:p>
        </w:tc>
        <w:tc>
          <w:tcPr>
            <w:tcW w:w="0" w:type="dxa"/>
            <w:vAlign w:val="bottom"/>
          </w:tcPr>
          <w:p>
            <w:pPr>
              <w:spacing w:after="0"/>
              <w:rPr>
                <w:sz w:val="1"/>
                <w:szCs w:val="1"/>
                <w:color w:val="auto"/>
              </w:rPr>
            </w:pPr>
          </w:p>
        </w:tc>
      </w:tr>
      <w:tr>
        <w:trPr>
          <w:trHeight w:val="554"/>
        </w:trPr>
        <w:tc>
          <w:tcPr>
            <w:tcW w:w="1140" w:type="dxa"/>
            <w:vAlign w:val="bottom"/>
          </w:tcPr>
          <w:p>
            <w:pPr>
              <w:spacing w:after="0"/>
              <w:rPr>
                <w:sz w:val="24"/>
                <w:szCs w:val="24"/>
                <w:color w:val="auto"/>
              </w:rPr>
            </w:pPr>
          </w:p>
        </w:tc>
        <w:tc>
          <w:tcPr>
            <w:tcW w:w="1006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405"/>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1006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Rule 13a-14(a)/15d-14(a) Certification of Principal Executive Officer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Borders>
              <w:left w:val="single" w:sz="8" w:color="0000EE"/>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5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1006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Rule 13a-14(a)/15d-14(a) Certification of Principal Financial Officer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Borders>
              <w:left w:val="single" w:sz="8" w:color="0000EE"/>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1006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Section 1350 Certification of Principal Executive Officer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Borders>
              <w:left w:val="single" w:sz="8" w:color="0000EE"/>
            </w:tcBorders>
            <w:shd w:val="clear" w:color="auto" w:fill="0000FF"/>
          </w:tcPr>
          <w:p>
            <w:pPr>
              <w:spacing w:after="0" w:line="20" w:lineRule="exact"/>
              <w:rPr>
                <w:sz w:val="1"/>
                <w:szCs w:val="1"/>
                <w:color w:val="auto"/>
              </w:rPr>
            </w:pPr>
          </w:p>
        </w:tc>
        <w:tc>
          <w:tcPr>
            <w:tcW w:w="60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1006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Section 1350 Certification of Principal Financial Officer</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060" w:type="dxa"/>
            <w:vAlign w:val="bottom"/>
            <w:tcBorders>
              <w:left w:val="single" w:sz="8" w:color="0000EE"/>
            </w:tcBorders>
            <w:shd w:val="clear" w:color="auto" w:fill="0000FF"/>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140" w:type="dxa"/>
            <w:vAlign w:val="bottom"/>
            <w:vMerge w:val="continue"/>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4"/>
                <w:szCs w:val="14"/>
                <w:color w:val="auto"/>
                <w:w w:val="99"/>
              </w:rPr>
              <w:t>Inline XBRL Instance Document – 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060" w:type="dxa"/>
            <w:vAlign w:val="bottom"/>
            <w:gridSpan w:val="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3"/>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3"/>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3"/>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3"/>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3"/>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140" w:hanging="1139"/>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4"/>
          <w:szCs w:val="14"/>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31" w:name="page32"/>
    <w:bookmarkEnd w:id="31"/>
    <w:p>
      <w:pPr>
        <w:jc w:val="center"/>
        <w:ind w:right="40"/>
        <w:spacing w:after="0" w:line="250"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Nine Months Ended January 31, 2022 and 2021</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SMITH &amp; WESSON BRANDS, INC.</w:t>
      </w:r>
    </w:p>
    <w:p>
      <w:pPr>
        <w:ind w:left="6480"/>
        <w:spacing w:after="0"/>
        <w:rPr>
          <w:sz w:val="20"/>
          <w:szCs w:val="20"/>
          <w:color w:val="auto"/>
        </w:rPr>
      </w:pPr>
      <w:r>
        <w:rPr>
          <w:rFonts w:ascii="Arial" w:cs="Arial" w:eastAsia="Arial" w:hAnsi="Arial"/>
          <w:sz w:val="18"/>
          <w:szCs w:val="18"/>
          <w:color w:val="auto"/>
        </w:rPr>
        <w:t>a Nevada corporation</w:t>
      </w:r>
    </w:p>
    <w:p>
      <w:pPr>
        <w:spacing w:after="0" w:line="223" w:lineRule="exact"/>
        <w:rPr>
          <w:sz w:val="20"/>
          <w:szCs w:val="20"/>
          <w:color w:val="auto"/>
        </w:rPr>
      </w:pPr>
    </w:p>
    <w:p>
      <w:pPr>
        <w:ind w:left="20"/>
        <w:spacing w:after="0"/>
        <w:tabs>
          <w:tab w:leader="none" w:pos="6460" w:val="left"/>
          <w:tab w:leader="none" w:pos="710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6350</wp:posOffset>
            </wp:positionV>
            <wp:extent cx="26231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Mark P. Smith</w:t>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90" w:lineRule="exact"/>
        <w:rPr>
          <w:sz w:val="20"/>
          <w:szCs w:val="20"/>
          <w:color w:val="auto"/>
        </w:rPr>
      </w:pPr>
    </w:p>
    <w:p>
      <w:pPr>
        <w:ind w:left="20"/>
        <w:spacing w:after="0"/>
        <w:tabs>
          <w:tab w:leader="none" w:pos="6460" w:val="left"/>
          <w:tab w:leader="none" w:pos="710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6350</wp:posOffset>
            </wp:positionV>
            <wp:extent cx="26231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1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Deana L. McPherson</w:t>
      </w:r>
    </w:p>
    <w:p>
      <w:pPr>
        <w:ind w:left="7120"/>
        <w:spacing w:after="0"/>
        <w:tabs>
          <w:tab w:leader="none" w:pos="7940" w:val="left"/>
          <w:tab w:leader="none" w:pos="8400" w:val="left"/>
          <w:tab w:leader="none" w:pos="9280" w:val="left"/>
          <w:tab w:leader="none" w:pos="9820" w:val="left"/>
          <w:tab w:leader="none" w:pos="10660" w:val="left"/>
        </w:tabs>
        <w:rPr>
          <w:sz w:val="20"/>
          <w:szCs w:val="20"/>
          <w:color w:val="auto"/>
        </w:rPr>
      </w:pPr>
      <w:r>
        <w:rPr>
          <w:rFonts w:ascii="Arial" w:cs="Arial" w:eastAsia="Arial" w:hAnsi="Arial"/>
          <w:sz w:val="18"/>
          <w:szCs w:val="18"/>
          <w:i w:val="1"/>
          <w:iCs w:val="1"/>
          <w:color w:val="auto"/>
        </w:rPr>
        <w:t>Executive</w:t>
        <w:tab/>
        <w:t>Vice</w:t>
        <w:tab/>
        <w:t>President,</w:t>
        <w:tab/>
        <w:t>Chief</w:t>
        <w:tab/>
        <w:t>Financial</w:t>
      </w:r>
      <w:r>
        <w:rPr>
          <w:sz w:val="20"/>
          <w:szCs w:val="20"/>
          <w:color w:val="auto"/>
        </w:rPr>
        <w:tab/>
      </w:r>
      <w:r>
        <w:rPr>
          <w:rFonts w:ascii="Arial" w:cs="Arial" w:eastAsia="Arial" w:hAnsi="Arial"/>
          <w:sz w:val="16"/>
          <w:szCs w:val="16"/>
          <w:i w:val="1"/>
          <w:iCs w:val="1"/>
          <w:color w:val="auto"/>
        </w:rPr>
        <w:t>Officer,</w:t>
      </w:r>
    </w:p>
    <w:p>
      <w:pPr>
        <w:ind w:left="7120"/>
        <w:spacing w:after="0"/>
        <w:rPr>
          <w:sz w:val="20"/>
          <w:szCs w:val="20"/>
          <w:color w:val="auto"/>
        </w:rPr>
      </w:pPr>
      <w:r>
        <w:rPr>
          <w:rFonts w:ascii="Arial" w:cs="Arial" w:eastAsia="Arial" w:hAnsi="Arial"/>
          <w:sz w:val="18"/>
          <w:szCs w:val="18"/>
          <w:i w:val="1"/>
          <w:iCs w:val="1"/>
          <w:color w:val="auto"/>
        </w:rPr>
        <w:t>Treasurer, and Assistant Secretary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EXECUTIVE OFFICER</w:t>
      </w:r>
    </w:p>
    <w:p>
      <w:pPr>
        <w:ind w:left="3160"/>
        <w:spacing w:after="0" w:line="234" w:lineRule="auto"/>
        <w:rPr>
          <w:sz w:val="20"/>
          <w:szCs w:val="20"/>
          <w:color w:val="auto"/>
        </w:rPr>
      </w:pPr>
      <w:r>
        <w:rPr>
          <w:rFonts w:ascii="Arial" w:cs="Arial" w:eastAsia="Arial" w:hAnsi="Arial"/>
          <w:sz w:val="18"/>
          <w:szCs w:val="18"/>
          <w:b w:val="1"/>
          <w:bCs w:val="1"/>
          <w:color w:val="auto"/>
        </w:rPr>
        <w:t>PURSUANT TO EXCHANGE ACT RULE 13a-14(a)/15d-14(a)</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Mark P. Smith, certify that:</w:t>
      </w:r>
    </w:p>
    <w:p>
      <w:pPr>
        <w:spacing w:after="0" w:line="104" w:lineRule="exact"/>
        <w:rPr>
          <w:sz w:val="20"/>
          <w:szCs w:val="20"/>
          <w:color w:val="auto"/>
        </w:rPr>
      </w:pPr>
    </w:p>
    <w:p>
      <w:pPr>
        <w:ind w:left="700" w:hanging="18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48"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firstLine="1026"/>
        <w:spacing w:after="0" w:line="248"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1026"/>
        <w:spacing w:after="0" w:line="248" w:lineRule="auto"/>
        <w:tabs>
          <w:tab w:leader="none" w:pos="12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60" w:firstLine="1026"/>
        <w:spacing w:after="0" w:line="324" w:lineRule="auto"/>
        <w:tabs>
          <w:tab w:leader="none" w:pos="1263"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40" w:firstLine="1026"/>
        <w:spacing w:after="0" w:line="248" w:lineRule="auto"/>
        <w:tabs>
          <w:tab w:leader="none" w:pos="12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0" w:firstLine="517"/>
        <w:spacing w:after="0" w:line="291" w:lineRule="auto"/>
        <w:tabs>
          <w:tab w:leader="none" w:pos="6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80" w:firstLine="1026"/>
        <w:spacing w:after="0" w:line="291" w:lineRule="auto"/>
        <w:tabs>
          <w:tab w:leader="none" w:pos="1263"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60" w:firstLine="1026"/>
        <w:spacing w:after="0" w:line="261" w:lineRule="auto"/>
        <w:tabs>
          <w:tab w:leader="none" w:pos="12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7620</wp:posOffset>
            </wp:positionV>
            <wp:extent cx="2562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20"/>
        <w:spacing w:after="0" w:line="234" w:lineRule="auto"/>
        <w:rPr>
          <w:sz w:val="20"/>
          <w:szCs w:val="20"/>
          <w:color w:val="auto"/>
        </w:rPr>
      </w:pPr>
      <w:r>
        <w:rPr>
          <w:rFonts w:ascii="Arial" w:cs="Arial" w:eastAsia="Arial" w:hAnsi="Arial"/>
          <w:sz w:val="18"/>
          <w:szCs w:val="18"/>
          <w:color w:val="auto"/>
        </w:rPr>
        <w:t>Mark P. Smith</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ind w:left="10260"/>
        <w:spacing w:after="0"/>
        <w:rPr>
          <w:sz w:val="20"/>
          <w:szCs w:val="20"/>
          <w:color w:val="auto"/>
        </w:rPr>
      </w:pPr>
      <w:r>
        <w:rPr>
          <w:rFonts w:ascii="Arial" w:cs="Arial" w:eastAsia="Arial" w:hAnsi="Arial"/>
          <w:sz w:val="17"/>
          <w:szCs w:val="17"/>
          <w:b w:val="1"/>
          <w:bCs w:val="1"/>
          <w:color w:val="auto"/>
        </w:rPr>
        <w:t>Exhibit 31.2</w:t>
      </w:r>
    </w:p>
    <w:p>
      <w:pPr>
        <w:spacing w:after="0" w:line="27" w:lineRule="exact"/>
        <w:rPr>
          <w:sz w:val="20"/>
          <w:szCs w:val="20"/>
          <w:color w:val="auto"/>
        </w:rPr>
      </w:pPr>
    </w:p>
    <w:p>
      <w:pPr>
        <w:jc w:val="center"/>
        <w:spacing w:after="0" w:line="239"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Deana L. McPherson, certify that:</w:t>
      </w:r>
    </w:p>
    <w:p>
      <w:pPr>
        <w:spacing w:after="0" w:line="104" w:lineRule="exact"/>
        <w:rPr>
          <w:sz w:val="20"/>
          <w:szCs w:val="20"/>
          <w:color w:val="auto"/>
        </w:rPr>
      </w:pPr>
    </w:p>
    <w:p>
      <w:pPr>
        <w:ind w:left="700" w:hanging="18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48"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firstLine="1026"/>
        <w:spacing w:after="0" w:line="248" w:lineRule="auto"/>
        <w:tabs>
          <w:tab w:leader="none" w:pos="12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1026"/>
        <w:spacing w:after="0" w:line="248" w:lineRule="auto"/>
        <w:tabs>
          <w:tab w:leader="none" w:pos="127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60" w:firstLine="1026"/>
        <w:spacing w:after="0" w:line="324" w:lineRule="auto"/>
        <w:tabs>
          <w:tab w:leader="none" w:pos="1263"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right="240" w:firstLine="1026"/>
        <w:spacing w:after="0" w:line="248" w:lineRule="auto"/>
        <w:tabs>
          <w:tab w:leader="none" w:pos="127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0" w:firstLine="517"/>
        <w:spacing w:after="0" w:line="291" w:lineRule="auto"/>
        <w:tabs>
          <w:tab w:leader="none" w:pos="6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80" w:firstLine="1026"/>
        <w:spacing w:after="0" w:line="291" w:lineRule="auto"/>
        <w:tabs>
          <w:tab w:leader="none" w:pos="126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60" w:firstLine="1026"/>
        <w:spacing w:after="0" w:line="261" w:lineRule="auto"/>
        <w:tabs>
          <w:tab w:leader="none" w:pos="127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666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9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Deana L. McPherson</w:t>
      </w:r>
    </w:p>
    <w:p>
      <w:pPr>
        <w:ind w:left="7180"/>
        <w:spacing w:after="0" w:line="203" w:lineRule="auto"/>
        <w:rPr>
          <w:sz w:val="20"/>
          <w:szCs w:val="20"/>
          <w:color w:val="auto"/>
        </w:rPr>
      </w:pPr>
      <w:r>
        <w:rPr>
          <w:rFonts w:ascii="Arial" w:cs="Arial" w:eastAsia="Arial" w:hAnsi="Arial"/>
          <w:sz w:val="18"/>
          <w:szCs w:val="18"/>
          <w:i w:val="1"/>
          <w:iCs w:val="1"/>
          <w:color w:val="auto"/>
        </w:rPr>
        <w:t>Executive Vice President, Chief Financial Officer,</w:t>
      </w:r>
    </w:p>
    <w:p>
      <w:pPr>
        <w:ind w:left="7180"/>
        <w:spacing w:after="0"/>
        <w:rPr>
          <w:sz w:val="20"/>
          <w:szCs w:val="20"/>
          <w:color w:val="auto"/>
        </w:rPr>
      </w:pPr>
      <w:r>
        <w:rPr>
          <w:rFonts w:ascii="Arial" w:cs="Arial" w:eastAsia="Arial" w:hAnsi="Arial"/>
          <w:sz w:val="18"/>
          <w:szCs w:val="18"/>
          <w:i w:val="1"/>
          <w:iCs w:val="1"/>
          <w:color w:val="auto"/>
        </w:rPr>
        <w:t>Treasurer, and Assistant Secretary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ind w:left="10260"/>
        <w:spacing w:after="0"/>
        <w:rPr>
          <w:sz w:val="20"/>
          <w:szCs w:val="20"/>
          <w:color w:val="auto"/>
        </w:rPr>
      </w:pPr>
      <w:r>
        <w:rPr>
          <w:rFonts w:ascii="Arial" w:cs="Arial" w:eastAsia="Arial" w:hAnsi="Arial"/>
          <w:sz w:val="17"/>
          <w:szCs w:val="17"/>
          <w:b w:val="1"/>
          <w:bCs w:val="1"/>
          <w:color w:val="auto"/>
        </w:rPr>
        <w:t>Exhibit 32.1</w:t>
      </w:r>
    </w:p>
    <w:p>
      <w:pPr>
        <w:spacing w:after="0" w:line="27" w:lineRule="exact"/>
        <w:rPr>
          <w:sz w:val="20"/>
          <w:szCs w:val="20"/>
          <w:color w:val="auto"/>
        </w:rPr>
      </w:pPr>
    </w:p>
    <w:p>
      <w:pPr>
        <w:jc w:val="center"/>
        <w:ind w:right="20"/>
        <w:spacing w:after="0" w:line="239"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January 31, 2022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8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8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17" w:lineRule="exact"/>
        <w:rPr>
          <w:sz w:val="20"/>
          <w:szCs w:val="20"/>
          <w:color w:val="auto"/>
        </w:rPr>
      </w:pPr>
    </w:p>
    <w:p>
      <w:pPr>
        <w:ind w:left="666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9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Mark P. Smith</w:t>
      </w:r>
    </w:p>
    <w:p>
      <w:pPr>
        <w:spacing w:after="0" w:line="104"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ind w:left="10260"/>
        <w:spacing w:after="0"/>
        <w:rPr>
          <w:sz w:val="20"/>
          <w:szCs w:val="20"/>
          <w:color w:val="auto"/>
        </w:rPr>
      </w:pPr>
      <w:r>
        <w:rPr>
          <w:rFonts w:ascii="Arial" w:cs="Arial" w:eastAsia="Arial" w:hAnsi="Arial"/>
          <w:sz w:val="17"/>
          <w:szCs w:val="17"/>
          <w:b w:val="1"/>
          <w:bCs w:val="1"/>
          <w:color w:val="auto"/>
        </w:rPr>
        <w:t>Exhibit 32.2</w:t>
      </w:r>
    </w:p>
    <w:p>
      <w:pPr>
        <w:spacing w:after="0" w:line="27" w:lineRule="exact"/>
        <w:rPr>
          <w:sz w:val="20"/>
          <w:szCs w:val="20"/>
          <w:color w:val="auto"/>
        </w:rPr>
      </w:pPr>
    </w:p>
    <w:p>
      <w:pPr>
        <w:jc w:val="center"/>
        <w:ind w:right="20"/>
        <w:spacing w:after="0" w:line="239"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8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January 31, 2022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8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8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17" w:lineRule="exact"/>
        <w:rPr>
          <w:sz w:val="20"/>
          <w:szCs w:val="20"/>
          <w:color w:val="auto"/>
        </w:rPr>
      </w:pPr>
    </w:p>
    <w:p>
      <w:pPr>
        <w:ind w:left="666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9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Deana L. McPherson</w:t>
      </w:r>
    </w:p>
    <w:p>
      <w:pPr>
        <w:ind w:left="7180"/>
        <w:spacing w:after="0" w:line="203" w:lineRule="auto"/>
        <w:rPr>
          <w:sz w:val="20"/>
          <w:szCs w:val="20"/>
          <w:color w:val="auto"/>
        </w:rPr>
      </w:pPr>
      <w:r>
        <w:rPr>
          <w:rFonts w:ascii="Arial" w:cs="Arial" w:eastAsia="Arial" w:hAnsi="Arial"/>
          <w:sz w:val="18"/>
          <w:szCs w:val="18"/>
          <w:color w:val="auto"/>
        </w:rPr>
        <w:t>Executive Vice President, Chief Financial Officer,</w:t>
      </w:r>
    </w:p>
    <w:p>
      <w:pPr>
        <w:ind w:left="7180"/>
        <w:spacing w:after="0"/>
        <w:rPr>
          <w:sz w:val="20"/>
          <w:szCs w:val="20"/>
          <w:color w:val="auto"/>
        </w:rPr>
      </w:pPr>
      <w:r>
        <w:rPr>
          <w:rFonts w:ascii="Arial" w:cs="Arial" w:eastAsia="Arial" w:hAnsi="Arial"/>
          <w:sz w:val="18"/>
          <w:szCs w:val="18"/>
          <w:color w:val="auto"/>
        </w:rPr>
        <w:t>Treasurer, and Assistant Secretary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04"/>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2022-03-03T15:24:17Z</dcterms:created>
  <dcterms:modified xsi:type="dcterms:W3CDTF">2022-03-03T15:24:17Z</dcterms:modified>
</cp:coreProperties>
</file>