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2024</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200025</wp:posOffset>
            </wp:positionV>
            <wp:extent cx="254571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571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Smith &amp; Wesson Brands, Inc.</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48"/>
        </w:trPr>
        <w:tc>
          <w:tcPr>
            <w:tcW w:w="3440" w:type="dxa"/>
            <w:vAlign w:val="bottom"/>
          </w:tcPr>
          <w:p>
            <w:pPr>
              <w:jc w:val="center"/>
              <w:ind w:left="9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8"/>
                <w:szCs w:val="18"/>
                <w:b w:val="1"/>
                <w:bCs w:val="1"/>
                <w:color w:val="auto"/>
                <w:w w:val="99"/>
              </w:rPr>
              <w:t>1852 Proffitt Springs Road</w:t>
            </w: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4"/>
        </w:trPr>
        <w:tc>
          <w:tcPr>
            <w:tcW w:w="344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8"/>
              </w:rPr>
              <w:t>Maryville, Tennessee</w:t>
            </w: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37801</w:t>
            </w:r>
          </w:p>
        </w:tc>
      </w:tr>
      <w:tr>
        <w:trPr>
          <w:trHeight w:val="190"/>
        </w:trPr>
        <w:tc>
          <w:tcPr>
            <w:tcW w:w="3440" w:type="dxa"/>
            <w:vAlign w:val="bottom"/>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3440" w:type="dxa"/>
            <w:vAlign w:val="bottom"/>
          </w:tcPr>
          <w:p>
            <w:pPr>
              <w:spacing w:after="0"/>
              <w:rPr>
                <w:sz w:val="24"/>
                <w:szCs w:val="24"/>
                <w:color w:val="auto"/>
              </w:rPr>
            </w:pPr>
          </w:p>
        </w:tc>
        <w:tc>
          <w:tcPr>
            <w:tcW w:w="27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118"/>
        </w:trPr>
        <w:tc>
          <w:tcPr>
            <w:tcW w:w="398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3200" w:type="dxa"/>
            <w:vAlign w:val="bottom"/>
          </w:tcPr>
          <w:p>
            <w:pPr>
              <w:spacing w:after="0"/>
              <w:rPr>
                <w:sz w:val="10"/>
                <w:szCs w:val="10"/>
                <w:color w:val="auto"/>
              </w:rPr>
            </w:pPr>
          </w:p>
        </w:tc>
      </w:tr>
      <w:tr>
        <w:trPr>
          <w:trHeight w:val="31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5"/>
        </w:trPr>
        <w:tc>
          <w:tcPr>
            <w:tcW w:w="3440" w:type="dxa"/>
            <w:vAlign w:val="bottom"/>
          </w:tcPr>
          <w:p>
            <w:pPr>
              <w:jc w:val="center"/>
              <w:ind w:right="618"/>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Pr>
          <w:p>
            <w:pPr>
              <w:spacing w:after="0"/>
              <w:rPr>
                <w:sz w:val="24"/>
                <w:szCs w:val="24"/>
                <w:color w:val="auto"/>
              </w:rPr>
            </w:pPr>
          </w:p>
        </w:tc>
        <w:tc>
          <w:tcPr>
            <w:tcW w:w="3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8"/>
        </w:trPr>
        <w:tc>
          <w:tcPr>
            <w:tcW w:w="3440" w:type="dxa"/>
            <w:vAlign w:val="bottom"/>
          </w:tcPr>
          <w:p>
            <w:pPr>
              <w:jc w:val="center"/>
              <w:ind w:right="61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40" w:type="dxa"/>
            <w:vAlign w:val="bottom"/>
          </w:tcPr>
          <w:p>
            <w:pPr>
              <w:spacing w:after="0"/>
              <w:rPr>
                <w:sz w:val="16"/>
                <w:szCs w:val="16"/>
                <w:color w:val="auto"/>
              </w:rPr>
            </w:pPr>
          </w:p>
        </w:tc>
        <w:tc>
          <w:tcPr>
            <w:tcW w:w="30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SWBI</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6"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75" w:lineRule="exact"/>
        <w:rPr>
          <w:sz w:val="24"/>
          <w:szCs w:val="24"/>
          <w:color w:val="auto"/>
        </w:rPr>
      </w:pPr>
    </w:p>
    <w:p>
      <w:pPr>
        <w:jc w:val="both"/>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2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44,002,703 shares of common stock, par value $0.001, outstanding as of December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October 31, 2024 and 2023</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4"/>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18"/>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7"/>
                <w:szCs w:val="17"/>
                <w:color w:val="auto"/>
              </w:rPr>
            </w:pPr>
          </w:p>
        </w:tc>
        <w:tc>
          <w:tcPr>
            <w:tcW w:w="652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318"/>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5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636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96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6980" w:type="dxa"/>
            <w:vAlign w:val="bottom"/>
            <w:gridSpan w:val="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320" w:type="dxa"/>
            <w:vAlign w:val="bottom"/>
            <w:gridSpan w:val="2"/>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720" w:type="dxa"/>
            <w:vAlign w:val="bottom"/>
            <w:gridSpan w:val="1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EX-31.1</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EX-31.2</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EX-32.1</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1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EX-32.2</w:t>
            </w:r>
          </w:p>
        </w:tc>
        <w:tc>
          <w:tcPr>
            <w:tcW w:w="20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Airlite®, Airweight®, American Guardians®, Armornite®, Arrow®, Aurora®, Aurora-II®, Blast Jacket®, Bodyguard®, Carry Comp®, Chiefs Special®, Club 1852®, Competitor®, CSX®, Dagger®, E-Series®, EZ®, Flexmag®, G-Core®, Gemtech®, Gemtech Suppressors®, GM®, GM-S1®, GMT-Halo®, Governor®, GVAC®, Integra®, Lady Smith®, Lever Lock®, Lunar®, M&amp;P FPC®, M2.0®, Magnum®, Mist-22®, Mountain Gun®, Protected by Smith &amp; Wesson®, Put A Legend On Your Line®, Quickmount®, Shield®, Silence is Golden®, Smith &amp; Wesson Collectors Association®, Smith &amp; Wesson Performance Center®, Smith &amp; Wesson Precision Components®, Smith &amp; Wesson Response®, SW Equalizer®, SW22 Victory®, TEMPO®, The S&amp;W Bench®, The Sigma Series®, Trek®, Volunteer®, and Weather Shield® are some of the registered U.S.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plans to vacate the Deep River, Connecticut facility in December 2024 our current belief that there are no indications of impairment relating to assets being utilized at the Deep River facility; expected undiscounted cashflows, based on the Assignment and Assumption Agreement (as defined herein), for future periods; lease payments for all our operating and finance leases for future periods; our expectation that the unrecognized compensation expense related to unvested RSUs and PSUs will be recognized over a weighted average remaining contractual term of 1.6 years; our belief that the remaining claims asserted by Gemini (as defined herein) against us have no merit and our intention to aggressively defend against this action; our belief with respect to certain matters described in the Commitments and Contingencies - Litigation section that the allegations are unfounded and, in addition, that any incident and any results from them or any injuries were due to negligence or misuse of the firearm by the claimant or a third party; our belief that our accruals for product liability cases and claims are a reasonable quantitative measure of the cost to us of product liability cases and claims; our belief that an unfavorable outcome or prolonged litigation could harm our business; our belief that we are vigorously defending ourselves in lawsuits to which we are subject; our conclusion that we are unable to reasonably estimate the probability or the estimated range of reasonably possible losses related to material adverse judgments related to such lawsuits and our determination not to accrue for and judgments in such lawsuits; our belief that we have provided adequate accruals for defense costs; our intention, in connection with our new facility in Maryville, Tennessee, to incur, or cause to be incurred, no less than $120.0 million in aggregate capital expenditures on or before December 31, 2025, create no less than 620 new jobs, and sustain an average hourly wage of at least $25.97 at the facility; our expectation, when adding the cost of machinery and equipment, to spend between $165.0 million and $170.0 million through the end of fiscal 2025; our belief that inventory levels, both internally and in the distribution channel, in excess of demand may negatively impact future operating results; our expectation that our inventory levels will decline during the remainder of the fiscal year; our expectation for capital expenditures in fiscal 2025; factors affecting our future capital requirements; availability of equity or debt financing on acceptable terms, if at all; the record date and payment date for our dividend; and our belief that our existing capital resources and credit facilities will be adequate to fund our operations for the next 12 months.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hereof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results of the 2024 elections;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effectively manage and execute the Relocation;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the success of new products; our ability to expand our markets; the potential for cancellation of orders from our backlog; and other factors detailed from time to time in our reports filed with the Securities and Exchange Commission, or the SEC, including our Annual Report on Form 10-K for the fiscal year ended April 30, 2024, or the Fiscal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757555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3"/>
                <w:szCs w:val="13"/>
                <w:b w:val="1"/>
                <w:bCs w:val="1"/>
                <w:color w:val="auto"/>
              </w:rPr>
              <w:t>October 31, 2024</w:t>
            </w: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3"/>
                <w:szCs w:val="13"/>
                <w:b w:val="1"/>
                <w:bCs w:val="1"/>
                <w:color w:val="auto"/>
              </w:rPr>
              <w:t>April 30,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60" w:type="dxa"/>
            <w:vAlign w:val="bottom"/>
            <w:vMerge w:val="restart"/>
          </w:tcPr>
          <w:p>
            <w:pPr>
              <w:ind w:left="5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(In thousands, except</w:t>
            </w:r>
          </w:p>
        </w:tc>
        <w:tc>
          <w:tcPr>
            <w:tcW w:w="1840" w:type="dxa"/>
            <w:vAlign w:val="bottom"/>
            <w:gridSpan w:val="3"/>
          </w:tcPr>
          <w:p>
            <w:pPr>
              <w:jc w:val="right"/>
              <w:ind w:right="395"/>
              <w:spacing w:after="0"/>
              <w:rPr>
                <w:sz w:val="20"/>
                <w:szCs w:val="20"/>
                <w:color w:val="auto"/>
              </w:rPr>
            </w:pPr>
            <w:r>
              <w:rPr>
                <w:rFonts w:ascii="Times New Roman" w:cs="Times New Roman" w:eastAsia="Times New Roman" w:hAnsi="Times New Roman"/>
                <w:sz w:val="13"/>
                <w:szCs w:val="13"/>
                <w:color w:val="auto"/>
              </w:rPr>
              <w:t>par value and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39,093</w:t>
            </w:r>
          </w:p>
        </w:tc>
        <w:tc>
          <w:tcPr>
            <w:tcW w:w="30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$5 on</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October 31, 2024 and $0 on April 30, 2024</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52,707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196,035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10,112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 receivable</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8,120</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306,067</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287,878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244,452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8,128</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587,443</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577,996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37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31,627</w:t>
            </w:r>
          </w:p>
        </w:tc>
        <w:tc>
          <w:tcPr>
            <w:tcW w:w="30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29,979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Accrued profit sharing</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Accrued warranty</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77,181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96,700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and loans payable (Note 3)</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98,994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34,578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7,625</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218,378</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179,836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Preferred stock, $0.001 par value, 20,000,000 shares authorized, no shares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issued or outstanding</w:t>
            </w:r>
          </w:p>
        </w:tc>
        <w:tc>
          <w:tcPr>
            <w:tcW w:w="220" w:type="dxa"/>
            <w:vAlign w:val="bottom"/>
          </w:tcPr>
          <w:p>
            <w:pPr>
              <w:spacing w:after="0"/>
              <w:rPr>
                <w:sz w:val="19"/>
                <w:szCs w:val="19"/>
                <w:color w:val="auto"/>
              </w:rPr>
            </w:pPr>
          </w:p>
        </w:tc>
        <w:tc>
          <w:tcPr>
            <w:tcW w:w="172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660" w:type="dxa"/>
            <w:vAlign w:val="bottom"/>
            <w:shd w:val="clear" w:color="auto" w:fill="CFF0FC"/>
          </w:tcPr>
          <w:p>
            <w:pPr>
              <w:ind w:left="200"/>
              <w:spacing w:after="0" w:line="182" w:lineRule="exact"/>
              <w:rPr>
                <w:sz w:val="20"/>
                <w:szCs w:val="20"/>
                <w:color w:val="auto"/>
              </w:rPr>
            </w:pPr>
            <w:r>
              <w:rPr>
                <w:rFonts w:ascii="Times New Roman" w:cs="Times New Roman" w:eastAsia="Times New Roman" w:hAnsi="Times New Roman"/>
                <w:sz w:val="17"/>
                <w:szCs w:val="17"/>
                <w:color w:val="auto"/>
              </w:rPr>
              <w:t>Common stock, $0.001 par value, 100,000,000 shares authorized, 75,677,848</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issued and 44,219,627 shares outstanding on October 31, 2024 and 75,395,490</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shares issued and 45,561,569 shares outstanding on April 30, 2024</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293,362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531,000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540,660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66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Treasury stock, at cost (31,458,221 shares on October 31, 2024 and</w:t>
            </w:r>
          </w:p>
        </w:tc>
        <w:tc>
          <w:tcPr>
            <w:tcW w:w="220" w:type="dxa"/>
            <w:vAlign w:val="bottom"/>
            <w:shd w:val="clear" w:color="auto" w:fill="CFF0FC"/>
          </w:tcPr>
          <w:p>
            <w:pPr>
              <w:spacing w:after="0"/>
              <w:rPr>
                <w:sz w:val="15"/>
                <w:szCs w:val="15"/>
                <w:color w:val="auto"/>
              </w:rPr>
            </w:pPr>
          </w:p>
        </w:tc>
        <w:tc>
          <w:tcPr>
            <w:tcW w:w="1720" w:type="dxa"/>
            <w:vAlign w:val="bottom"/>
            <w:gridSpan w:val="2"/>
            <w:vMerge w:val="restart"/>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rPr>
              <w:t>(455,446 )</w:t>
            </w:r>
          </w:p>
        </w:tc>
        <w:tc>
          <w:tcPr>
            <w:tcW w:w="220" w:type="dxa"/>
            <w:vAlign w:val="bottom"/>
            <w:shd w:val="clear" w:color="auto" w:fill="CFF0FC"/>
          </w:tcPr>
          <w:p>
            <w:pPr>
              <w:spacing w:after="0"/>
              <w:rPr>
                <w:sz w:val="15"/>
                <w:szCs w:val="15"/>
                <w:color w:val="auto"/>
              </w:rPr>
            </w:pPr>
          </w:p>
        </w:tc>
        <w:tc>
          <w:tcPr>
            <w:tcW w:w="14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(432,642 )</w:t>
            </w:r>
          </w:p>
        </w:tc>
        <w:tc>
          <w:tcPr>
            <w:tcW w:w="0" w:type="dxa"/>
            <w:vAlign w:val="bottom"/>
          </w:tcPr>
          <w:p>
            <w:pPr>
              <w:spacing w:after="0"/>
              <w:rPr>
                <w:sz w:val="1"/>
                <w:szCs w:val="1"/>
                <w:color w:val="auto"/>
              </w:rPr>
            </w:pPr>
          </w:p>
        </w:tc>
      </w:tr>
      <w:tr>
        <w:trPr>
          <w:trHeight w:val="211"/>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29,833,921 shares on April 30, 2024)</w:t>
            </w:r>
          </w:p>
        </w:tc>
        <w:tc>
          <w:tcPr>
            <w:tcW w:w="220" w:type="dxa"/>
            <w:vAlign w:val="bottom"/>
            <w:shd w:val="clear" w:color="auto" w:fill="CFF0FC"/>
          </w:tcPr>
          <w:p>
            <w:pPr>
              <w:spacing w:after="0"/>
              <w:rPr>
                <w:sz w:val="18"/>
                <w:szCs w:val="18"/>
                <w:color w:val="auto"/>
              </w:rPr>
            </w:pPr>
          </w:p>
        </w:tc>
        <w:tc>
          <w:tcPr>
            <w:tcW w:w="172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369,065</w:t>
            </w: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398,160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587,443</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577,996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-4217035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-3428365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-3411220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-2502535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-1842135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-299720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3"/>
                <w:szCs w:val="13"/>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60" w:type="dxa"/>
            <w:vAlign w:val="bottom"/>
          </w:tcPr>
          <w:p>
            <w:pPr>
              <w:spacing w:after="0"/>
              <w:rPr>
                <w:sz w:val="15"/>
                <w:szCs w:val="15"/>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7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124,958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218,013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239,201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95,133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159,276</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177,034</w:t>
            </w:r>
          </w:p>
        </w:tc>
        <w:tc>
          <w:tcPr>
            <w:tcW w:w="100" w:type="dxa"/>
            <w:vAlign w:val="bottom"/>
          </w:tcPr>
          <w:p>
            <w:pPr>
              <w:spacing w:after="0"/>
              <w:rPr>
                <w:sz w:val="18"/>
                <w:szCs w:val="18"/>
                <w:color w:val="auto"/>
              </w:rPr>
            </w:pPr>
          </w:p>
        </w:tc>
      </w:tr>
      <w:tr>
        <w:trPr>
          <w:trHeight w:val="20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29,480</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53,627</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100" w:type="dxa"/>
            <w:vAlign w:val="bottom"/>
          </w:tcPr>
          <w:p>
            <w:pPr>
              <w:spacing w:after="0"/>
              <w:rPr>
                <w:sz w:val="18"/>
                <w:szCs w:val="18"/>
                <w:color w:val="auto"/>
              </w:rPr>
            </w:pPr>
          </w:p>
        </w:tc>
      </w:tr>
      <w:tr>
        <w:trPr>
          <w:trHeight w:val="21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(expense)/income, net: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(expense)/income, net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(1,419 )</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(646 )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(2,152 )</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(492 )</w:t>
            </w:r>
          </w:p>
        </w:tc>
      </w:tr>
      <w:tr>
        <w:trPr>
          <w:trHeight w:val="20"/>
        </w:trPr>
        <w:tc>
          <w:tcPr>
            <w:tcW w:w="5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(1,424 )</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(505 )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(2,163 )</w:t>
            </w:r>
          </w:p>
        </w:tc>
        <w:tc>
          <w:tcPr>
            <w:tcW w:w="3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(304 )</w:t>
            </w:r>
          </w:p>
        </w:tc>
      </w:tr>
      <w:tr>
        <w:trPr>
          <w:trHeight w:val="209"/>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top w:val="single" w:sz="8" w:color="CFF0FC"/>
            </w:tcBorders>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 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 net income</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5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46,042</w:t>
            </w: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-2753995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-2753995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-2753995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-2753995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-2197100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-2197100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-2197100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-2197100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-1905635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-1905635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-1905635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-1905635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-1339850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-1339850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-1339850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-1339850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-1056640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-1056640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-1056640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-1056640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-448310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-431165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-448310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-431165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-448310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-431165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CHANGES IN STOCKHOLDERS’ EQUITY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740" w:type="dxa"/>
            <w:vAlign w:val="bottom"/>
            <w:gridSpan w:val="4"/>
          </w:tcPr>
          <w:p>
            <w:pPr>
              <w:jc w:val="right"/>
              <w:ind w:right="49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w:t>
            </w:r>
          </w:p>
        </w:tc>
        <w:tc>
          <w:tcPr>
            <w:tcW w:w="18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ensive</w:t>
            </w:r>
          </w:p>
        </w:tc>
        <w:tc>
          <w:tcPr>
            <w:tcW w:w="1880" w:type="dxa"/>
            <w:vAlign w:val="bottom"/>
            <w:gridSpan w:val="5"/>
            <w:vMerge w:val="continue"/>
          </w:tcPr>
          <w:p>
            <w:pPr>
              <w:spacing w:after="0"/>
              <w:rPr>
                <w:sz w:val="13"/>
                <w:szCs w:val="13"/>
                <w:color w:val="auto"/>
              </w:rPr>
            </w:pPr>
          </w:p>
        </w:tc>
        <w:tc>
          <w:tcPr>
            <w:tcW w:w="8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ers’</w:t>
            </w:r>
          </w:p>
        </w:tc>
        <w:tc>
          <w:tcPr>
            <w:tcW w:w="0" w:type="dxa"/>
            <w:vAlign w:val="bottom"/>
          </w:tcPr>
          <w:p>
            <w:pPr>
              <w:spacing w:after="0"/>
              <w:rPr>
                <w:sz w:val="1"/>
                <w:szCs w:val="1"/>
                <w:color w:val="auto"/>
              </w:rPr>
            </w:pPr>
          </w:p>
        </w:tc>
      </w:tr>
      <w:tr>
        <w:trPr>
          <w:trHeight w:val="142"/>
        </w:trPr>
        <w:tc>
          <w:tcPr>
            <w:tcW w:w="38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(In thousands)</w:t>
            </w:r>
          </w:p>
        </w:tc>
        <w:tc>
          <w:tcPr>
            <w:tcW w:w="780" w:type="dxa"/>
            <w:vAlign w:val="bottom"/>
            <w:tcBorders>
              <w:top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74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(422,37</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July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75,184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$ 284,176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$ 520,766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$ 382,715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(41 )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(8,294 )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(8,294 )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($0.12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(5,544 )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(5,544 )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(430,66</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$ 286,341</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$ 517,682</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$ 373,502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388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(422,37</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$ 283,666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$ 523,184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$ 384,623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(806 )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(806 )</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(8,294 )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(8,294 )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($0.24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(11,080 )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(11,080 )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(430,66</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$ 286,341</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$ 517,682</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$ 373,502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8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(445,60</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July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75,552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$ 290,790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$ 532,647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30,705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$ 377,986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(46 )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0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(9,846 )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(9,846 )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($0.13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(5,767 )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(5,767 )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(455,44</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75,678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$ 293,362</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$ 531,000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$ 369,065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8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(432,64</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April 30,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$ 289,994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$ 540,660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$ 398,160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restricted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unit awards, net of shares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surrendered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(1,103 )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(1,102 )</w:t>
            </w:r>
          </w:p>
        </w:tc>
        <w:tc>
          <w:tcPr>
            <w:tcW w:w="0" w:type="dxa"/>
            <w:vAlign w:val="bottom"/>
          </w:tcPr>
          <w:p>
            <w:pPr>
              <w:spacing w:after="0"/>
              <w:rPr>
                <w:sz w:val="1"/>
                <w:szCs w:val="1"/>
                <w:color w:val="auto"/>
              </w:rPr>
            </w:pPr>
          </w:p>
        </w:tc>
      </w:tr>
      <w:tr>
        <w:trPr>
          <w:trHeight w:val="205"/>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treasury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(22,804 )</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(22,804 )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dividend accrued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2"/>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issued ($0.26 per common share)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(11,652 )</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(11,652 )</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(455,44</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75,678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$ 293,362</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$ 531,000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31,458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$ 369,065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-5880100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-5862955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-5880100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-5862955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-5880100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-5862955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-5880100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-5862955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-5880100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-5862955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-5880100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-5862955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-5880100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-5862955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-5880100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-5862955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-3950970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-3933825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-3950970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-3933825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-3950970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-3933825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-3950970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-3933825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-3950970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-3933825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-3950970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-3933825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-3950970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-3933825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-1988185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-1971040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-1988185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-1971040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-1988185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-1971040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-1988185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-1971040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-1988185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-1971040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-1988185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-1971040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-25400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717"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360" w:type="dxa"/>
            <w:vAlign w:val="bottom"/>
            <w:gridSpan w:val="2"/>
          </w:tcPr>
          <w:p>
            <w:pPr>
              <w:jc w:val="right"/>
              <w:ind w:right="717"/>
              <w:spacing w:after="0" w:line="142" w:lineRule="exact"/>
              <w:rPr>
                <w:sz w:val="20"/>
                <w:szCs w:val="20"/>
                <w:color w:val="auto"/>
              </w:rPr>
            </w:pPr>
            <w:r>
              <w:rPr>
                <w:rFonts w:ascii="Times New Roman" w:cs="Times New Roman" w:eastAsia="Times New Roman" w:hAnsi="Times New Roman"/>
                <w:sz w:val="14"/>
                <w:szCs w:val="14"/>
                <w:color w:val="auto"/>
                <w:w w:val="88"/>
              </w:rPr>
              <w:t>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tcPr>
          <w:p>
            <w:pPr>
              <w:spacing w:after="0"/>
              <w:rPr>
                <w:sz w:val="17"/>
                <w:szCs w:val="17"/>
                <w:color w:val="auto"/>
              </w:rPr>
            </w:pP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in)/provided by operating activities:</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16,261</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(Gain)/loss on sale/disposition of assets</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(139 )</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Provision for losses/(recoveries) on notes and accounts receivable</w:t>
            </w:r>
          </w:p>
        </w:tc>
        <w:tc>
          <w:tcPr>
            <w:tcW w:w="1040" w:type="dxa"/>
            <w:vAlign w:val="bottom"/>
          </w:tcPr>
          <w:p>
            <w:pPr>
              <w:spacing w:after="0"/>
              <w:rPr>
                <w:sz w:val="17"/>
                <w:szCs w:val="17"/>
                <w:color w:val="auto"/>
              </w:rPr>
            </w:pPr>
          </w:p>
        </w:tc>
        <w:tc>
          <w:tcPr>
            <w:tcW w:w="900" w:type="dxa"/>
            <w:vAlign w:val="bottom"/>
            <w:gridSpan w:val="2"/>
          </w:tcPr>
          <w:p>
            <w:pPr>
              <w:jc w:val="right"/>
              <w:ind w:right="248"/>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6,364</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(4,619 )</w:t>
            </w:r>
          </w:p>
        </w:tc>
        <w:tc>
          <w:tcPr>
            <w:tcW w:w="0" w:type="dxa"/>
            <w:vAlign w:val="bottom"/>
          </w:tcPr>
          <w:p>
            <w:pPr>
              <w:spacing w:after="0"/>
              <w:rPr>
                <w:sz w:val="1"/>
                <w:szCs w:val="1"/>
                <w:color w:val="auto"/>
              </w:rPr>
            </w:pPr>
          </w:p>
        </w:tc>
      </w:tr>
      <w:tr>
        <w:trPr>
          <w:trHeight w:val="203"/>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(35,535 )</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(5,139 )</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(4,953 )</w:t>
            </w:r>
          </w:p>
        </w:tc>
        <w:tc>
          <w:tcPr>
            <w:tcW w:w="0" w:type="dxa"/>
            <w:vAlign w:val="bottom"/>
          </w:tcPr>
          <w:p>
            <w:pPr>
              <w:spacing w:after="0"/>
              <w:rPr>
                <w:sz w:val="1"/>
                <w:szCs w:val="1"/>
                <w:color w:val="auto"/>
              </w:rPr>
            </w:pPr>
          </w:p>
        </w:tc>
      </w:tr>
      <w:tr>
        <w:trPr>
          <w:trHeight w:val="203"/>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Income taxes</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(5,625 )</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(5,178 )</w:t>
            </w: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(10,135 )</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(3,949 )</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Accrued profit sharing</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(8,206 )</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(6,699 )</w:t>
            </w:r>
          </w:p>
        </w:tc>
        <w:tc>
          <w:tcPr>
            <w:tcW w:w="0" w:type="dxa"/>
            <w:vAlign w:val="bottom"/>
          </w:tcPr>
          <w:p>
            <w:pPr>
              <w:spacing w:after="0"/>
              <w:rPr>
                <w:sz w:val="1"/>
                <w:szCs w:val="1"/>
                <w:color w:val="auto"/>
              </w:rPr>
            </w:pPr>
          </w:p>
        </w:tc>
      </w:tr>
      <w:tr>
        <w:trPr>
          <w:trHeight w:val="203"/>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Accrued warranty</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(328 )</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03"/>
        </w:trPr>
        <w:tc>
          <w:tcPr>
            <w:tcW w:w="7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(227 )</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(175 )</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cash (used in)/provided by operating activities</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(38,212 )</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to acquire patents and software</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(112 )</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(125 )</w:t>
            </w: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to acquire property and equipment</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(8,004 )</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(66,983 )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(7,879 )</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w w:val="99"/>
              </w:rPr>
              <w:t>(67,063 )</w:t>
            </w:r>
          </w:p>
        </w:tc>
        <w:tc>
          <w:tcPr>
            <w:tcW w:w="0" w:type="dxa"/>
            <w:vAlign w:val="bottom"/>
          </w:tcPr>
          <w:p>
            <w:pPr>
              <w:spacing w:after="0"/>
              <w:rPr>
                <w:sz w:val="1"/>
                <w:szCs w:val="1"/>
                <w:color w:val="auto"/>
              </w:rPr>
            </w:pPr>
          </w:p>
        </w:tc>
      </w:tr>
      <w:tr>
        <w:trPr>
          <w:trHeight w:val="196"/>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loans and notes payable</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debt issuance costs</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(941 )</w:t>
            </w:r>
          </w:p>
        </w:tc>
        <w:tc>
          <w:tcPr>
            <w:tcW w:w="10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on finance lease obligation</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(89 )</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(681 )</w:t>
            </w: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on notes and loans payable</w:t>
            </w:r>
          </w:p>
        </w:tc>
        <w:tc>
          <w:tcPr>
            <w:tcW w:w="1040" w:type="dxa"/>
            <w:vAlign w:val="bottom"/>
          </w:tcPr>
          <w:p>
            <w:pPr>
              <w:spacing w:after="0"/>
              <w:rPr>
                <w:sz w:val="17"/>
                <w:szCs w:val="17"/>
                <w:color w:val="auto"/>
              </w:rPr>
            </w:pPr>
          </w:p>
        </w:tc>
        <w:tc>
          <w:tcPr>
            <w:tcW w:w="900" w:type="dxa"/>
            <w:vAlign w:val="bottom"/>
            <w:gridSpan w:val="2"/>
          </w:tcPr>
          <w:p>
            <w:pPr>
              <w:jc w:val="right"/>
              <w:ind w:right="248"/>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(10,000 )</w:t>
            </w: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to acquire treasury stock</w:t>
            </w:r>
          </w:p>
        </w:tc>
        <w:tc>
          <w:tcPr>
            <w:tcW w:w="10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(22,620 )</w:t>
            </w:r>
          </w:p>
        </w:tc>
        <w:tc>
          <w:tcPr>
            <w:tcW w:w="10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(8,212 )</w:t>
            </w: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 distribution</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(11,652 )</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(11,080 )</w:t>
            </w: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to acquire common stock from employee stock purchase plan</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Payment of employee withholding tax related to</w:t>
            </w:r>
          </w:p>
        </w:tc>
        <w:tc>
          <w:tcPr>
            <w:tcW w:w="1040" w:type="dxa"/>
            <w:vAlign w:val="bottom"/>
          </w:tcPr>
          <w:p>
            <w:pPr>
              <w:spacing w:after="0"/>
              <w:rPr>
                <w:sz w:val="15"/>
                <w:szCs w:val="15"/>
                <w:color w:val="auto"/>
              </w:rPr>
            </w:pPr>
          </w:p>
        </w:tc>
        <w:tc>
          <w:tcPr>
            <w:tcW w:w="9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7"/>
                <w:szCs w:val="17"/>
                <w:color w:val="auto"/>
              </w:rPr>
              <w:t>(1,102 )</w:t>
            </w:r>
          </w:p>
        </w:tc>
        <w:tc>
          <w:tcPr>
            <w:tcW w:w="1060" w:type="dxa"/>
            <w:vAlign w:val="bottom"/>
          </w:tcPr>
          <w:p>
            <w:pPr>
              <w:spacing w:after="0"/>
              <w:rPr>
                <w:sz w:val="15"/>
                <w:szCs w:val="15"/>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(806 )</w:t>
            </w:r>
          </w:p>
        </w:tc>
        <w:tc>
          <w:tcPr>
            <w:tcW w:w="0" w:type="dxa"/>
            <w:vAlign w:val="bottom"/>
          </w:tcPr>
          <w:p>
            <w:pPr>
              <w:spacing w:after="0"/>
              <w:rPr>
                <w:sz w:val="1"/>
                <w:szCs w:val="1"/>
                <w:color w:val="auto"/>
              </w:rPr>
            </w:pPr>
          </w:p>
        </w:tc>
      </w:tr>
      <w:tr>
        <w:trPr>
          <w:trHeight w:val="211"/>
        </w:trPr>
        <w:tc>
          <w:tcPr>
            <w:tcW w:w="7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restricted stock units</w:t>
            </w:r>
          </w:p>
        </w:tc>
        <w:tc>
          <w:tcPr>
            <w:tcW w:w="10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24,345</w:t>
            </w: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40" w:type="dxa"/>
            <w:vAlign w:val="bottom"/>
          </w:tcPr>
          <w:p>
            <w:pPr>
              <w:spacing w:after="0"/>
              <w:rPr>
                <w:sz w:val="17"/>
                <w:szCs w:val="17"/>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(21,746 )</w:t>
            </w:r>
          </w:p>
        </w:tc>
        <w:tc>
          <w:tcPr>
            <w:tcW w:w="10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(9,364 )</w:t>
            </w:r>
          </w:p>
        </w:tc>
        <w:tc>
          <w:tcPr>
            <w:tcW w:w="0" w:type="dxa"/>
            <w:vAlign w:val="bottom"/>
          </w:tcPr>
          <w:p>
            <w:pPr>
              <w:spacing w:after="0"/>
              <w:rPr>
                <w:sz w:val="1"/>
                <w:szCs w:val="1"/>
                <w:color w:val="auto"/>
              </w:rPr>
            </w:pPr>
          </w:p>
        </w:tc>
      </w:tr>
      <w:tr>
        <w:trPr>
          <w:trHeight w:val="20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0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53,556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39,093</w:t>
            </w:r>
          </w:p>
        </w:tc>
        <w:tc>
          <w:tcPr>
            <w:tcW w:w="300" w:type="dxa"/>
            <w:vAlign w:val="bottom"/>
          </w:tcPr>
          <w:p>
            <w:pPr>
              <w:spacing w:after="0"/>
              <w:rPr>
                <w:sz w:val="17"/>
                <w:szCs w:val="17"/>
                <w:color w:val="auto"/>
              </w:rPr>
            </w:pP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w:t>
            </w:r>
          </w:p>
        </w:tc>
        <w:tc>
          <w:tcPr>
            <w:tcW w:w="300" w:type="dxa"/>
            <w:vAlign w:val="bottom"/>
          </w:tcPr>
          <w:p>
            <w:pPr>
              <w:spacing w:after="0"/>
              <w:rPr>
                <w:sz w:val="19"/>
                <w:szCs w:val="19"/>
                <w:color w:val="auto"/>
              </w:rPr>
            </w:pPr>
          </w:p>
        </w:tc>
        <w:tc>
          <w:tcPr>
            <w:tcW w:w="1060" w:type="dxa"/>
            <w:vAlign w:val="bottom"/>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-3175000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-3175000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-2378075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-2378075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-955040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-955040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-688975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-688975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CASH FLOWS - (Continued) (Unaudited)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8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(In</w:t>
            </w:r>
          </w:p>
        </w:tc>
        <w:tc>
          <w:tcPr>
            <w:tcW w:w="1360" w:type="dxa"/>
            <w:vAlign w:val="bottom"/>
            <w:gridSpan w:val="2"/>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w w:val="82"/>
              </w:rPr>
              <w:t>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13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8,826</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included in accrued expenses and finance lease payable</w:t>
            </w: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one of the world’s leading manufacturers and designers of firearms. We manufacture a wide array of handguns (including revolvers and pistols), long guns (including modern sporting rifles, pistol caliber carbines, and lever 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Springfield, Massachusetts; Houlton, Maine; </w:t>
      </w:r>
      <w:r>
        <w:rPr>
          <w:rFonts w:ascii="Times New Roman" w:cs="Times New Roman" w:eastAsia="Times New Roman" w:hAnsi="Times New Roman"/>
          <w:sz w:val="18"/>
          <w:szCs w:val="18"/>
          <w:color w:val="161616"/>
        </w:rPr>
        <w:t>Deep River, Connecticut;</w:t>
      </w:r>
      <w:r>
        <w:rPr>
          <w:rFonts w:ascii="Times New Roman" w:cs="Times New Roman" w:eastAsia="Times New Roman" w:hAnsi="Times New Roman"/>
          <w:sz w:val="18"/>
          <w:szCs w:val="18"/>
          <w:color w:val="auto"/>
        </w:rPr>
        <w:t xml:space="preserve"> and Maryville, Tennessee. We also sell our manufacturing services to other businesses to attempt to level-load our factories. We sell those services under our Smith &amp; Wesson and Smith &amp; Wesson Precision Components brands. During fiscal 2024, we began manufacturing and distribution activities from our new Maryville facility. During the quarter ended October 31, 2024, we discontinued operations at our Connecticut facility in anticipation of vacating the premises in December 2024. See Note 8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9 — </w:t>
      </w: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for more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 </w:t>
      </w:r>
      <w:r>
        <w:rPr>
          <w:rFonts w:ascii="Times New Roman" w:cs="Times New Roman" w:eastAsia="Times New Roman" w:hAnsi="Times New Roman"/>
          <w:sz w:val="18"/>
          <w:szCs w:val="18"/>
          <w:color w:val="auto"/>
        </w:rPr>
        <w:t>The condensed consolidated balance sheet as of October 31, 2024, the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for the three and six months ended October 31, 2024 and 2023, the condensed consolidated statements of changes in stockholders’ equity for the three and six months ended October 31, 2024 and 2023, and the condensed consolidated statements of cash flows for the six months ended October 31, 2024 and 2023 have been prepared by us without audit. In our opinion, all adjustments, which include only normal recurring adjustments necessary to fairly present the financial position, results of operations, changes in stockholders’ equity, and cash flows for the three and six months ended October 31, 2024 and for the periods presented, have been included. All intercompany transactions have been eliminated in consolidation. The consolidated balance sheet as of April 30, 2024 has been derived from our audited consolidated financial statements.</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2024 Form 10-K. The results of operations for the three and six months ended October 31, 2024 may not be indicative of the results that may be expected for the fiscal year ending April 30, 2025, or any other period.</w:t>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 </w:t>
      </w:r>
      <w:r>
        <w:rPr>
          <w:rFonts w:ascii="Times New Roman" w:cs="Times New Roman" w:eastAsia="Times New Roman" w:hAnsi="Times New Roman"/>
          <w:sz w:val="18"/>
          <w:szCs w:val="18"/>
          <w:color w:val="auto"/>
        </w:rPr>
        <w:t>In November 2023, the Financial Accounting Standards Board, or FASB, issued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("ASU") No. 2023-07, Improvements to Reportable Segment Disclosures, which requires incremental disclosures about an entity’s reportable segments but does not change the definition of a segment or the guidance for determining reportable segments. The new guidance requires disclosure of significant segment expenses that are (1) regularly provided to (or easily computed from information regularly provided to) the chief operating decision maker and (2) included in the reported measure of segment profit or loss. The new standard also allows companies to disclose multiple measures of segment profit or loss if those measures are used to assess performance and allocate resources. This update is effective for fiscal years beginning after December 15, 2023, and should be adopted retrospectively unless impracticable. This update will be effective for us, beginning with our Annual Report on Form 10-K for the fiscal year ending April 30, 2025 and interim periods thereafter. We are currently evaluating the impact, if any, that the adoption of this standard will have on financial disclosures.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entities to disclose in their rate reconciliation table additional categories of information about federal, state, and foreign income taxes and provide more details about the reconciling items in some categories if items meet a quantitative threshold. Entities would have to provide qualitative disclosures about the new categories. The guidance will require all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fiscal 2026 for us. We are currently evaluating the impact, if any, that the adoption of this standard will have on financial disclosures.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3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in relevant expense captions that are not separately disaggregated quantitatively. Entities will need to disclose the total amount of selling expenses and, in annual reporting periods, an entity's definition of selling expenses. Entities are required to apply the guidance prospectively, with the option to apply it retrospectively. The guidance is effective for annual periods beginning after December 15, 2026, or fiscal 2028 for us. We are currently evaluating the impact that the adoption of this standard will have on financial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and Loans Payable: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subsidiaries entered into an amended and restated credit agreement, or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 On April 28, 2023, we entered into an amendment to the Amended and Restated Credit Agreement to, among other things, replace LIBOR with SOFR as the interest rate benchmark and amend the definition of “Consolidated Fixed Charge Coverage Ratio” to exclude unfinanced capital expenditures in connection with the Relocation. The revolving line bore interest at either the Base Rate (as defined in the Amended and Restated Credit Agreement) or the SOFR rate, plus an applicable margin based on our consolidated leverage ratio.</w:t>
      </w:r>
    </w:p>
    <w:p>
      <w:pPr>
        <w:spacing w:after="0" w:line="185" w:lineRule="exact"/>
        <w:rPr>
          <w:sz w:val="20"/>
          <w:szCs w:val="20"/>
          <w:color w:val="auto"/>
        </w:rPr>
      </w:pPr>
    </w:p>
    <w:p>
      <w:pPr>
        <w:jc w:val="both"/>
        <w:ind w:firstLine="582"/>
        <w:spacing w:after="0" w:line="255" w:lineRule="auto"/>
        <w:rPr>
          <w:sz w:val="20"/>
          <w:szCs w:val="20"/>
          <w:color w:val="auto"/>
        </w:rPr>
      </w:pPr>
      <w:r>
        <w:rPr>
          <w:rFonts w:ascii="Times New Roman" w:cs="Times New Roman" w:eastAsia="Times New Roman" w:hAnsi="Times New Roman"/>
          <w:sz w:val="18"/>
          <w:szCs w:val="18"/>
          <w:color w:val="auto"/>
        </w:rPr>
        <w:t>On October 3, 2024, we and certain of our subsidiaries entered into an amended and restated credit agreement, or the Second Amended and Restated Credit Agreement, with certain lenders, including TD Bank, N.A., as administrative agent; TD Securities (USA) LLC and Regions Bank, as joint lead arrangers and joint bookrunners; and Regions Bank, as syndication agent. The Second Amended and Restated Credit Agreement amended and restated the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provides for a revolving line of credit of $175.0 million at any one time, or the Revolving Line. The Revolving Line bears interest at either the Base Rate (as defined in the Second Amended and Restated Credit Agreement) or the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2024, we had $100.0 million of borrowings outstanding on the Revolving Line, bearing interest at a weighted average rate of 6.92%, which is equal to the SOFR rate plus an applicable margin.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As of October 31, 2024, we were compliant with all required financial covenants.</w:t>
      </w:r>
    </w:p>
    <w:p>
      <w:pPr>
        <w:spacing w:after="0" w:line="18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October 31, 2024, we had outstanding letters of credit aggregating $2.7 million, which included a $1.5 million letter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collateralize our captive insurance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or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(e.g., active exchange-traded equity securities, listed derivatives, and most U.S. Government and agency securities).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$39.1 million and $60.8 million as of October 31, 2024 and April 30, 2024, respectively. The carrying value of our revolving line of credit approximated the fair value as of October 31, 2024. We utilized Level 1 of the value hierarchy to determine the fair values of these assets and liabilities.</w:t>
      </w:r>
    </w:p>
    <w:p>
      <w:pPr>
        <w:spacing w:after="0" w:line="174"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judgments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2 or Level 3 financial assets or liabilities as of October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stated at lower of cost or net realizable value, as of October 31, 2024 and April 30,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5"/>
                <w:szCs w:val="15"/>
                <w:color w:val="auto"/>
              </w:rPr>
            </w:pPr>
          </w:p>
        </w:tc>
      </w:tr>
      <w:tr>
        <w:trPr>
          <w:trHeight w:val="20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119,225</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parts</w:t>
            </w:r>
          </w:p>
        </w:tc>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w:t>
            </w:r>
          </w:p>
        </w:tc>
        <w:tc>
          <w:tcPr>
            <w:tcW w:w="4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Pr>
          <w:p>
            <w:pPr>
              <w:spacing w:after="0"/>
              <w:rPr>
                <w:sz w:val="18"/>
                <w:szCs w:val="18"/>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196,035</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shd w:val="clear" w:color="auto" w:fill="CFF0FC"/>
          </w:tcPr>
          <w:p>
            <w:pPr>
              <w:spacing w:after="0"/>
              <w:rPr>
                <w:sz w:val="21"/>
                <w:szCs w:val="21"/>
                <w:color w:val="auto"/>
              </w:rPr>
            </w:pPr>
          </w:p>
        </w:tc>
      </w:tr>
      <w:tr>
        <w:trPr>
          <w:trHeight w:val="844"/>
        </w:trPr>
        <w:tc>
          <w:tcPr>
            <w:tcW w:w="3380" w:type="dxa"/>
            <w:vAlign w:val="bottom"/>
            <w:tcBorders>
              <w:top w:val="single" w:sz="8" w:color="CFF0FC"/>
            </w:tcBorders>
          </w:tcPr>
          <w:p>
            <w:pPr>
              <w:spacing w:after="0"/>
              <w:rPr>
                <w:sz w:val="24"/>
                <w:szCs w:val="24"/>
                <w:color w:val="auto"/>
              </w:rPr>
            </w:pPr>
          </w:p>
        </w:tc>
        <w:tc>
          <w:tcPr>
            <w:tcW w:w="43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October 31, 2024 and April 30,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5"/>
                <w:szCs w:val="15"/>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settlement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distributor incentives</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September 19, 2023, our Board of Directors authorized the repurchase of up to $50.0 million of our common 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have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October 31, 2024, we had repurchased 92,537 shares of our common stock for $1.2 million under the 2024 Authorization.</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2024, we repurchased a total of 753,631 shares of our common stock for $9.8 million. During the six months ended October 31, 2024, we repurchased a total of 1,624,300 shares of our common stock for $22.6 million. During the three and six months ended October 31, 2023, we repurchased a total of 645,770 shares of our common stock for $8.2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three months ended October 31, 2024 and 2023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324"/>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40" w:type="dxa"/>
            <w:vAlign w:val="bottom"/>
          </w:tcPr>
          <w:p>
            <w:pPr>
              <w:spacing w:after="0"/>
              <w:rPr>
                <w:sz w:val="10"/>
                <w:szCs w:val="10"/>
                <w:color w:val="auto"/>
              </w:rPr>
            </w:pPr>
          </w:p>
        </w:tc>
        <w:tc>
          <w:tcPr>
            <w:tcW w:w="86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44,523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3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44,935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46,361</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-161925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-161925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-161925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3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share for the six months ended October 31, 2024 and 2023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324"/>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40" w:type="dxa"/>
            <w:vAlign w:val="bottom"/>
          </w:tcPr>
          <w:p>
            <w:pPr>
              <w:spacing w:after="0"/>
              <w:rPr>
                <w:sz w:val="10"/>
                <w:szCs w:val="10"/>
                <w:color w:val="auto"/>
              </w:rPr>
            </w:pPr>
          </w:p>
        </w:tc>
        <w:tc>
          <w:tcPr>
            <w:tcW w:w="86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46,042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(0.01 )</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3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45,404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46,458</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-161925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-161925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-161925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31, 2024 and 2023, there were 16,328 shares and 15,719 shares, respectively, excluded from the computation of diluted earnings because the effect would be antidilutive. For the six months ended October 31, 2024 and 2023, there were 18,587 and 18,028, respectively, shares excluded from the computation of diluted earnings because the effect would be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two stock incentive plans: the 2013 Incentive Stock Plan and the 2022 Incentive Stock Plan, or the Incentive Stock Plans, under which employees and non-employees may be granted stock options, restricted stock awards, restricted stock units,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total stock-based compensation expense, including purchases under our ESPP and grants of RSUs and performance-based RSUs, or PSUs, under the Incentive Stock Plans, was </w:t>
      </w:r>
      <w:r>
        <w:rPr>
          <w:rFonts w:ascii="Times New Roman" w:cs="Times New Roman" w:eastAsia="Times New Roman" w:hAnsi="Times New Roman"/>
          <w:sz w:val="18"/>
          <w:szCs w:val="18"/>
          <w:color w:val="161616"/>
        </w:rPr>
        <w:t>$3.7</w:t>
      </w:r>
      <w:r>
        <w:rPr>
          <w:rFonts w:ascii="Times New Roman" w:cs="Times New Roman" w:eastAsia="Times New Roman" w:hAnsi="Times New Roman"/>
          <w:sz w:val="18"/>
          <w:szCs w:val="18"/>
          <w:color w:val="auto"/>
        </w:rPr>
        <w:t xml:space="preserve"> million and $2.8 million for the six months ended October 31, 2024 and 2023, respectively. We include stock-based compensation expense in cost of sales, sales, marketing, and distribution, research and development, and general and administrative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from time to time,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October 31, 2024, we granted an aggregate of 455,485 RSUs, including 257,937 RSUs to non-executive officer employees, 142,882 RSUs to our executive officers, and 54,666 RSUs to our directors. During the six months ended October 31, 2024, we granted 142,878 PSUs to certain of our executive officers. During the six months ended October 31, 2024, we cancelled 63,469 PSUs as a result of the failure to satisfy the performance metrics and 28,575 RSUs as a result of the service conditions not being met. In connection with the vesting of RSUs, during the six months ended October 31, 2024, we delivered common stock to our employees (including our executive officers), former employees, and directors, with a total market value of $4.5 million.</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six months ended October 31, 2023, we granted an aggregate of 357,357 RSUs, including 180,814 RSUs to non-executive officer employees, 117,724 RSUs to our executive officers, and 58,819 RSUs to our directors. During the six months ended October 31, 2023, we granted 176,583 PSUs to certain of our executive officers. During the six months ended October 31, 2023, we cancelled 158,100 PSUs as a result of the failure to satisfy the performance metric and 13,287 RSUs as a result of the service conditions not being met. In connection with the vesting of RSUs, during the six months ended October 31, 2023, we delivered common stock to our employees (including our executive officers), former employees, and directors with a total market value of $6.5 million. In connection with a 2019 grant, which vested in fiscal 2023, we delivered market-condition PSUs to certain of our executive officers and a former executive officer with a total market value of $664,000.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six months ended October 31, 2024 and 2023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420" w:type="dxa"/>
            <w:vAlign w:val="bottom"/>
            <w:tcBorders>
              <w:top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1,000,347</w:t>
            </w:r>
          </w:p>
        </w:tc>
        <w:tc>
          <w:tcPr>
            <w:tcW w:w="24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932,705</w:t>
            </w: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598,363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533,940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(281,752 )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(276,977 )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(92,044 )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6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(171,387 )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1,224,914</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1,018,281</w:t>
            </w: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-170815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2024, there was $8.0 million of unrecognized compensation expense related to unvested RSUs and PSUs. This expense is expected to be recognized over a weighted average remaining contractual term of 1.6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of the signing of the asset purchase agreement.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On January 31, 2024, the District Court allowed plaintiffs’ amended allegations of fraud, and denied without prejudice their motion to add punitive damages. On February 9, 2024, the District Court set a trial date for January 6, 2025. On August 7, 2024, the District Court issued a 45-day stay of the case and vacated the January 6, 2025 trial date. On September 25, 2024, the District Court entered an order granting an additional 45-day stay of the case. We believe the claims asserted in the complaint have no merit, and we intend to aggressively defend this action.</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two product liability cases and are aware of seven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defendants' petition to transfer, and the case was returned to the trial court. On March 15, 2024, IC 34-12-3.5 was signed into law. This law purported to prohibit political subdivisions in Indiana from bringing certain legal actions against certain firearm industry members and to apply to actions or suits filed before, after, or on August 27, 1999. On March 18, 2024, defendants filed a joint motion for judgment on the pleadings based on the new law. On May 17, 2024, plaintiffs filed an opposition to defendants' motion for judgment on the pleadings. On August 12, 2024, the trial court denied defendants’ joint motion for judgment on the pleadings. On October 16, 2024, the trial court stayed the trial court proceedings pending an interlocutory appeal with the Indiana Court of Appeals. We believe the claims asserted in the complaint are without merit and intend to aggressively defend this action.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39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The case has not been certified as a class action.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appeal is premature. In November 2021, the Divisional Court granted plaintiffs' motion, staying our motion for leave to appeal until 30 days after the decision on the balance of plaintiffs' certification motion. A hearing on plaintiffs’ certification motion was held in January 2024. On March 5, 2024, the court denied the plaintiffs' motion for class certification. Three appeals have been filed, all of which will be heard together in the Court of Appeal for Ontario: (1) our appeal from the dismissal of our motion to strike the negligent design claim; (2) the plaintiffs’ appeal from the order striking out their public nuisance and strict liability claims; and, (3) the plaintiffs’ appeal from the order dismissing their certification motion. On August 6, 2024, we filed our motion regarding our appeal from the dismissal of our motion to strike the negligent design claim and plaintiffs filed their motion regarding their appeal from the order striking out their public nuisance and strict liability claims and their appeal from the order dismissing their certification motion. The Court of Appeals for Ontario is scheduled to hear the appeals together on December 9, 2024.</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w:t>
      </w:r>
    </w:p>
    <w:p>
      <w:pPr>
        <w:spacing w:after="0" w:line="3" w:lineRule="exact"/>
        <w:rPr>
          <w:sz w:val="20"/>
          <w:szCs w:val="20"/>
          <w:color w:val="auto"/>
        </w:rPr>
      </w:pPr>
    </w:p>
    <w:p>
      <w:pPr>
        <w:jc w:val="both"/>
        <w:ind w:firstLine="8"/>
        <w:spacing w:after="0" w:line="251"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Lawful Commerce in Arms Act barred plaintiffs’ product liability action; (2) plaintiffs did not have standing to maintain an action under the Unfair Competition Law for personal injury related damages, but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In February 2022, the court consolidated the case with three related cases, in which we are not a party. In March 2022, the court granted our motion, dismissing plaintiffs’ Unfair Competition Law claim, without further leave to amend. On February 28, 2023, we filed a motion for summary judgment. On May 19, 2023, the court denied our motion for summary judgment without prejudice and allowed plaintiffs time for additional discovery. A hearing on our renewed motion for summary judgment was held on October 11, 2024. Discovery is ongoing. On December 2, 2024, the court granted our renewed motion for summary judgment.</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defendant in an action filed in the U.S. District Court for the District of Massachusetts. In August 2021, the Mexican Government filed an action against several U.S.-based firearms manufacturers and a firearms distributor, claiming defendants design, market, distribute, and sell firearms in ways they know routinely arm the drug cartels in Mexico. Plaintiff alleges, among other claims, negligence, public nuisance, design defect, unjust enrichment and restitution against all defendants and violation of the Massachusetts Consumer Protection Act against us alone, and is seeking monetary damages and injunctive relief. In November 2021, defendants filed motions to dismiss plaintiff's complaint. In September 2022, the district court granted defendants’ motions to dismiss. In October 2022, plaintiff filed a notice of appeal with the U.S. Court of Appeals for the First Circuit. On January 22, 2024, the First Circuit reversed the trial court’s dismissal of the case. On April 18, 2024, defendants filed a Petition for a Writ of Certiorari with the U.S. Supreme Court. On August 7, 2024, the district court dismissed the case against six of the eight defendants in the suit (excluding us) based on personal jurisdiction grounds. On October 4, 2024, the U.S Supreme Court granted defendants’ Petition for Writ of Certiorari. On October 31, 2024, the district court issued an order staying the case in its entirety pending the U.S. Supreme Court’s review of the case.</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w:t>
      </w:r>
    </w:p>
    <w:p>
      <w:pPr>
        <w:sectPr>
          <w:pgSz w:w="11900" w:h="16838" w:orient="portrait"/>
          <w:cols w:equalWidth="0" w:num="1">
            <w:col w:w="11240"/>
          </w:cols>
          <w:pgMar w:left="320" w:top="76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3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purposes. In December 2022, plaintiffs filed motions to remand the cases back to the state court. In September 2023, the court granted plaintiffs’ motion to remand. In October 2023, we filed a notice of appeal to the U.S. Court of Appeals for the Seventh Circuit. In March 2024, three new suits were filed in the Circuit Court of Lake County, Illinois. On April 8, 2024, the Seventh Circuit affirmed the remand decision. On May 10, 2024, plaintiffs filed a motion for attorneys’ fees incurred as a result of removal. On May 17, 2024, we filed an opposition to plaintiffs’ motion. No decision has been issued to date.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negligent and intentional infliction of emotional distress, and negligent entrustment. We were also named in 13 additional separate cases against us in the same state court during the same time period, largely raising similar allegations against us as in the initial and amended complaints. On July 17, 2024, the trial court consolidated all cases for purposes of motions to dismiss and discovery. On September 16, 2024, defendants filed their motions to dismiss plaintiffs’ 25 separate complaints.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New York General Business Law, public nuisance, and deceptive business practices in violation of NY General Business Laws. In January 2023, we filed notices of removal of the cases to the U.S. District Court for the Western District of New York. On March 24, 2023, defendants filed a motion to stay both cases pending a ruling by the U.S. Court of Appeals for the Second Circuit in the NSSF v. James case. On June 8, 2023, the court granted defendants’ motions to consolidate and to stay pending resolution of the NSSF v. James appeal.</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2022, two plaintiffs, on behalf of a proposed class of current and former employees and temporary workers who worked at our Springfield facility from November 2018 to the present, filed a claim alleging non-payment of wages and overtime in violation of the Massachusetts Wage Act and Massachusetts Fair Wage Act. The parties have reached a settlement agreement, which was preliminarily approved by the court on March 15, 2024. On September 17, 2024, the trial court judge entered an order granting final approval of the settlement.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were also involved in a putative stockholder derivative lawsuit filed on December 5, 2023 in the Eighth Judicial District Court, Clark County, Nevada. The action was brought by plaintiffs seeking to act on our behalf against our directors and certain of our executive officers. The complaint alleged breach of fiduciary duties by knowingly allowing us to become exposed to significant liability for intentionally violating federal, state, and local laws through our manufacturing, marketing, and sale of “AR-15 style rifles." The derivative plaintiffs sought damages on our behalf from the individual defendants, as well as reforms and improvements to our compliance procedures and governance policies. On March 19, 2024, the court granted our motion to require security pursuant to Nevada law. On May 6, 2024, the court dismissed plaintiffs’ action without prejudice for failing to post a bond pursuant to the court’s order. On July 10 and 11, 2024, plaintiffs filed a notice of appeal of the order of dismissal without prejudice and case appeal statement, respectively. On July 25, 2024, plaintiffs filed a notice of posting of bond on appeal. On November 21, 2024, the Nevada Supreme Court issued an order dismissing the appeal, pursuant to the stipulation of the parties.</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3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September 30, 2021, we announced our plan to move our headquarters and significant elements of our operations to Maryville, Tennessee in 2023, or the Relocation. 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IDB in the event that our actual capital expenditures, number of employees, or average hourly wage of such employees are less than our projections.</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 2023, we entered into a design-build agreement with The Christman Company, or Christman, related to the construction of our Maryville facility, or the Construction Contract. The Construction Contract has an effective date of September 13, 2021 and incorporates the arrangements under which we and Christman have been proceeding. Pursuant to the Construction Contract, Christman is obligated to deliver certain services, including, among others, design phase services and construction phase services, and we are obligated to pay Christman for services performed. The parties to the Construction Contract agreed that Christman will perform and complete the Work (as defined therein) on a cost-plus basis for a guaranteed minimum price of $114.5 million, including contingencies. When adding the cost of machinery and equipment, we expect to spend between $165.0 million and $170.0 million through the end of fiscal 2025. Through October 31, 2024, we had incurred $158.0 million of capital expenditures related to the Relocation. The Construction Contract includes terms that are customary for contracts of this type, including with respect to indemnification and insurance. The Construction Contract lists certain contract milestones and guaranteed completion dates, and we will be entitled to liquidated damages under certain circumstances. Each party to the Construction Contract is entitled to terminate the Construction Contract under certain circumstances.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October 31, 2023, we determined that we would have no use for certain distribution equipment in our Missouri Distribution Center and could not fully recover the net book value of such equipment. Therefore, we recorded an impairment of $1.9 million during that period. In connection with the Assignment and Assumption Agreement, we vacated the Missouri Distribution Center effective January 1, 2024 and sold assets we could no longer utilize to AOUT at their remaining net book value of $2.9 million, relocating all remaining assets to our Maryville facility.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relocated a portion of our plastic injection molding operations to the Maryville facility. As of October 31, 2024, the plastic injection molding machinery and equipment was being utilized in our Deep River facility had been relocated to the Maryville facility, or had been disposed. We do not believe there are any indications of impairment relating to assets being utilized at the Deep River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Relocation, $488,000 and $2.1 million of restructuring charges were recorded in the three months ended October 31, 2024 and 2023, respectively, and $428,000 and $6.0 million of restructuring charges were recorded in the six months ended October 31, 2024 and 2023, respectively.</w:t>
      </w:r>
    </w:p>
    <w:p>
      <w:pPr>
        <w:spacing w:after="0" w:line="2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following table summarizes restructuring charges by line item for the three and six months ended October 31, 2024 and 2023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and Six Months Ended October 31, 2024 and 2023</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280" w:type="dxa"/>
            <w:vAlign w:val="bottom"/>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r>
      <w:tr>
        <w:trPr>
          <w:trHeight w:val="196"/>
        </w:trPr>
        <w:tc>
          <w:tcPr>
            <w:tcW w:w="43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18"/>
                <w:szCs w:val="18"/>
                <w:color w:val="auto"/>
              </w:rPr>
            </w:pPr>
          </w:p>
        </w:tc>
      </w:tr>
      <w:tr>
        <w:trPr>
          <w:trHeight w:val="209"/>
        </w:trPr>
        <w:tc>
          <w:tcPr>
            <w:tcW w:w="4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Borders>
              <w:top w:val="single" w:sz="8" w:color="CFF0FC"/>
            </w:tcBorders>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-170815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restructuring charges recorded in our condensed consolidated statements of income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5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260" w:type="dxa"/>
            <w:vAlign w:val="bottom"/>
          </w:tcPr>
          <w:p>
            <w:pPr>
              <w:spacing w:after="0"/>
              <w:rPr>
                <w:sz w:val="15"/>
                <w:szCs w:val="15"/>
                <w:color w:val="auto"/>
              </w:rPr>
            </w:pPr>
          </w:p>
        </w:tc>
        <w:tc>
          <w:tcPr>
            <w:tcW w:w="30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October 31,</w:t>
            </w:r>
          </w:p>
        </w:tc>
      </w:tr>
      <w:tr>
        <w:trPr>
          <w:trHeight w:val="196"/>
        </w:trPr>
        <w:tc>
          <w:tcPr>
            <w:tcW w:w="43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Severance and employee-related benefits (a)</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(301 )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(609 )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Relocation (a)</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relations</w:t>
            </w: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0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Consulting services</w:t>
            </w: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relations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rent and equipment</w:t>
            </w: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FF0FC"/>
          </w:tcPr>
          <w:p>
            <w:pPr>
              <w:spacing w:after="0"/>
              <w:rPr>
                <w:sz w:val="18"/>
                <w:szCs w:val="18"/>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in the severance and employee-related benefits and relocation accruals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Severance and employee-</w:t>
            </w:r>
          </w:p>
        </w:tc>
        <w:tc>
          <w:tcPr>
            <w:tcW w:w="320" w:type="dxa"/>
            <w:vAlign w:val="bottom"/>
          </w:tcPr>
          <w:p>
            <w:pPr>
              <w:spacing w:after="0"/>
              <w:rPr>
                <w:sz w:val="13"/>
                <w:szCs w:val="13"/>
                <w:color w:val="auto"/>
              </w:rPr>
            </w:pPr>
          </w:p>
        </w:tc>
        <w:tc>
          <w:tcPr>
            <w:tcW w:w="17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380" w:type="dxa"/>
            <w:vAlign w:val="bottom"/>
          </w:tcPr>
          <w:p>
            <w:pPr>
              <w:spacing w:after="0"/>
              <w:rPr>
                <w:sz w:val="13"/>
                <w:szCs w:val="13"/>
                <w:color w:val="auto"/>
              </w:rPr>
            </w:pPr>
          </w:p>
        </w:tc>
        <w:tc>
          <w:tcPr>
            <w:tcW w:w="15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related benefits</w:t>
            </w:r>
          </w:p>
        </w:tc>
        <w:tc>
          <w:tcPr>
            <w:tcW w:w="3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Accrual at April 30, 2024</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(609 )</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payments and settlements</w:t>
            </w:r>
          </w:p>
        </w:tc>
        <w:tc>
          <w:tcPr>
            <w:tcW w:w="1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(1,457 )</w:t>
            </w:r>
          </w:p>
        </w:tc>
        <w:tc>
          <w:tcPr>
            <w:tcW w:w="3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(668 )</w:t>
            </w:r>
          </w:p>
        </w:tc>
        <w:tc>
          <w:tcPr>
            <w:tcW w:w="3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(2,125 )</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at October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right="39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Fiscal 2024 Annual Report and our unaudited condensed consolidated financial statements included in Item 1 of this Quarterly Report on Form 10-Q. This section sets forth key objectives and performance indicators used by us as well as key industry data tracked by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2025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October 31, 2024 included the following:</w:t>
      </w:r>
    </w:p>
    <w:p>
      <w:pPr>
        <w:spacing w:after="0" w:line="117"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$129.7 million, an increase of $4.7 million, or 3.8%, from the comparable quarter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26.6% compared with gross margin of 25.4% for the comparable quarter last year.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$4.1 million, or $0.09 per diluted share, compared with $2.5 million, or $0.05 per diluted share, for the comparable quarter last year.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three months ended October 31, 2024, we purchased 753,631 shares of our common stock for $9.8 million.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operating results for the six months ended October 31, 2024 included the following:</w:t>
      </w:r>
    </w:p>
    <w:p>
      <w:pPr>
        <w:spacing w:after="0" w:line="117"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$218.0 million, a decrease of $21.2 million, or 8.9%, from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26.9% compared with gross margin of 26.0% for the comparable period last year.</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$2.0 million, or $0.04 per diluted share, compared with $5.6 million, or $0.12 per diluted share, for the comparable period last year.</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six months ended October 31, 2024, we purchased 1,624,300 shares of our common stock for $22.6 million.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Three Months Ended October 31, 2024</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three months ended October 31, 2024 and 2023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93,810</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88,347</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6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(2,988 )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26.5%</w:t>
            </w:r>
          </w:p>
        </w:tc>
      </w:tr>
      <w:tr>
        <w:trPr>
          <w:trHeight w:val="20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129,679</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124,958</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93,192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26.6 %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25.4 %</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-565150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-281940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-281940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-281940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October 31, 2024 and 2023 (units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2740" w:type="dxa"/>
            <w:vAlign w:val="bottom"/>
            <w:gridSpan w:val="3"/>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9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19.9%</w:t>
            </w:r>
          </w:p>
        </w:tc>
      </w:tr>
      <w:tr>
        <w:trPr>
          <w:trHeight w:val="234"/>
        </w:trPr>
        <w:tc>
          <w:tcPr>
            <w:tcW w:w="3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w:t>
            </w:r>
          </w:p>
        </w:tc>
      </w:tr>
      <w:tr>
        <w:trPr>
          <w:trHeight w:val="373"/>
        </w:trPr>
        <w:tc>
          <w:tcPr>
            <w:tcW w:w="2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296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20" w:type="dxa"/>
            <w:vAlign w:val="bottom"/>
            <w:shd w:val="clear" w:color="auto" w:fill="CFF0FC"/>
          </w:tcPr>
          <w:p>
            <w:pPr>
              <w:spacing w:after="0"/>
              <w:rPr>
                <w:sz w:val="18"/>
                <w:szCs w:val="18"/>
                <w:color w:val="auto"/>
              </w:rPr>
            </w:pPr>
          </w:p>
        </w:tc>
        <w:tc>
          <w:tcPr>
            <w:tcW w:w="2420" w:type="dxa"/>
            <w:vAlign w:val="bottom"/>
            <w:tcBorders>
              <w:top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5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19.2%</w:t>
            </w:r>
          </w:p>
        </w:tc>
      </w:tr>
      <w:tr>
        <w:trPr>
          <w:trHeight w:val="234"/>
        </w:trPr>
        <w:tc>
          <w:tcPr>
            <w:tcW w:w="3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-26.4%</w:t>
            </w:r>
          </w:p>
        </w:tc>
      </w:tr>
      <w:tr>
        <w:trPr>
          <w:trHeight w:val="387"/>
        </w:trPr>
        <w:tc>
          <w:tcPr>
            <w:tcW w:w="2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296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20" w:type="dxa"/>
            <w:vAlign w:val="bottom"/>
            <w:shd w:val="clear" w:color="auto" w:fill="CFF0FC"/>
          </w:tcPr>
          <w:p>
            <w:pPr>
              <w:spacing w:after="0"/>
              <w:rPr>
                <w:sz w:val="18"/>
                <w:szCs w:val="18"/>
                <w:color w:val="auto"/>
              </w:rPr>
            </w:pPr>
          </w:p>
        </w:tc>
        <w:tc>
          <w:tcPr>
            <w:tcW w:w="22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760" w:type="dxa"/>
            <w:vAlign w:val="bottom"/>
            <w:gridSpan w:val="2"/>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28.6%</w:t>
            </w:r>
          </w:p>
        </w:tc>
      </w:tr>
      <w:tr>
        <w:trPr>
          <w:trHeight w:val="234"/>
        </w:trPr>
        <w:tc>
          <w:tcPr>
            <w:tcW w:w="3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133.3%</w:t>
            </w:r>
          </w:p>
        </w:tc>
      </w:tr>
      <w:tr>
        <w:trPr>
          <w:trHeight w:val="67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our handguns increased $5.5 million, or 6.2%, over the comparable quarter last year, primarily as a result of increased shipments of newly introduced products (defined as any new SKU not shipped in the comparable quarter last year), which represented 46.8% of handgun sales in the period, and a 2% to 5% price increase that became effective in the third quarter of fiscal 2024, partially offset by a shift in product mix to lower priced models. Handgun unit shipments into the sporting goods channel increased by 19.2% over the comparable quarter last year while overall consumer handgun demand remained relatively flat (as indicated by adjusted background checks reported in the National Instant Criminal Background Check System, or NICS).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long guns decreased $3.0 million, or 10.6%, from the comparable quarter last year, primarily as a result of the timing of new product launches in the comparable quarter last year, partially offset by a shift in product mix to higher priced models, as well as a 2% to 5% price increase on select products that became effective in the third quarter of fiscal 2024. Shipments of newly introduced products represented 54.4% of long gun sales in the period. Long gun unit shipments into our sporting goods channel decreased 26.4% from the comparable quarter last year while overall consumer demand for long guns increased 3.6% (as indicated by NICS).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$2.2 million, or 26.5%, over the comparable quarter last year, primarily because of increased suppressor and component parts sales.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Newly introduced products represented 44.4% of net sales for the three months ended October 31, 2024 and included six new pistols, three new long guns, and many new product line extensions.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Gross margin for the three months ended October 31, 2024 was 26.6% compared with 25.4% for the comparable quarter last year, primarily because of a $3.2 million legal settlement recognized in the prior year comparable quarter. Excluding the impact of the prior year legal settlement, gross margin was lower by 130 basis points due to higher labor and overhead costs, partially offset by lower inventory adjustments (including standard cost revaluations, shrink, and excess inventory write downs) and favorable fixed-cost absorption from higher production volumes.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balances increased $35.5 million between April 30, 2024 and October 31, 2024 as a result of a slowdown in demand combined with level loading of our manufacturing facilities to ensure our ability to satisfy anticipated future demand.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decline during the remainder of the fiscal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 – For the Six Months Ended October 31, 2024</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six months ended October 31, 2024 and 2023 (dollars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21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147,087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174,452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(27,365 )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r>
        <w:trPr>
          <w:trHeight w:val="210"/>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2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218,013</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239,201</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(21,188 )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159,276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177,034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(17,758 )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0"/>
        </w:trPr>
        <w:tc>
          <w:tcPr>
            <w:tcW w:w="392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62,167</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(3,430 )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26.0 %</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648"/>
        </w:trPr>
        <w:tc>
          <w:tcPr>
            <w:tcW w:w="3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-1473835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-1473835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-1190625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-1190625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-1190625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0" w:name="page21"/>
    <w:bookmarkEnd w:id="20"/>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six months ended October 31, 2024 and 2023 (units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4520" w:type="dxa"/>
            <w:vAlign w:val="bottom"/>
            <w:gridSpan w:val="3"/>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57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r>
      <w:tr>
        <w:trPr>
          <w:trHeight w:val="373"/>
        </w:trPr>
        <w:tc>
          <w:tcPr>
            <w:tcW w:w="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2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w:t>
            </w:r>
          </w:p>
        </w:tc>
      </w:tr>
      <w:tr>
        <w:trPr>
          <w:trHeight w:val="387"/>
        </w:trPr>
        <w:tc>
          <w:tcPr>
            <w:tcW w:w="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20" w:type="dxa"/>
            <w:vAlign w:val="bottom"/>
            <w:shd w:val="clear" w:color="auto" w:fill="CFF0FC"/>
          </w:tcPr>
          <w:p>
            <w:pPr>
              <w:spacing w:after="0"/>
              <w:rPr>
                <w:sz w:val="18"/>
                <w:szCs w:val="18"/>
                <w:color w:val="auto"/>
              </w:rPr>
            </w:pPr>
          </w:p>
        </w:tc>
        <w:tc>
          <w:tcPr>
            <w:tcW w:w="22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3540" w:type="dxa"/>
            <w:vAlign w:val="bottom"/>
            <w:gridSpan w:val="2"/>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55.6%</w:t>
            </w:r>
          </w:p>
        </w:tc>
      </w:tr>
    </w:tbl>
    <w:p>
      <w:pPr>
        <w:spacing w:after="0" w:line="247"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Sales of our handguns decreased $27.4 million, or 15.7%, from the comparable period last year, primarily as a result of lower consumer demand within the industry and a shift in product mix to lower priced models, partially offset by increased shipments of newly introduced products, which represented 43.0% of handgun sales in the period, and a 2% to 5% price increase that became effective in the third quarter of fiscal 2024. Handgun unit shipments into the sporting goods channel decreased by 4.7% from the comparable period last year while overall consumer handgun demand decreased 2.5% (as indicated by adjusted background checks reported by NICS).</w:t>
      </w:r>
    </w:p>
    <w:p>
      <w:pPr>
        <w:spacing w:after="0" w:line="183"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Sales of our long guns increased $3.0 million, or 6.3%, over the comparable period last year, primarily as a result of increased shipments of newly introduced products, which represented 62.1% of long gun sales in the period, a shift in product mix to higher priced models, as well as a 2% to 5% price increase on select products that became effective in the third quarter of fiscal 2024. Long gun unit shipments into our sporting goods channel decreased 17.4% from the comparable period last year while overall consumer demand for long guns increased 1.8% (as indicated by NICS).</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$3.2 million, or 18.1%, over the comparable period last year, primarily because of increased suppressor and component parts sales, partially offset by lower handcuff and business-to-business sales.</w:t>
      </w:r>
    </w:p>
    <w:p>
      <w:pPr>
        <w:spacing w:after="0" w:line="162"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Newly introduced products represented 43.2% of net sales for the six months ended October 31, 2024 and included six new pistols, four new long guns, and many new product line extensions.</w:t>
      </w:r>
    </w:p>
    <w:p>
      <w:pPr>
        <w:spacing w:after="0" w:line="16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Gross margin for the six months ended October 31, 2024 was 26.9% compared with 26.0% for the comparable period last year, primarily because of a $3.2 million legal settlement recognized in the prior year comparable period. Excluding the impact of the prior year legal settlement, gross margin was lower by 40 basis points due to higher labor and overhead costs, partially offset by favorable fixed-cost absorption from higher production volumes, lower inventory adjustments, as described above, and lower Relocation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61616"/>
        </w:rPr>
        <w:t>Operating Expenses</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21.3 %</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$497,000 over the prior year comparable quarter because of higher materials and testing costs associated with new product development. Selling, marketing, and distribution expenses decreased $1.4 million from the prior year comparable quarter, primarily as a result of one-time costs related to our grand opening event at our Maryville facility in the prior year comparable quarter and lower spending on promotions. General and administrative expenses increased $457,000 over the prior year comparable quarter, primarily because of higher legal costs, partially offset by lower compensation-related expense and lower professional services.</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9" w:right="279" w:bottom="1440" w:gutter="0" w:footer="0" w:header="0"/>
        </w:sectPr>
      </w:pPr>
    </w:p>
    <w:bookmarkStart w:id="21" w:name="page22"/>
    <w:bookmarkEnd w:id="21"/>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six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line="20" w:lineRule="exact"/>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53,627</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(424 )</w:t>
            </w:r>
          </w:p>
        </w:tc>
        <w:tc>
          <w:tcPr>
            <w:tcW w:w="1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24.6 %</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$1.2 million over the prior year comparable period because of higher materials and testing costs associated with new product development and higher compensation-related costs. Selling, marketing, and distribution expenses decreased $1.6 million from the prior year comparable period, primarily as a result of a $1.9 million impairment on distribution equipment related to the Relocation and one-time costs related to our grand opening event at our Maryville facility in the prior year comparable period. Excluding the impact of these one-time prior year charges, selling, marketing, and distribution expenses increased $1.2 million, primarily as a result of the timing of certain industry events and higher spending on promotions. General and administrative expenses decreased $56,000 from the prior year comparable period, primarily because of lower Relocation costs, lower profit sharing expense, and lower compensation-related expense, partially offset by higher legal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6,972</w:t>
            </w:r>
          </w:p>
        </w:tc>
        <w:tc>
          <w:tcPr>
            <w:tcW w:w="260" w:type="dxa"/>
            <w:vAlign w:val="bottom"/>
          </w:tcPr>
          <w:p>
            <w:pPr>
              <w:spacing w:after="0"/>
              <w:rPr>
                <w:sz w:val="18"/>
                <w:szCs w:val="18"/>
                <w:color w:val="auto"/>
              </w:rPr>
            </w:pPr>
          </w:p>
        </w:tc>
        <w:tc>
          <w:tcPr>
            <w:tcW w:w="74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3,768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5.4 %</w:t>
            </w:r>
          </w:p>
        </w:tc>
        <w:tc>
          <w:tcPr>
            <w:tcW w:w="7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three months ended October 31, 2024 increased </w:t>
      </w:r>
      <w:r>
        <w:rPr>
          <w:rFonts w:ascii="Times New Roman" w:cs="Times New Roman" w:eastAsia="Times New Roman" w:hAnsi="Times New Roman"/>
          <w:sz w:val="18"/>
          <w:szCs w:val="18"/>
          <w:color w:val="161616"/>
        </w:rPr>
        <w:t>$3.2 m</w:t>
      </w:r>
      <w:r>
        <w:rPr>
          <w:rFonts w:ascii="Times New Roman" w:cs="Times New Roman" w:eastAsia="Times New Roman" w:hAnsi="Times New Roman"/>
          <w:sz w:val="18"/>
          <w:szCs w:val="18"/>
          <w:color w:val="auto"/>
        </w:rPr>
        <w:t xml:space="preserve">illion over the comparable quarter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six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5,110</w:t>
            </w:r>
          </w:p>
        </w:tc>
        <w:tc>
          <w:tcPr>
            <w:tcW w:w="260" w:type="dxa"/>
            <w:vAlign w:val="bottom"/>
          </w:tcPr>
          <w:p>
            <w:pPr>
              <w:spacing w:after="0"/>
              <w:rPr>
                <w:sz w:val="18"/>
                <w:szCs w:val="18"/>
                <w:color w:val="auto"/>
              </w:rPr>
            </w:pPr>
          </w:p>
        </w:tc>
        <w:tc>
          <w:tcPr>
            <w:tcW w:w="74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8,116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7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2.3 %</w:t>
            </w:r>
          </w:p>
        </w:tc>
        <w:tc>
          <w:tcPr>
            <w:tcW w:w="7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for the six months ended October 31, 2024 decreased $3.0 million from the comparable period last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three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(1,419 )  $</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(646 )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increased by $773,000 over the comparable quarter last year as a result of higher average debt balances, lower capitalized interest, and lower average cash balances during the three months ended October 31, 2024 compared with the comparable quarter last year.</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net for the six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2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(2,152 )  $</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(492 )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337.4 %</w:t>
            </w:r>
          </w:p>
        </w:tc>
        <w:tc>
          <w:tcPr>
            <w:tcW w:w="0" w:type="dxa"/>
            <w:vAlign w:val="bottom"/>
          </w:tcPr>
          <w:p>
            <w:pPr>
              <w:spacing w:after="0"/>
              <w:rPr>
                <w:sz w:val="1"/>
                <w:szCs w:val="1"/>
                <w:color w:val="auto"/>
              </w:rPr>
            </w:pPr>
          </w:p>
        </w:tc>
      </w:tr>
      <w:tr>
        <w:trPr>
          <w:trHeight w:val="648"/>
        </w:trPr>
        <w:tc>
          <w:tcPr>
            <w:tcW w:w="35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22" w:name="page23"/>
    <w:bookmarkEnd w:id="22"/>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increased by $1.7 million over the comparable period last year as a result of higher average debt balances, lower capitalized interest, and lower average cash balances during the six months ended October 31, 2024 compared with the comparable period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three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1,414</w:t>
            </w:r>
          </w:p>
        </w:tc>
        <w:tc>
          <w:tcPr>
            <w:tcW w:w="260" w:type="dxa"/>
            <w:vAlign w:val="bottom"/>
          </w:tcPr>
          <w:p>
            <w:pPr>
              <w:spacing w:after="0"/>
              <w:rPr>
                <w:sz w:val="18"/>
                <w:szCs w:val="18"/>
                <w:color w:val="auto"/>
              </w:rPr>
            </w:pPr>
          </w:p>
        </w:tc>
        <w:tc>
          <w:tcPr>
            <w:tcW w:w="78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0" w:type="dxa"/>
            <w:vAlign w:val="bottom"/>
          </w:tcPr>
          <w:p>
            <w:pPr>
              <w:spacing w:after="0"/>
              <w:rPr>
                <w:sz w:val="1"/>
                <w:szCs w:val="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7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25.5 %</w:t>
            </w:r>
          </w:p>
        </w:tc>
        <w:tc>
          <w:tcPr>
            <w:tcW w:w="7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increased $649,000 from the comparable quarter last year, primarily as a result of higher operating income. Before adjusting for discrete items related to stock-based compensation, the effective tax rate is 26.0% in the current quarter and 23.5% in the prior year comparable quarter. The increase in the effective tax rate was due to changes in state apportionment and a decrease in pre-tax profitability.</w:t>
      </w:r>
    </w:p>
    <w:p>
      <w:pPr>
        <w:spacing w:after="0" w:line="284"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six months ended October 31, 2024 and 2023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60" w:type="dxa"/>
            <w:vAlign w:val="bottom"/>
          </w:tcPr>
          <w:p>
            <w:pPr>
              <w:spacing w:after="0"/>
              <w:rPr>
                <w:sz w:val="18"/>
                <w:szCs w:val="18"/>
                <w:color w:val="auto"/>
              </w:rPr>
            </w:pPr>
          </w:p>
        </w:tc>
        <w:tc>
          <w:tcPr>
            <w:tcW w:w="74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2,196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8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31.3 %</w:t>
            </w:r>
          </w:p>
        </w:tc>
        <w:tc>
          <w:tcPr>
            <w:tcW w:w="7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28.1 %</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$1.3 million from the comparable period last year, primarily as a result of lower operating income. Before adjusting for discrete items related to stock-based compensation, the effective tax rate was 26.4% in the current period and 24.2% in the prior year comparable period. The increase in the effective tax rate was due to changes in state apportionment and a decrease in pre-tax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three months ended October 31, 2024 and 2023 (dollars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FF0FC"/>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CFF"/>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-285115</wp:posOffset>
            </wp:positionV>
            <wp:extent cx="90043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00430" cy="137160"/>
                    </a:xfrm>
                    <a:prstGeom prst="rect">
                      <a:avLst/>
                    </a:prstGeom>
                    <a:noFill/>
                  </pic:spPr>
                </pic:pic>
              </a:graphicData>
            </a:graphic>
          </wp:anchor>
        </w:drawing>
      </w:r>
    </w:p>
    <w:p>
      <w:pPr>
        <w:spacing w:after="0" w:line="15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income for the three months ended October 31, 2024 was $4.1 </w:t>
      </w:r>
      <w:r>
        <w:rPr>
          <w:rFonts w:ascii="Times New Roman" w:cs="Times New Roman" w:eastAsia="Times New Roman" w:hAnsi="Times New Roman"/>
          <w:sz w:val="18"/>
          <w:szCs w:val="18"/>
          <w:color w:val="161616"/>
        </w:rPr>
        <w:t>million co</w:t>
      </w:r>
      <w:r>
        <w:rPr>
          <w:rFonts w:ascii="Times New Roman" w:cs="Times New Roman" w:eastAsia="Times New Roman" w:hAnsi="Times New Roman"/>
          <w:sz w:val="18"/>
          <w:szCs w:val="18"/>
          <w:color w:val="auto"/>
        </w:rPr>
        <w:t xml:space="preserve">mpared with </w:t>
      </w: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color w:val="161616"/>
        </w:rPr>
        <w:t>million</w:t>
      </w:r>
      <w:r>
        <w:rPr>
          <w:rFonts w:ascii="Times New Roman" w:cs="Times New Roman" w:eastAsia="Times New Roman" w:hAnsi="Times New Roman"/>
          <w:sz w:val="18"/>
          <w:szCs w:val="18"/>
          <w:color w:val="auto"/>
        </w:rPr>
        <w:t xml:space="preserve"> for the comparable quarter last year for the reasons outlined above.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six months ended October 31, 2024 and 2023 (dollars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gridSpan w:val="2"/>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(3,590 )</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FF0FC"/>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-285115</wp:posOffset>
            </wp:positionV>
            <wp:extent cx="9004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00430" cy="137160"/>
                    </a:xfrm>
                    <a:prstGeom prst="rect">
                      <a:avLst/>
                    </a:prstGeom>
                    <a:noFill/>
                  </pic:spPr>
                </pic:pic>
              </a:graphicData>
            </a:graphic>
          </wp:anchor>
        </w:drawing>
      </w:r>
    </w:p>
    <w:p>
      <w:pPr>
        <w:spacing w:after="0" w:line="3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income for the six months ended October 31, 2024 was $2.0 </w:t>
      </w:r>
      <w:r>
        <w:rPr>
          <w:rFonts w:ascii="Times New Roman" w:cs="Times New Roman" w:eastAsia="Times New Roman" w:hAnsi="Times New Roman"/>
          <w:sz w:val="18"/>
          <w:szCs w:val="18"/>
          <w:color w:val="161616"/>
        </w:rPr>
        <w:t>million co</w:t>
      </w:r>
      <w:r>
        <w:rPr>
          <w:rFonts w:ascii="Times New Roman" w:cs="Times New Roman" w:eastAsia="Times New Roman" w:hAnsi="Times New Roman"/>
          <w:sz w:val="18"/>
          <w:szCs w:val="18"/>
          <w:color w:val="auto"/>
        </w:rPr>
        <w:t xml:space="preserve">mpared with </w:t>
      </w:r>
      <w:r>
        <w:rPr>
          <w:rFonts w:ascii="Times New Roman" w:cs="Times New Roman" w:eastAsia="Times New Roman" w:hAnsi="Times New Roman"/>
          <w:sz w:val="18"/>
          <w:szCs w:val="18"/>
          <w:color w:val="161616"/>
        </w:rPr>
        <w:t>$5.6 million</w:t>
      </w:r>
      <w:r>
        <w:rPr>
          <w:rFonts w:ascii="Times New Roman" w:cs="Times New Roman" w:eastAsia="Times New Roman" w:hAnsi="Times New Roman"/>
          <w:sz w:val="18"/>
          <w:szCs w:val="18"/>
          <w:color w:val="auto"/>
        </w:rPr>
        <w:t xml:space="preserve"> for the comparable period last year for the reasons outlined above.</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growth of our operations, including working capital and capital expenditures, and return capital to stockholders. Capital expenditures for new product development, and repair and replacement of equipment represent important cash needs.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six months ended October 31, 2024 and 2023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(38,212 )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(75,968 )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(7,879 )</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(67,063 )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59,184</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0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flow</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(12,382 )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-307975</wp:posOffset>
            </wp:positionV>
            <wp:extent cx="96012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60120" cy="14541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was $38.2 million for the six months ended October 31, 2024 compared with $37.8 million of cash provided for the six months ended October 31, 2023. Cash used in operating activities for the six months ended October 31, 2024 was unfavorably impacted by a $35.5 million increase in inventory compared with a $13.8 million decrease in inventory in the prior comparable period, a $10.1 million decrease in accounts payable compared with a $14.7 million increase in accounts payable in the prior comparable period, and a $3.9 million decrease in accrued payroll and incentives compared with a $1.3 million increase in accrued payroll and incentives in the prior comparable period. Cash used in operating activities for the six months ended October 31, 2024 was favorably impacted by a $6.4 million decrease in accounts receivable compared with a $4.6 million increase in accounts receivable in the prior comparable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$59.2 million for the six months ended October 31, 2024 compared with the prior year comparable period. We paid $8.0 million for capital expenditures for the six months ended October 31, 2024, $58.9 million lower than the prior year comparable period, primarily as a result of payments related to the Relocation in the prior year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expect to spend $25.0 million to $30.0 million on capital expenditures in fiscal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$24.3 million for the six months ended October 31, 2024 compared with $19.9 million of cash provided in financing activities for the six months ended October 31, 2023. Cash provided by financing activities during the six months ended October 31, 2024 was primarily the result of $60 million in borrowings under our revolving line of credit, partially offset by $22.6 million of share repurchases and $11.7 million in dividend distributions.</w:t>
      </w:r>
    </w:p>
    <w:p>
      <w:pPr>
        <w:spacing w:after="0" w:line="178"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We entered into the Second Amended and Restated Credit Agreement on October 3, 2024. The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provides for a revolving line of credit of $175.0 million at any one time, or the Revolving Line. The Revolving Line bears interest at either the Base Rate (as defined in the Second Amended and Restated Credit Agreement) or the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7"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2024, we had $100.0 million of borrowings outstanding on the Revolving Line, bearing interest at an average rate of 6.92%, which was equal to the SOFR rate plus an applicable margin.</w:t>
      </w:r>
    </w:p>
    <w:p>
      <w:pPr>
        <w:spacing w:after="0" w:line="162"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for our credit facility contains financial covenants relating to maintaining maximum leverage and minimum debt service coverage. We were in compliance with all debt covenants as of October 31, 2024.</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5" w:right="279" w:bottom="1440" w:gutter="0" w:footer="0" w:header="0"/>
        </w:sectPr>
      </w:pPr>
    </w:p>
    <w:bookmarkStart w:id="24" w:name="page25"/>
    <w:bookmarkEnd w:id="24"/>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w:t>
      </w:r>
      <w:r>
        <w:rPr>
          <w:rFonts w:ascii="Times New Roman" w:cs="Times New Roman" w:eastAsia="Times New Roman" w:hAnsi="Times New Roman"/>
          <w:sz w:val="18"/>
          <w:szCs w:val="18"/>
          <w:color w:val="auto"/>
        </w:rPr>
        <w:t>— On September 19, 2023, our Board of Directors authorized the repurchase of up to $50.0 million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During fiscal 2025, we have repurchased 92,537 shares of our common stock for $1.2 million under the 2024 Authorization.</w:t>
      </w:r>
    </w:p>
    <w:p>
      <w:pPr>
        <w:spacing w:after="0" w:line="7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2024, we repurchased a total of 753,631 shares of our common stock for $9.8 million. During the six months ended October 31, 2024, we repurchased a total of 1,624,300 shares of our common stock for $22.6 million.</w:t>
      </w:r>
    </w:p>
    <w:p>
      <w:pPr>
        <w:spacing w:after="0" w:line="160"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In June 2024, our Board of Directors authorized a regular quarterly dividend for stockholders of $0.13 per share. The next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for stockholders of record as of market close on December 19, 2024 and will be payable on January 2, 2025.</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and costs related to the Relocation.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October 31, 2024, we had $39.1 million in cash and cash equivalents on hand. Based upon our current working capital position, current operating plans, and expected business conditions, we believe that our existing capital resources and credit facilities will be adequate to fund our operations for at least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2024 Annual Report. The most significant areas involving our judgments and estimates are described in Management’s Discussion and Analysis of Financial Condition and Results of Operations in our Fiscal 2024 Annual Report, to which there have been no material changes. Actual results could differ from our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period ended October 31, 2024, we did not enter into or transact any forward option contracts nor did we have any forward contracts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as of October 31, 2024,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8</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that could materially affect our business, results of operations, financial condition, and cash flows as set forth under Part I, Item 1A “Risk Factors” of our Fiscal 2024 Form 10-K. Additional risks and uncertainties not presently known to us or that we currently believe not to be material may also adversely impact our business, results of operations, financial position, and cash flows. We are aware of no material changes to the Risk Factors discussed in our Fiscal 2024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the purchases of our common stock by us and any affiliated purchasers within the meaning of Rule 10b-18(a)(3) under the Exchange Act during the three months ended October 31, 2024 (dollars 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 Shares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 (1)</w:t>
            </w:r>
          </w:p>
        </w:tc>
        <w:tc>
          <w:tcPr>
            <w:tcW w:w="2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 to August 31, 2024</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to September 30, 2024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753,631</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753,631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October 1 to October 31, 2024</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48,752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excludes fees paid to acquire the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2023, our Board of Directors authorized the repurchase of up to $50.0 million of our common 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During fiscal 2025, we have repurchased 92,537 shares of our common stock for $1.2 million under the 2024 Authorization. During the three months ended October 31, 2024, we repurchased a total of 753,631 shares of our common stock for $9.8 million. During the six months ended October 31, 2024, we repurchased a total of 1,624,300 shares of our common stock for $22.6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adoption or termination of contracts, instructions, or written plans for the purchase and sale of our securities by our Section 16 officers and directors for the three months ended October 31, 2024, each of which is intended to satisfy the affirmative defense conditions of Rule 10b5-1(c) under the Exchange Act, or a Rule 10b5-1 Plan,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5"/>
                <w:szCs w:val="15"/>
                <w:color w:val="auto"/>
              </w:rPr>
            </w:pPr>
          </w:p>
        </w:tc>
        <w:tc>
          <w:tcPr>
            <w:tcW w:w="31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20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6"/>
        </w:trPr>
        <w:tc>
          <w:tcPr>
            <w:tcW w:w="2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Robert L. Scott</w:t>
            </w:r>
          </w:p>
        </w:tc>
        <w:tc>
          <w:tcPr>
            <w:tcW w:w="200" w:type="dxa"/>
            <w:vAlign w:val="bottom"/>
            <w:shd w:val="clear" w:color="auto" w:fill="CCECFF"/>
          </w:tcPr>
          <w:p>
            <w:pPr>
              <w:spacing w:after="0"/>
              <w:rPr>
                <w:sz w:val="17"/>
                <w:szCs w:val="17"/>
                <w:color w:val="auto"/>
              </w:rPr>
            </w:pPr>
          </w:p>
        </w:tc>
        <w:tc>
          <w:tcPr>
            <w:tcW w:w="17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Director</w:t>
            </w:r>
          </w:p>
        </w:tc>
        <w:tc>
          <w:tcPr>
            <w:tcW w:w="200" w:type="dxa"/>
            <w:vAlign w:val="bottom"/>
            <w:shd w:val="clear" w:color="auto" w:fill="CCECFF"/>
          </w:tcPr>
          <w:p>
            <w:pPr>
              <w:spacing w:after="0"/>
              <w:rPr>
                <w:sz w:val="17"/>
                <w:szCs w:val="17"/>
                <w:color w:val="auto"/>
              </w:rPr>
            </w:pPr>
          </w:p>
        </w:tc>
        <w:tc>
          <w:tcPr>
            <w:tcW w:w="31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6"/>
                <w:szCs w:val="16"/>
                <w:color w:val="auto"/>
              </w:rPr>
              <w:t>Termination of Rule 10b5-1 Plan</w:t>
            </w:r>
          </w:p>
        </w:tc>
        <w:tc>
          <w:tcPr>
            <w:tcW w:w="200" w:type="dxa"/>
            <w:vAlign w:val="bottom"/>
            <w:shd w:val="clear" w:color="auto" w:fill="CCECFF"/>
          </w:tcPr>
          <w:p>
            <w:pPr>
              <w:spacing w:after="0"/>
              <w:rPr>
                <w:sz w:val="17"/>
                <w:szCs w:val="17"/>
                <w:color w:val="auto"/>
              </w:rPr>
            </w:pP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March 29, 2024</w:t>
            </w:r>
          </w:p>
        </w:tc>
        <w:tc>
          <w:tcPr>
            <w:tcW w:w="180" w:type="dxa"/>
            <w:vAlign w:val="bottom"/>
            <w:shd w:val="clear" w:color="auto" w:fill="CCECFF"/>
          </w:tcPr>
          <w:p>
            <w:pPr>
              <w:spacing w:after="0"/>
              <w:rPr>
                <w:sz w:val="17"/>
                <w:szCs w:val="17"/>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August 1, 2024</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10.126**</w:t>
            </w:r>
          </w:p>
        </w:tc>
        <w:tc>
          <w:tcPr>
            <w:tcW w:w="9820" w:type="dxa"/>
            <w:vAlign w:val="bottom"/>
            <w:gridSpan w:val="5"/>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Second Amended and Restated Credit Agreement, dated October 3, 2024, by and among the Registrant, Smith &amp; Wesson Sales</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5"/>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Company, Smith &amp; Wesson Inc., the Guarantors, the Lenders and TD Bank, N.A. (1)</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Executive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tcBorders>
              <w:left w:val="single" w:sz="8" w:color="0000FF"/>
            </w:tcBorders>
            <w:gridSpan w:val="2"/>
          </w:tcPr>
          <w:p>
            <w:pPr>
              <w:spacing w:after="0" w:line="20" w:lineRule="exact"/>
              <w:rPr>
                <w:sz w:val="1"/>
                <w:szCs w:val="1"/>
                <w:color w:val="auto"/>
              </w:rPr>
            </w:pPr>
          </w:p>
        </w:tc>
      </w:tr>
      <w:tr>
        <w:trPr>
          <w:trHeight w:val="3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r>
      <w:tr>
        <w:trPr>
          <w:trHeight w:val="3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5780" w:type="dxa"/>
            <w:vAlign w:val="bottom"/>
            <w:tcBorders>
              <w:left w:val="single" w:sz="8" w:color="0000FF"/>
            </w:tcBorders>
            <w:gridSpan w:val="3"/>
          </w:tcPr>
          <w:p>
            <w:pPr>
              <w:spacing w:after="0" w:line="20" w:lineRule="exact"/>
              <w:rPr>
                <w:sz w:val="1"/>
                <w:szCs w:val="1"/>
                <w:color w:val="auto"/>
              </w:rPr>
            </w:pPr>
          </w:p>
        </w:tc>
      </w:tr>
      <w:tr>
        <w:trPr>
          <w:trHeight w:val="3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8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r>
      <w:tr>
        <w:trPr>
          <w:trHeight w:val="3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80" w:type="dxa"/>
            <w:vAlign w:val="bottom"/>
          </w:tcPr>
          <w:p>
            <w:pPr>
              <w:spacing w:after="0"/>
              <w:rPr>
                <w:sz w:val="20"/>
                <w:szCs w:val="20"/>
                <w:color w:val="auto"/>
              </w:rPr>
            </w:pP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right="4100" w:firstLine="21"/>
        <w:spacing w:after="0" w:line="326" w:lineRule="auto"/>
        <w:tabs>
          <w:tab w:leader="none" w:pos="13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(embedded within the Inline XBRL document)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Filed herewith.</w:t>
      </w:r>
    </w:p>
    <w:p>
      <w:pPr>
        <w:spacing w:after="0" w:line="1" w:lineRule="exact"/>
        <w:rPr>
          <w:rFonts w:ascii="Times New Roman" w:cs="Times New Roman" w:eastAsia="Times New Roman" w:hAnsi="Times New Roman"/>
          <w:sz w:val="18"/>
          <w:szCs w:val="18"/>
          <w:color w:val="auto"/>
        </w:rPr>
      </w:pPr>
    </w:p>
    <w:p>
      <w:pPr>
        <w:ind w:right="100" w:firstLine="8"/>
        <w:spacing w:after="0" w:line="233" w:lineRule="auto"/>
        <w:tabs>
          <w:tab w:leader="none" w:pos="43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Certain schedules and exhibits have been omitted from this filing pursuant to Item 601(a) (5) of Regulation S-K. We agree to furnish supplementally a copy of any omitted schedule or exhibit to the SEC upon request.</w:t>
      </w:r>
    </w:p>
    <w:p>
      <w:pPr>
        <w:spacing w:after="0" w:line="198" w:lineRule="exact"/>
        <w:rPr>
          <w:sz w:val="20"/>
          <w:szCs w:val="20"/>
          <w:color w:val="auto"/>
        </w:rPr>
      </w:pPr>
    </w:p>
    <w:p>
      <w:pPr>
        <w:ind w:left="5540" w:right="2700" w:hanging="5532"/>
        <w:spacing w:after="0" w:line="783" w:lineRule="auto"/>
        <w:tabs>
          <w:tab w:leader="none" w:pos="3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filed with the SEC on October 4, 2024.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58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SMITH &amp; WESSON BRANDS, INC.</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3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5, 2024</w:t>
            </w:r>
          </w:p>
        </w:tc>
        <w:tc>
          <w:tcPr>
            <w:tcW w:w="758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P. Smith</w:t>
            </w:r>
          </w:p>
        </w:tc>
      </w:tr>
      <w:tr>
        <w:trPr>
          <w:trHeight w:val="189"/>
        </w:trPr>
        <w:tc>
          <w:tcPr>
            <w:tcW w:w="3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3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5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5, 2024</w:t>
            </w:r>
          </w:p>
        </w:tc>
        <w:tc>
          <w:tcPr>
            <w:tcW w:w="758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Deana L. McPherson</w:t>
            </w:r>
          </w:p>
        </w:tc>
      </w:tr>
      <w:tr>
        <w:trPr>
          <w:trHeight w:val="189"/>
        </w:trPr>
        <w:tc>
          <w:tcPr>
            <w:tcW w:w="3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3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36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3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tc>
      </w:tr>
      <w:tr>
        <w:trPr>
          <w:trHeight w:val="648"/>
        </w:trPr>
        <w:tc>
          <w:tcPr>
            <w:tcW w:w="3660" w:type="dxa"/>
            <w:vAlign w:val="bottom"/>
          </w:tcPr>
          <w:p>
            <w:pPr>
              <w:spacing w:after="0"/>
              <w:rPr>
                <w:sz w:val="24"/>
                <w:szCs w:val="24"/>
                <w:color w:val="auto"/>
              </w:rPr>
            </w:pPr>
          </w:p>
        </w:tc>
        <w:tc>
          <w:tcPr>
            <w:tcW w:w="32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29</w:t>
            </w:r>
          </w:p>
        </w:tc>
        <w:tc>
          <w:tcPr>
            <w:tcW w:w="430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3"/>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3"/>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October 31, 2024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Mark P. Smith</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2024</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October 31, 2024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66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18415</wp:posOffset>
            </wp:positionV>
            <wp:extent cx="2588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2024</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
      <w:numFmt w:val="bullet"/>
      <w:start w:val="1"/>
    </w:lvl>
    <w:lvl w:ilvl="1">
      <w:lvlJc w:val="left"/>
      <w:lvlText w:val="%2"/>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38" Type="http://schemas.openxmlformats.org/officeDocument/2006/relationships/hyperlink" Target="https://www.sec.gov/Archives/edgar/data/1092796/000119312524233102/d896305dex101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2024-12-05T15:20:59Z</dcterms:created>
  <dcterms:modified xsi:type="dcterms:W3CDTF">2024-12-05T15:20:59Z</dcterms:modified>
</cp:coreProperties>
</file>