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ind w:left="1320" w:hanging="340"/>
        <w:spacing w:after="0"/>
        <w:tabs>
          <w:tab w:leader="none" w:pos="132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1320" w:hanging="344"/>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2018</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111760</wp:posOffset>
            </wp:positionV>
            <wp:extent cx="3422015" cy="87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01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American Outdoor Brands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5140" w:type="dxa"/>
            <w:vAlign w:val="bottom"/>
          </w:tcPr>
          <w:p>
            <w:pPr>
              <w:jc w:val="right"/>
              <w:ind w:right="40"/>
              <w:spacing w:after="0"/>
              <w:rPr>
                <w:sz w:val="20"/>
                <w:szCs w:val="20"/>
                <w:color w:val="auto"/>
              </w:rPr>
            </w:pPr>
            <w:r>
              <w:rPr>
                <w:rFonts w:ascii="Arial" w:cs="Arial" w:eastAsia="Arial" w:hAnsi="Arial"/>
                <w:sz w:val="18"/>
                <w:szCs w:val="18"/>
                <w:b w:val="1"/>
                <w:bCs w:val="1"/>
                <w:color w:val="auto"/>
              </w:rPr>
              <w:t>87-0543688</w:t>
            </w:r>
          </w:p>
        </w:tc>
      </w:tr>
      <w:tr>
        <w:trPr>
          <w:trHeight w:val="149"/>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2100 Roosevelt Avenue</w:t>
            </w:r>
          </w:p>
        </w:tc>
        <w:tc>
          <w:tcPr>
            <w:tcW w:w="5140" w:type="dxa"/>
            <w:vAlign w:val="bottom"/>
          </w:tcPr>
          <w:p>
            <w:pPr>
              <w:spacing w:after="0"/>
              <w:rPr>
                <w:sz w:val="24"/>
                <w:szCs w:val="24"/>
                <w:color w:val="auto"/>
              </w:rPr>
            </w:pPr>
          </w:p>
        </w:tc>
      </w:t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8"/>
              </w:rPr>
              <w:t>Springfield, Massachusetts</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01104</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420" w:type="dxa"/>
            <w:vAlign w:val="bottom"/>
          </w:tcPr>
          <w:p>
            <w:pPr>
              <w:spacing w:after="0"/>
              <w:rPr>
                <w:sz w:val="24"/>
                <w:szCs w:val="24"/>
                <w:color w:val="auto"/>
              </w:rPr>
            </w:pPr>
          </w:p>
        </w:tc>
        <w:tc>
          <w:tcPr>
            <w:tcW w:w="5140" w:type="dxa"/>
            <w:vAlign w:val="bottom"/>
          </w:tcPr>
          <w:p>
            <w:pPr>
              <w:jc w:val="right"/>
              <w:ind w:right="2820"/>
              <w:spacing w:after="0"/>
              <w:rPr>
                <w:sz w:val="20"/>
                <w:szCs w:val="20"/>
                <w:color w:val="auto"/>
              </w:rPr>
            </w:pPr>
            <w:r>
              <w:rPr>
                <w:rFonts w:ascii="Arial" w:cs="Arial" w:eastAsia="Arial" w:hAnsi="Arial"/>
                <w:sz w:val="18"/>
                <w:szCs w:val="18"/>
                <w:b w:val="1"/>
                <w:bCs w:val="1"/>
                <w:color w:val="auto"/>
              </w:rPr>
              <w:t>(800) 331-0852</w:t>
            </w:r>
          </w:p>
        </w:tc>
      </w:tr>
      <w:tr>
        <w:trPr>
          <w:trHeight w:val="186"/>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74" w:lineRule="exact"/>
        <w:rPr>
          <w:sz w:val="24"/>
          <w:szCs w:val="24"/>
          <w:color w:val="auto"/>
        </w:rPr>
      </w:pPr>
    </w:p>
    <w:p>
      <w:pPr>
        <w:ind w:right="4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registrant had 54,539,926 shares of common stock, par value $0.001, outstanding as of December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rPr>
              <w:t>AMERICAN OUTDOOR BRANDS CORPORATION</w:t>
            </w:r>
          </w:p>
        </w:tc>
        <w:tc>
          <w:tcPr>
            <w:tcW w:w="170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4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w w:val="94"/>
              </w:rPr>
              <w:t>Quarterly Report on Form 10-Q</w:t>
            </w:r>
          </w:p>
        </w:tc>
        <w:tc>
          <w:tcPr>
            <w:tcW w:w="170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8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w w:val="91"/>
              </w:rPr>
              <w:t>For the Three and Six Months Ended October 31, 2018 and 2017</w:t>
            </w:r>
          </w:p>
        </w:tc>
        <w:tc>
          <w:tcPr>
            <w:tcW w:w="1700" w:type="dxa"/>
            <w:vAlign w:val="bottom"/>
          </w:tcPr>
          <w:p>
            <w:pPr>
              <w:spacing w:after="0"/>
              <w:rPr>
                <w:sz w:val="20"/>
                <w:szCs w:val="20"/>
                <w:color w:val="auto"/>
              </w:rPr>
            </w:pPr>
          </w:p>
        </w:tc>
      </w:tr>
      <w:tr>
        <w:trPr>
          <w:trHeight w:val="459"/>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4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24"/>
                <w:szCs w:val="24"/>
                <w:color w:val="auto"/>
              </w:rPr>
            </w:pPr>
          </w:p>
        </w:tc>
      </w:tr>
      <w:tr>
        <w:trPr>
          <w:trHeight w:val="419"/>
        </w:trPr>
        <w:tc>
          <w:tcPr>
            <w:tcW w:w="31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6580" w:type="dxa"/>
            <w:vAlign w:val="bottom"/>
            <w:gridSpan w:val="5"/>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6440" w:type="dxa"/>
            <w:vAlign w:val="bottom"/>
            <w:gridSpan w:val="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0" w:type="dxa"/>
            <w:vAlign w:val="bottom"/>
          </w:tcPr>
          <w:p>
            <w:pPr>
              <w:spacing w:after="0"/>
              <w:rPr>
                <w:sz w:val="17"/>
                <w:szCs w:val="17"/>
                <w:color w:val="auto"/>
              </w:rPr>
            </w:pPr>
          </w:p>
        </w:tc>
        <w:tc>
          <w:tcPr>
            <w:tcW w:w="70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2. Management’s Discussion and Analysis of Financial Condition and Results of Operations</w:t>
              </w:r>
            </w:hyperlink>
          </w:p>
        </w:tc>
        <w:tc>
          <w:tcPr>
            <w:tcW w:w="240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0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4500" w:type="dxa"/>
            <w:vAlign w:val="bottom"/>
            <w:gridSpan w:val="2"/>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0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8"/>
        </w:trPr>
        <w:tc>
          <w:tcPr>
            <w:tcW w:w="28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6880" w:type="dxa"/>
            <w:vAlign w:val="bottom"/>
            <w:gridSpan w:val="6"/>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1. Legal Proceedings</w:t>
              </w:r>
            </w:hyperlink>
          </w:p>
        </w:tc>
        <w:tc>
          <w:tcPr>
            <w:tcW w:w="7520" w:type="dxa"/>
            <w:vAlign w:val="bottom"/>
            <w:gridSpan w:val="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0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0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6"/>
          </w:tcPr>
          <w:p>
            <w:pPr>
              <w:spacing w:after="0"/>
              <w:rPr>
                <w:sz w:val="17"/>
                <w:szCs w:val="17"/>
                <w:color w:val="auto"/>
              </w:rPr>
            </w:pPr>
          </w:p>
        </w:tc>
        <w:tc>
          <w:tcPr>
            <w:tcW w:w="4520" w:type="dxa"/>
            <w:vAlign w:val="bottom"/>
            <w:gridSpan w:val="3"/>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972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37"/>
        </w:trPr>
        <w:tc>
          <w:tcPr>
            <w:tcW w:w="7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EX-31.1</w:t>
            </w:r>
          </w:p>
        </w:tc>
        <w:tc>
          <w:tcPr>
            <w:tcW w:w="8960" w:type="dxa"/>
            <w:vAlign w:val="bottom"/>
            <w:gridSpan w:val="10"/>
          </w:tcPr>
          <w:p>
            <w:pPr>
              <w:spacing w:after="0"/>
              <w:rPr>
                <w:sz w:val="20"/>
                <w:szCs w:val="20"/>
                <w:color w:val="auto"/>
              </w:rPr>
            </w:pPr>
          </w:p>
        </w:tc>
        <w:tc>
          <w:tcPr>
            <w:tcW w:w="170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211"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Smith &amp; Wesson®, S&amp;W®, M&amp;P®, M&amp;P Shield®, Performance Center®, Bodyguard®, Governor®, SW22 Victory®, T/C ®, America’s Master Gunmaker ®, Compass®, Contender®, Dimension®, Encore®, Triumph®, Weather Shield®, Caldwell®, Delta Series®, Wheeler®, Tipton®, Frankford Arsenal®, Lockdown®, BOG-POD®, Golden Rod®, Mag Charger®, Hooyman®, Schrade®, Old Timer®, Uncle Henry®, Imperial®, Non-Typical Wildlife Solutions®, Crimson Trace®, Lasergrips®, Laserguard®, Rail Master®, Shockstop®, Key Gear®, U-Dig-It®, Bubba Blade®, One Cut and You’re Through®, Gemtech®, G-Core®, Halo®, Integra®, World Class Silencers®, LiNQ®, Stinky Bubba®, and Turkinator™ are some of the registered U.S. trademarks of our company or one of our subsidiaries. American Outdoor Brands CorporationSM, M2.0™, SDVE™, Thompson/Center Arms™, Impact!™, Strike™, Venture™, Defender Series™, Instinctive Activation™, Master Series™, UST™, Blast Jacket™, One™, The Professional’s Choice for Decades™, and World Class Ammunition™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the expected performance of acquired businesses; our assessment of factors relating to the valuation of assets acquired and liabilities assumed in acquisitions, the timing for such evaluations, and the potential adjustment in such evaluations; assessments that we make about determining segments and reporting units; the features of our outstanding debt and our expectation that our interest rate swap will not have any material effect on our earnings or our consolidated financial statements within the next 12 months; estimated amortization expense of intangible assets for future periods; the potential for impairment charges; potential repurchases of our common stock; the outcome of the lawsuits to which we are subject and their effect on us; our belief that inventory levels, both internally and in the distribution channel, in excess of demand, may negatively impact future operating results; our belief that it is difficult to forecast the potential impact of distributor inventories on future revenue and income as demand is impacted by many factors, including seasonality, new product introductions, news events, political events, and consumer tastes; our belief that inventory levels will continue to increase due to planned inventory build for the fall hunting and holiday seasons and to reduce the risk of shipping complications at the time that our national logistics facility becomes operational; the impact of the Tax Cuts and Jobs Act, or Tax Reform, on our operating results, including our belief that Tax Reform will be a benefit to us and reduce our effective tax rate; the effects of acquisitions on our overall financial performance; our assessment of our acquisitions, including the quality and strength of their products; our assessment of consumer demand and factors that stimulate demand for our products; the effect on our business of various factors, including terrorism and the level of political pressures on firearm laws and regulations; future investments for capital expenditures; future products and product developments; the features, quality, and performance of our products; the success of particular product or marketing programs; our market share and factors that affect our market share; and liquidity and anticipated cash needs and availability.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among other, economic, social, political, legislative, and regulatory factors; the potential for increased regulation of firearms and firearms-related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risks associated with the establishment of our new 632,000 square foot national logistics facility including the timing of completion and the expected benefits; our ability to introduce new products; the success of new products; our ability to expand our markets; our ability to integrate acquired businesses in a successful manner; the general growth of our outdoor products and accessories business; the potential for cancellation of orders from our backlog; and other factors detailed from time to time in our reports filed with the Securities and Exchange Commission, or the SEC, including our Annual Report on Form 10-K for the fiscal year ended April 30, 2018, filed with the SEC on June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BALANCE SHEETS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w w:val="98"/>
              </w:rPr>
              <w:t>October 31, 2018</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April 30,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6"/>
          </w:tcPr>
          <w:p>
            <w:pPr>
              <w:jc w:val="right"/>
              <w:ind w:right="500"/>
              <w:spacing w:after="0"/>
              <w:rPr>
                <w:sz w:val="20"/>
                <w:szCs w:val="20"/>
                <w:color w:val="auto"/>
              </w:rPr>
            </w:pPr>
            <w:r>
              <w:rPr>
                <w:rFonts w:ascii="Arial" w:cs="Arial" w:eastAsia="Arial" w:hAnsi="Arial"/>
                <w:sz w:val="14"/>
                <w:szCs w:val="14"/>
                <w:color w:val="auto"/>
                <w:w w:val="96"/>
              </w:rPr>
              <w:t>(In thousands, except par value and share data)</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 $1,276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October 31, 2018 and $1,824 on April 30,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63,899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284,882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101,964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769,630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745,060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37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38,425</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deferred revenue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Accrued payroll and incentives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Accrued profit sharing</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and loans payable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Notes and loans payable, net of current portion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Capital lease payable, net of current portion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333,388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20,000,000 shares authorized, no shares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or outstanding</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Common stock, $.001 par value, 100,000,000 shares authorized,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72,705,772 shares issued and 54,538,910 shares outstanding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October 31, 2018 and 72,433,705 shares issued and 54,266,843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outstanding on April 30,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398,846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rPr>
              <w:t>Treasury stock, at cost (18,166,862 shares on October 31, 2018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April 30,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(222,375)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(222,375)</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436,242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INCOME AND COMPREHENSIVE INCOME (Unaudited)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For the Three Months Ended October 31,</w:t>
            </w:r>
          </w:p>
        </w:tc>
        <w:tc>
          <w:tcPr>
            <w:tcW w:w="160" w:type="dxa"/>
            <w:vAlign w:val="bottom"/>
          </w:tcPr>
          <w:p>
            <w:pPr>
              <w:spacing w:after="0"/>
              <w:rPr>
                <w:sz w:val="14"/>
                <w:szCs w:val="14"/>
                <w:color w:val="auto"/>
              </w:rPr>
            </w:pPr>
          </w:p>
        </w:tc>
        <w:tc>
          <w:tcPr>
            <w:tcW w:w="28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For the Six Months Ended October 31,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5"/>
          </w:tcPr>
          <w:p>
            <w:pPr>
              <w:jc w:val="right"/>
              <w:ind w:right="580"/>
              <w:spacing w:after="0"/>
              <w:rPr>
                <w:sz w:val="20"/>
                <w:szCs w:val="20"/>
                <w:color w:val="auto"/>
              </w:rPr>
            </w:pPr>
            <w:r>
              <w:rPr>
                <w:rFonts w:ascii="Arial" w:cs="Arial" w:eastAsia="Arial" w:hAnsi="Arial"/>
                <w:sz w:val="14"/>
                <w:szCs w:val="14"/>
                <w:color w:val="auto"/>
                <w:w w:val="95"/>
              </w:rPr>
              <w:t>(In thousands, except per share data)</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161,703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300,536</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50,799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26,518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11,326</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(2,274)</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(4,274)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(expense)/income, net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Income from operations before income taxes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income/(loss):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8"/>
                <w:szCs w:val="18"/>
                <w:color w:val="auto"/>
              </w:rPr>
              <w:t>Change in unrealized (loss)/income on interest rate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80"/>
              <w:spacing w:after="0"/>
              <w:rPr>
                <w:sz w:val="20"/>
                <w:szCs w:val="20"/>
                <w:color w:val="auto"/>
              </w:rPr>
            </w:pPr>
            <w:r>
              <w:rPr>
                <w:rFonts w:ascii="Arial" w:cs="Arial" w:eastAsia="Arial" w:hAnsi="Arial"/>
                <w:sz w:val="18"/>
                <w:szCs w:val="18"/>
                <w:color w:val="auto"/>
              </w:rPr>
              <w:t>swap</w:t>
            </w: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(loss)/income, before income taxes</w:t>
            </w: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8"/>
                <w:szCs w:val="18"/>
                <w:color w:val="auto"/>
              </w:rPr>
              <w:t>Income tax benefit/(expense) on other comprehensive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8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(loss)/income, net of tax</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54,656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 OF CHANGES IN STOCKHOLDERS’ EQUITY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60" w:type="dxa"/>
            <w:vAlign w:val="bottom"/>
          </w:tcPr>
          <w:p>
            <w:pPr>
              <w:spacing w:after="0"/>
              <w:rPr>
                <w:sz w:val="14"/>
                <w:szCs w:val="14"/>
                <w:color w:val="auto"/>
              </w:rPr>
            </w:pPr>
          </w:p>
        </w:tc>
        <w:tc>
          <w:tcPr>
            <w:tcW w:w="18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61"/>
        </w:trPr>
        <w:tc>
          <w:tcPr>
            <w:tcW w:w="3860" w:type="dxa"/>
            <w:vAlign w:val="bottom"/>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Retained</w:t>
            </w:r>
          </w:p>
        </w:tc>
        <w:tc>
          <w:tcPr>
            <w:tcW w:w="12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16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3"/>
                <w:szCs w:val="13"/>
                <w:color w:val="auto"/>
              </w:rPr>
            </w:pPr>
          </w:p>
        </w:tc>
        <w:tc>
          <w:tcPr>
            <w:tcW w:w="114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86"/>
              </w:rPr>
              <w:t>Income/(Loss)</w:t>
            </w:r>
          </w:p>
        </w:tc>
        <w:tc>
          <w:tcPr>
            <w:tcW w:w="9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April 30, 2018</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72,434</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$ 253,616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$ 389,146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1,689</w:t>
            </w:r>
          </w:p>
        </w:tc>
        <w:tc>
          <w:tcPr>
            <w:tcW w:w="2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18,167</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2"/>
              </w:rPr>
              <w:t>$ (222,375)</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422,148</w:t>
            </w:r>
          </w:p>
        </w:tc>
        <w:tc>
          <w:tcPr>
            <w:tcW w:w="100" w:type="dxa"/>
            <w:vAlign w:val="bottom"/>
            <w:tcBorders>
              <w:top w:val="single" w:sz="8" w:color="CFF0FC"/>
            </w:tcBorders>
            <w:shd w:val="clear" w:color="auto" w:fill="CFF0FC"/>
          </w:tcPr>
          <w:p>
            <w:pPr>
              <w:spacing w:after="0"/>
              <w:rPr>
                <w:sz w:val="18"/>
                <w:szCs w:val="18"/>
                <w:color w:val="auto"/>
              </w:rPr>
            </w:pPr>
          </w:p>
        </w:tc>
      </w:tr>
      <w:tr>
        <w:trPr>
          <w:trHeight w:val="198"/>
        </w:trPr>
        <w:tc>
          <w:tcPr>
            <w:tcW w:w="3860" w:type="dxa"/>
            <w:vAlign w:val="bottom"/>
          </w:tcPr>
          <w:p>
            <w:pPr>
              <w:spacing w:after="0"/>
              <w:rPr>
                <w:sz w:val="20"/>
                <w:szCs w:val="20"/>
                <w:color w:val="auto"/>
              </w:rPr>
            </w:pPr>
            <w:r>
              <w:rPr>
                <w:rFonts w:ascii="Arial" w:cs="Arial" w:eastAsia="Arial" w:hAnsi="Arial"/>
                <w:sz w:val="17"/>
                <w:szCs w:val="17"/>
                <w:color w:val="auto"/>
              </w:rPr>
              <w:t>Proceeds from exercise of</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60" w:type="dxa"/>
            <w:vAlign w:val="bottom"/>
          </w:tcPr>
          <w:p>
            <w:pPr>
              <w:ind w:left="140"/>
              <w:spacing w:after="0"/>
              <w:rPr>
                <w:sz w:val="20"/>
                <w:szCs w:val="20"/>
                <w:color w:val="auto"/>
              </w:rPr>
            </w:pPr>
            <w:r>
              <w:rPr>
                <w:rFonts w:ascii="Arial" w:cs="Arial" w:eastAsia="Arial" w:hAnsi="Arial"/>
                <w:sz w:val="17"/>
                <w:szCs w:val="17"/>
                <w:color w:val="auto"/>
              </w:rPr>
              <w:t>employee stock options</w:t>
            </w:r>
          </w:p>
        </w:tc>
        <w:tc>
          <w:tcPr>
            <w:tcW w:w="680" w:type="dxa"/>
            <w:vAlign w:val="bottom"/>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r>
      <w:tr>
        <w:trPr>
          <w:trHeight w:val="220"/>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3,952</w:t>
            </w:r>
          </w:p>
        </w:tc>
        <w:tc>
          <w:tcPr>
            <w:tcW w:w="100" w:type="dxa"/>
            <w:vAlign w:val="bottom"/>
            <w:shd w:val="clear" w:color="auto" w:fill="CFF0FC"/>
          </w:tcPr>
          <w:p>
            <w:pPr>
              <w:spacing w:after="0"/>
              <w:rPr>
                <w:sz w:val="19"/>
                <w:szCs w:val="19"/>
                <w:color w:val="auto"/>
              </w:rPr>
            </w:pPr>
          </w:p>
        </w:tc>
      </w:tr>
      <w:tr>
        <w:trPr>
          <w:trHeight w:val="198"/>
        </w:trPr>
        <w:tc>
          <w:tcPr>
            <w:tcW w:w="3860" w:type="dxa"/>
            <w:vAlign w:val="bottom"/>
          </w:tcPr>
          <w:p>
            <w:pPr>
              <w:spacing w:after="0"/>
              <w:rPr>
                <w:sz w:val="20"/>
                <w:szCs w:val="20"/>
                <w:color w:val="auto"/>
              </w:rPr>
            </w:pPr>
            <w:r>
              <w:rPr>
                <w:rFonts w:ascii="Arial" w:cs="Arial" w:eastAsia="Arial" w:hAnsi="Arial"/>
                <w:sz w:val="17"/>
                <w:szCs w:val="17"/>
                <w:color w:val="auto"/>
              </w:rPr>
              <w:t>Shares issued under employee stock</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60" w:type="dxa"/>
            <w:vAlign w:val="bottom"/>
          </w:tcPr>
          <w:p>
            <w:pPr>
              <w:ind w:left="140"/>
              <w:spacing w:after="0"/>
              <w:rPr>
                <w:sz w:val="20"/>
                <w:szCs w:val="20"/>
                <w:color w:val="auto"/>
              </w:rPr>
            </w:pPr>
            <w:r>
              <w:rPr>
                <w:rFonts w:ascii="Arial" w:cs="Arial" w:eastAsia="Arial" w:hAnsi="Arial"/>
                <w:sz w:val="17"/>
                <w:szCs w:val="17"/>
                <w:color w:val="auto"/>
              </w:rPr>
              <w:t>purchase plan</w:t>
            </w:r>
          </w:p>
        </w:tc>
        <w:tc>
          <w:tcPr>
            <w:tcW w:w="680" w:type="dxa"/>
            <w:vAlign w:val="bottom"/>
          </w:tcPr>
          <w:p>
            <w:pPr>
              <w:jc w:val="right"/>
              <w:spacing w:after="0"/>
              <w:rPr>
                <w:sz w:val="20"/>
                <w:szCs w:val="20"/>
                <w:color w:val="auto"/>
              </w:rPr>
            </w:pPr>
            <w:r>
              <w:rPr>
                <w:rFonts w:ascii="Arial" w:cs="Arial" w:eastAsia="Arial" w:hAnsi="Arial"/>
                <w:sz w:val="17"/>
                <w:szCs w:val="17"/>
                <w:color w:val="auto"/>
              </w:rPr>
              <w:t>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943</w:t>
            </w:r>
          </w:p>
        </w:tc>
        <w:tc>
          <w:tcPr>
            <w:tcW w:w="100" w:type="dxa"/>
            <w:vAlign w:val="bottom"/>
          </w:tcPr>
          <w:p>
            <w:pPr>
              <w:spacing w:after="0"/>
              <w:rPr>
                <w:sz w:val="18"/>
                <w:szCs w:val="18"/>
                <w:color w:val="auto"/>
              </w:rPr>
            </w:pPr>
          </w:p>
        </w:tc>
      </w:tr>
      <w:tr>
        <w:trPr>
          <w:trHeight w:val="202"/>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Change in unrealized loss on</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38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interest rate swap, net of tax effect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(117)</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(117)</w:t>
            </w:r>
          </w:p>
        </w:tc>
      </w:tr>
      <w:tr>
        <w:trPr>
          <w:trHeight w:val="198"/>
        </w:trPr>
        <w:tc>
          <w:tcPr>
            <w:tcW w:w="3860" w:type="dxa"/>
            <w:vAlign w:val="bottom"/>
          </w:tcPr>
          <w:p>
            <w:pPr>
              <w:spacing w:after="0"/>
              <w:rPr>
                <w:sz w:val="20"/>
                <w:szCs w:val="20"/>
                <w:color w:val="auto"/>
              </w:rPr>
            </w:pPr>
            <w:r>
              <w:rPr>
                <w:rFonts w:ascii="Arial" w:cs="Arial" w:eastAsia="Arial" w:hAnsi="Arial"/>
                <w:sz w:val="17"/>
                <w:szCs w:val="17"/>
                <w:color w:val="auto"/>
              </w:rPr>
              <w:t>Impact of adoption of accounting standard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60" w:type="dxa"/>
            <w:vAlign w:val="bottom"/>
          </w:tcPr>
          <w:p>
            <w:pPr>
              <w:ind w:left="140"/>
              <w:spacing w:after="0"/>
              <w:rPr>
                <w:sz w:val="20"/>
                <w:szCs w:val="20"/>
                <w:color w:val="auto"/>
              </w:rPr>
            </w:pPr>
            <w:r>
              <w:rPr>
                <w:rFonts w:ascii="Arial" w:cs="Arial" w:eastAsia="Arial" w:hAnsi="Arial"/>
                <w:sz w:val="17"/>
                <w:szCs w:val="17"/>
                <w:color w:val="auto"/>
              </w:rPr>
              <w:t>updates</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(4,610)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(4,610)</w:t>
            </w:r>
          </w:p>
        </w:tc>
      </w:tr>
      <w:tr>
        <w:trPr>
          <w:trHeight w:val="202"/>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stock under</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restricted stock unit awards, net</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38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shares surrendered</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(600)</w:t>
            </w: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(599)</w:t>
            </w:r>
          </w:p>
        </w:tc>
      </w:tr>
      <w:tr>
        <w:trPr>
          <w:trHeight w:val="216"/>
        </w:trPr>
        <w:tc>
          <w:tcPr>
            <w:tcW w:w="3860" w:type="dxa"/>
            <w:vAlign w:val="bottom"/>
          </w:tcPr>
          <w:p>
            <w:pPr>
              <w:spacing w:after="0"/>
              <w:rPr>
                <w:sz w:val="20"/>
                <w:szCs w:val="20"/>
                <w:color w:val="auto"/>
              </w:rPr>
            </w:pPr>
            <w:r>
              <w:rPr>
                <w:rFonts w:ascii="Arial" w:cs="Arial" w:eastAsia="Arial" w:hAnsi="Arial"/>
                <w:sz w:val="17"/>
                <w:szCs w:val="17"/>
                <w:color w:val="auto"/>
              </w:rPr>
              <w:t>Net income</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14,310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14,310</w:t>
            </w:r>
          </w:p>
        </w:tc>
        <w:tc>
          <w:tcPr>
            <w:tcW w:w="100" w:type="dxa"/>
            <w:vAlign w:val="bottom"/>
          </w:tcPr>
          <w:p>
            <w:pPr>
              <w:spacing w:after="0"/>
              <w:rPr>
                <w:sz w:val="18"/>
                <w:szCs w:val="18"/>
                <w:color w:val="auto"/>
              </w:rPr>
            </w:pPr>
          </w:p>
        </w:tc>
      </w:tr>
      <w:tr>
        <w:trPr>
          <w:trHeight w:val="210"/>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October 31, 2018</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72,706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$ 258,126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$ 398,846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18,167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8"/>
              </w:rPr>
              <w:t>$ (222,375</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436,242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CASH FLOWS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For the Six Months Ended October 31,</w:t>
            </w:r>
          </w:p>
        </w:tc>
        <w:tc>
          <w:tcPr>
            <w:tcW w:w="20" w:type="dxa"/>
            <w:vAlign w:val="bottom"/>
          </w:tcPr>
          <w:p>
            <w:pPr>
              <w:spacing w:after="0"/>
              <w:rPr>
                <w:sz w:val="14"/>
                <w:szCs w:val="14"/>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gridSpan w:val="4"/>
          </w:tcPr>
          <w:p>
            <w:pPr>
              <w:jc w:val="right"/>
              <w:ind w:right="105"/>
              <w:spacing w:after="0" w:line="155" w:lineRule="exact"/>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14,310</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by/(used in) operating</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8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(Loss)/gain on sale/disposition of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Provision for losses on notes and accounts receivable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(7,278)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(22,482)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(42,581)</w:t>
            </w: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(1,362)</w:t>
            </w:r>
          </w:p>
        </w:tc>
        <w:tc>
          <w:tcPr>
            <w:tcW w:w="20" w:type="dxa"/>
            <w:vAlign w:val="bottom"/>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(8,725)</w:t>
            </w:r>
          </w:p>
        </w:tc>
        <w:tc>
          <w:tcPr>
            <w:tcW w:w="20" w:type="dxa"/>
            <w:vAlign w:val="bottom"/>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Accrued payroll and incentives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(11,640)</w:t>
            </w: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profit sharing</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(10,399)</w:t>
            </w:r>
          </w:p>
        </w:tc>
        <w:tc>
          <w:tcPr>
            <w:tcW w:w="20" w:type="dxa"/>
            <w:vAlign w:val="bottom"/>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Accrued expenses and deferred revenue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(13,084)</w:t>
            </w: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warranty</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non-current liabilities</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9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by/(used in) operating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(23,016)</w:t>
            </w: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acquire patents and software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acquire property and equipment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(19,605)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(9,863)</w:t>
            </w:r>
          </w:p>
        </w:tc>
        <w:tc>
          <w:tcPr>
            <w:tcW w:w="20" w:type="dxa"/>
            <w:vAlign w:val="bottom"/>
          </w:tcPr>
          <w:p>
            <w:pPr>
              <w:spacing w:after="0"/>
              <w:rPr>
                <w:sz w:val="19"/>
                <w:szCs w:val="19"/>
                <w:color w:val="auto"/>
              </w:rPr>
            </w:pPr>
          </w:p>
        </w:tc>
      </w:tr>
      <w:tr>
        <w:trPr>
          <w:trHeight w:val="223"/>
        </w:trPr>
        <w:tc>
          <w:tcPr>
            <w:tcW w:w="69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Proceeds from loans and notes payable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capital lease obligation</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Payments on notes and loans payable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(53,150)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(3,150)</w:t>
            </w:r>
          </w:p>
        </w:tc>
        <w:tc>
          <w:tcPr>
            <w:tcW w:w="20" w:type="dxa"/>
            <w:vAlign w:val="bottom"/>
          </w:tcPr>
          <w:p>
            <w:pPr>
              <w:spacing w:after="0"/>
              <w:rPr>
                <w:sz w:val="19"/>
                <w:szCs w:val="19"/>
                <w:color w:val="auto"/>
              </w:rPr>
            </w:pPr>
          </w:p>
        </w:tc>
      </w:tr>
      <w:tr>
        <w:trPr>
          <w:trHeight w:val="215"/>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options to acquire common stock, including employee</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purchase plan</w:t>
            </w:r>
          </w:p>
        </w:tc>
        <w:tc>
          <w:tcPr>
            <w:tcW w:w="8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Payment of employee withholding tax related to restricted stock units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9"/>
                <w:szCs w:val="19"/>
                <w:color w:val="auto"/>
              </w:rPr>
            </w:pPr>
          </w:p>
        </w:tc>
      </w:tr>
      <w:tr>
        <w:trPr>
          <w:trHeight w:val="223"/>
        </w:trPr>
        <w:tc>
          <w:tcPr>
            <w:tcW w:w="69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in)/provided by financing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70,401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(12,453)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8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68,171</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Cash paid for:</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w:t>
            </w:r>
          </w:p>
        </w:tc>
        <w:tc>
          <w:tcPr>
            <w:tcW w:w="184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6980" w:type="dxa"/>
            <w:vAlign w:val="bottom"/>
          </w:tcPr>
          <w:p>
            <w:pPr>
              <w:ind w:left="566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p>
      <w:pPr>
        <w:jc w:val="center"/>
        <w:ind w:left="260" w:right="2460"/>
        <w:spacing w:after="0" w:line="266" w:lineRule="auto"/>
        <w:rPr>
          <w:sz w:val="20"/>
          <w:szCs w:val="20"/>
          <w:color w:val="auto"/>
        </w:rPr>
      </w:pPr>
      <w:r>
        <w:rPr>
          <w:rFonts w:ascii="Arial" w:cs="Arial" w:eastAsia="Arial" w:hAnsi="Arial"/>
          <w:sz w:val="18"/>
          <w:szCs w:val="18"/>
          <w:b w:val="1"/>
          <w:bCs w:val="1"/>
          <w:color w:val="auto"/>
        </w:rPr>
        <w:t>AMERICAN OUTDOOR BRANDS CORPORATION AND SUBSIDIARIES CONDENSED CONSOLIDATED STATEMENTS OF CASH FLOWS - (Continued) (Unaudited)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93"/>
              </w:rPr>
              <w:t>For the Six Months Ended October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60" w:type="dxa"/>
            <w:vAlign w:val="bottom"/>
            <w:gridSpan w:val="2"/>
          </w:tcPr>
          <w:p>
            <w:pPr>
              <w:jc w:val="center"/>
              <w:ind w:right="439"/>
              <w:spacing w:after="0" w:line="155" w:lineRule="exact"/>
              <w:rPr>
                <w:sz w:val="20"/>
                <w:szCs w:val="20"/>
                <w:color w:val="auto"/>
              </w:rPr>
            </w:pPr>
            <w:r>
              <w:rPr>
                <w:rFonts w:ascii="Arial" w:cs="Arial" w:eastAsia="Arial" w:hAnsi="Arial"/>
                <w:sz w:val="14"/>
                <w:szCs w:val="14"/>
                <w:color w:val="auto"/>
                <w:w w:val="93"/>
              </w:rPr>
              <w:t>(In thousands)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252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4,332</w:t>
            </w:r>
          </w:p>
        </w:tc>
        <w:tc>
          <w:tcPr>
            <w:tcW w:w="126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1,815</w:t>
            </w:r>
          </w:p>
        </w:tc>
        <w:tc>
          <w:tcPr>
            <w:tcW w:w="12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Purchases of property and equipment funded by capital lease</w:t>
            </w:r>
          </w:p>
        </w:tc>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16,547</w:t>
            </w:r>
          </w:p>
        </w:tc>
        <w:tc>
          <w:tcPr>
            <w:tcW w:w="12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w:t>
            </w:r>
          </w:p>
        </w:tc>
        <w:tc>
          <w:tcPr>
            <w:tcW w:w="1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98"/>
              </w:rPr>
              <w:t>16,547</w:t>
            </w:r>
          </w:p>
        </w:tc>
        <w:tc>
          <w:tcPr>
            <w:tcW w:w="12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left="260" w:right="21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 We have two reporting segments: (1) Firearms (which includes the Firearms and Manufacturing Services divisions) and (2) Outdoor Products &amp; Accessories (which includes the Outdoor Products &amp; Accessories and Electro-Optics divisions).</w:t>
      </w:r>
    </w:p>
    <w:p>
      <w:pPr>
        <w:spacing w:after="0" w:line="15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Gemtech, and Thompson/Center Arms brands. We manufacture our firearm products at our facilities in Springfield, Massachusetts; Houlton, Maine; and Deep River, Connecticut. We perform research and development activities for our suppressors and accessories products at our facility in Meridian, Idaho. We also sell our manufacturing services to other businesses under our Smith &amp; Wesson and Smith &amp; Wesson Precision Components brands.</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our Outdoor Products &amp; Accessories segment, we design, source, distribute, and manufacture reloading, gunsmithing, and gun cleaning supplies; high-quality stainless steel cutting tools and accessories; flashlights; tree saws and related trimming accessories; shooting supplies, rests, and other related accessories; fishing accessories; apparel; vault accessories; laser grips and laser sights; and a full range of products for survival and emergency preparedness. We sell our products under the Caldwell, Wheeler, Tipton, Frankford Arsenal, Smith &amp; Wesson, M&amp;P, Thompson/Center, Lockdown, Hooyman, BOG-POD, Golden Rod, Non-Typical Wildlife Solutions, Crimson Trace, Imperial, Schrade, Old Timer, Uncle Henry, Bubba Blade, UST, and KeyGear brands. We develop and market our outdoor products and accessories at our facilities in Columbia, Missouri; Wilsonville, Oregon; and Jacksonville, Florida.</w:t>
      </w:r>
    </w:p>
    <w:p>
      <w:pPr>
        <w:spacing w:after="0" w:line="16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 xml:space="preserve">During fiscal 2018, we acquired substantially all of the net assets of Gemini Technologies, Incorporated, or Gemtech, as well as Bubba Blade branded products and other assets from Fish Tales, LLC, in two separate transactions, which we refer to collectively as the 2018 Acquisitions. See Note 4 –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below for more information regarding these transactions.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i w:val="1"/>
          <w:iCs w:val="1"/>
          <w:color w:val="auto"/>
        </w:rPr>
        <w:t xml:space="preserve">Interim Financial Information – </w:t>
      </w:r>
      <w:r>
        <w:rPr>
          <w:rFonts w:ascii="Arial" w:cs="Arial" w:eastAsia="Arial" w:hAnsi="Arial"/>
          <w:sz w:val="17"/>
          <w:szCs w:val="17"/>
          <w:color w:val="auto"/>
        </w:rPr>
        <w:t>The condensed consolidated balance sheet as of October 31, 2018, the condensed consolidated statements of income</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comprehensive income for the three and six months ended October 31, 2018 and 2017, the condensed consolidated statement of changes in stockholders’ equity for the six months ended October 31, 2018, and the condensed consolidated statements of cash flows for the three and six months ended October 31, 2018 and 2017 have been prepared by us without audit. In our opinion, all adjustments, which include only normal recurring adjustments necessary to fairly present the financial position, results of operations, changes in stockholders’ equity, and cash flows at October 31, 2018 and for the periods presented, have been included. All intercompany transactions have been eliminated in consolidation. The consolidated balance sheet as of April 30, 2018 has been derived from our audited consolidated financial statements.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2018. The results of operations for the three and six months ended October 31, 2018 may not be indicative of the results that may be expected for the year ending April 30, 2019, or any other period.</w:t>
      </w:r>
    </w:p>
    <w:p>
      <w:pPr>
        <w:spacing w:after="0" w:line="18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We recognize revenue in accordance with the provisions of Accounting Standards Update, or ASU,</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(Topic 606), which became effective for us on May 1, 2018. Generally, all performance obligations are satisfied and revenue is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risks and rewards of ownership have transferred to the customer, which is generally upon shipment but could be delayed until the receipt of customer acceptance.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left="280" w:right="210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22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The fulfillment of these free goods are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Revenue is recognized proportionally as each performance obligation is satisfied, based on the relative transaction price of each product. The net change in contract liabilities for a given period is reported as an increase or decrease to sales.</w:t>
      </w:r>
    </w:p>
    <w:p>
      <w:pPr>
        <w:spacing w:after="0" w:line="19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product sales are generally sold free on board, or FOB, shipping point and provide payment terms to most commercial customers ranging from 20 to 90 days of product shipment with a discount available to some customers for early payment. For contracts with discounted terms, the transaction price is determined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9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i w:val="1"/>
          <w:iCs w:val="1"/>
          <w:color w:val="auto"/>
        </w:rPr>
        <w:t xml:space="preserve">Recently Issued Accounting Standards – </w:t>
      </w:r>
      <w:r>
        <w:rPr>
          <w:rFonts w:ascii="Arial" w:cs="Arial" w:eastAsia="Arial" w:hAnsi="Arial"/>
          <w:sz w:val="18"/>
          <w:szCs w:val="18"/>
          <w:color w:val="auto"/>
        </w:rPr>
        <w:t>In May 2014, the Financial Accounting Standards Board, or FASB, issued ASU 2014-09,</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(Topic 606), or ASU 2014-09. The core principle of ASU 2014-09 is that an entity should recognize revenue to depict the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promised goods or services to customers in an amount that reflects the consideration to which the entity expects to be entitled in exchange for those goods or services. We adopted the new standard on May 1, 2018 utilizing the modified retrospective approach. See Note 3 – </w:t>
      </w:r>
      <w:r>
        <w:rPr>
          <w:rFonts w:ascii="Arial" w:cs="Arial" w:eastAsia="Arial" w:hAnsi="Arial"/>
          <w:sz w:val="18"/>
          <w:szCs w:val="18"/>
          <w:i w:val="1"/>
          <w:iCs w:val="1"/>
          <w:color w:val="auto"/>
        </w:rPr>
        <w:t>Revenue Recognition and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below for more information.</w:t>
      </w:r>
    </w:p>
    <w:p>
      <w:pPr>
        <w:spacing w:after="0" w:line="18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or ASU 2016-02, which amends the existing guidance to require lessees to recognize lease assets and liabilities arising from operating leases in a classified balance sheet. The requirements of this ASU are effective for financial statements for annual periods beginning after December 15, 2018, and early adoption is permitted. We are in the process of implementing leasing software to assist us in the accounting and tracking of leases and plan to use the optional transition method allowed by ASU 2016-02. Under this method, the standard will be applied in the comparative period presented in the year of adoption. We plan to elect to use the package of practical expedients, which permits us to not reassess certain lease contract provisions. Although we anticipate the effect of ASU 2016-02 will result in increasing our lease assets and liabilities on our consolidated balance sheet, we are still evaluating the impact that it will have on our consolidated financial statements. We plan to adopt ASU 2016-02 in our first quarter of fiscal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Contracts with Customers:</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 xml:space="preserve">On May 1, 2018, we adopted ASU 2014-09 using the modified retrospective approach, and recorded a contract liability, included in accrued expenses in the condensed consolidated balance sheet, for outstanding performance obligations related to sales promotions. Under the modified retrospective approach, results for reporting periods after May 1, 2018 will be presented in accordance with ASU 2014-09, while prior period amounts will not be adjusted and will continue to be reported in accordance with the previous guidance, Accounting Standards Codification, or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When evaluating our performance obligations, we disaggregate revenue based on major product lines, which correlate with our reportable segments disclosed in Note 13 —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Also, domestic sales account for 95% of our total net sales. There are no significant judgments or estimates used in the determination of performance obligations, and the transaction price for the performance obligations are allocated on a pro-rata basis. There are no other contract costs that need to be considered based on the nature of our performance obligations.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22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outlines adjustments we recorded to our condensed consolidated balance sheet as a result of the adoption of ASU 2014-09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Accounting</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Opening Balance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Standard</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rPr>
              <w:t>April 30, 2018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May 1, 2018</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 and deferred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Deferred revenue from contracts with customers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389,146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At April 30, 2018, we had accrued $17.2 million of sales promotions, representing the cost of free goods earned but not yet shipped to our customers. On adoption of ASU 2014-09, we reversed this accrual and recorded deferred revenue of $23.3 million relating to these outstanding performance obligations, a deferred tax asset of $1.5 million, and a $4.6 million adjustment to reduce the opening balance of retained earnings at May 1, 2018. Deferred revenue is recorded in accrued expenses in the condensed consolidated balance sheet.</w:t>
      </w:r>
    </w:p>
    <w:p>
      <w:pPr>
        <w:spacing w:after="0" w:line="18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 outlines the impact of the adoption of ASU 2014-09 on revenue recognized during the six month period ended October 31,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Outstanding performance obligations with customers as of May 1, 2018</w:t>
            </w:r>
          </w:p>
        </w:tc>
        <w:tc>
          <w:tcPr>
            <w:tcW w:w="266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23,305</w:t>
            </w:r>
          </w:p>
        </w:tc>
        <w:tc>
          <w:tcPr>
            <w:tcW w:w="100" w:type="dxa"/>
            <w:vAlign w:val="bottom"/>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Revenue recognized</w:t>
            </w:r>
          </w:p>
        </w:tc>
        <w:tc>
          <w:tcPr>
            <w:tcW w:w="1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(13,998)</w:t>
            </w: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Revenue deferred</w:t>
            </w:r>
          </w:p>
        </w:tc>
        <w:tc>
          <w:tcPr>
            <w:tcW w:w="19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FF0FC"/>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Outstanding performance obligations with customers as of July 31, 2018</w:t>
            </w:r>
          </w:p>
        </w:tc>
        <w:tc>
          <w:tcPr>
            <w:tcW w:w="1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13,621</w:t>
            </w: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(12,337)</w:t>
            </w:r>
          </w:p>
        </w:tc>
      </w:tr>
      <w:tr>
        <w:trPr>
          <w:trHeight w:val="230"/>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deferred</w:t>
            </w:r>
          </w:p>
        </w:tc>
        <w:tc>
          <w:tcPr>
            <w:tcW w:w="19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Borders>
              <w:bottom w:val="single" w:sz="8" w:color="CFF0FC"/>
            </w:tcBorders>
          </w:tcPr>
          <w:p>
            <w:pPr>
              <w:spacing w:after="0"/>
              <w:rPr>
                <w:sz w:val="19"/>
                <w:szCs w:val="19"/>
                <w:color w:val="auto"/>
              </w:rPr>
            </w:pPr>
          </w:p>
        </w:tc>
      </w:tr>
      <w:tr>
        <w:trPr>
          <w:trHeight w:val="223"/>
        </w:trPr>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performance obligations with customers as of October 31, 2018</w:t>
            </w:r>
          </w:p>
        </w:tc>
        <w:tc>
          <w:tcPr>
            <w:tcW w:w="19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For the six months ended October 31, 2018, we recognized $26.3 million of revenue previously deferred as the performance obligation relating to sales promotions was satisfied. This recognition of revenue was partially offset by $12.0 million of additional deferred revenue for outstanding performance obligations relating to sales promotions that have not been satisfied, which was recorded to accrued expenses in the condensed consolidated balance sheet. This resulted in a $14.3 million net increase of revenue for the six months ended October 31, 2018. We estimate that revenue from the outstanding performance obligations as of October 31, 2018 will be recognized during fiscal 2019. As a result of the adoption of ASU 2014-09, for the three months ended October 31, 2018, gross margin was decreased by 1.0% and there was no impact to earnings per share and for the six months ended October 31, 2018, gross margin was decreased by 0.9% and earnings per share was increased by $0.05.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Acquisitions</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 xml:space="preserve">In August 2017, in two separate transactions, we acquired (1) substantially all of the net assets of Gemtech and (2) Bubba Blade branded products and other assets from Fish Tales, LLC. The aggregate purchase price for the two acquisitions was $23.1 million, subject to certain adjustments, for which we utilized a combination of cash on hand and borrowings under our revolving line of credit. In connection with the Gemtech acquisition, additional consideration of up to a maximum of $17.1 million may be paid contingent upon the cumulative three year sales volume of Gemtech products. The valuation of this contingent consideration liability was established in accordance with ASC 805 — </w:t>
      </w:r>
      <w:r>
        <w:rPr>
          <w:rFonts w:ascii="Arial" w:cs="Arial" w:eastAsia="Arial" w:hAnsi="Arial"/>
          <w:sz w:val="17"/>
          <w:szCs w:val="17"/>
          <w:i w:val="1"/>
          <w:iCs w:val="1"/>
          <w:color w:val="auto"/>
        </w:rPr>
        <w:t>Business Combinations</w:t>
      </w:r>
      <w:r>
        <w:rPr>
          <w:rFonts w:ascii="Arial" w:cs="Arial" w:eastAsia="Arial" w:hAnsi="Arial"/>
          <w:sz w:val="17"/>
          <w:szCs w:val="17"/>
          <w:color w:val="auto"/>
        </w:rPr>
        <w:t>. Based on current forecasted revenue, we believe it is unlikely that the acquired business will achieve the performance metrics. Therefore, as of October 31, 2018, the contingent liability was recorded at a fair value of $100,000 in non-current liabilities. Gemtech, based in Meridian, Idaho, is a provider of quality suppressors and accessories for the consumer, law enforcement, and military markets. Fish Tales, LLC, based in Oro Valley, Arizona and currently operated out of our Columbia, Missouri facility, was a provider of premium sportsmen knives and tools for fishing and hunting, including the premium knife brand Bubba Blade. The valuations of the assets acquired and liabilities assumed in the 2018 Acquisitions are complete. During the three months ended October 31, 2018, we increased goodwill by $618,000 due to inventory valuation adjustments.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allocation of the purchase price for the 2018 Acquisitions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2018 Acquisitions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Measurement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(As Initially</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2018 Acquisitions</w:t>
            </w:r>
          </w:p>
        </w:tc>
      </w:tr>
      <w:tr>
        <w:trPr>
          <w:trHeight w:val="171"/>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Reported)</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Adjusted)</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Inventories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4,683</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2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2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11,846</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w:t>
            </w:r>
          </w:p>
        </w:tc>
        <w:tc>
          <w:tcPr>
            <w:tcW w:w="10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assets acquired</w:t>
            </w:r>
          </w:p>
        </w:tc>
        <w:tc>
          <w:tcPr>
            <w:tcW w:w="2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24,426</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24,404</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Accounts payable</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2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liabilities assumed</w:t>
            </w:r>
          </w:p>
        </w:tc>
        <w:tc>
          <w:tcPr>
            <w:tcW w:w="2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23,016</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23,120</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518"/>
        <w:spacing w:after="0" w:line="308" w:lineRule="auto"/>
        <w:rPr>
          <w:sz w:val="20"/>
          <w:szCs w:val="20"/>
          <w:color w:val="auto"/>
        </w:rPr>
      </w:pPr>
      <w:r>
        <w:rPr>
          <w:rFonts w:ascii="Arial" w:cs="Arial" w:eastAsia="Arial" w:hAnsi="Arial"/>
          <w:sz w:val="17"/>
          <w:szCs w:val="17"/>
          <w:color w:val="auto"/>
        </w:rPr>
        <w:t>We amortize intangible assets in proportion to expected annual revenue generated from the intangibles that we acquire. The following are the identifiable intangible assets acquired (in thousands) in the 2018 Acquisitions and their respective weighted average lives: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r>
      <w:tr>
        <w:trPr>
          <w:trHeight w:val="201"/>
        </w:trPr>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 (In years)</w:t>
            </w:r>
          </w:p>
        </w:tc>
      </w:tr>
      <w:tr>
        <w:trPr>
          <w:trHeight w:val="223"/>
        </w:trPr>
        <w:tc>
          <w:tcPr>
            <w:tcW w:w="78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3,100</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6,400</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Pro forma results of operations assuming that the 2018 Acquisitions had occurred as of May 1, 2016 are not required because of the immaterial impact on our consolidated financial statements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 Goodwill: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changes in the carrying amount of goodwill for the three and six months ended October 31, 2018 by reporting segment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Outdoor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Products &amp;</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Firearms</w:t>
            </w: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Accessories</w:t>
            </w:r>
          </w:p>
        </w:tc>
        <w:tc>
          <w:tcPr>
            <w:tcW w:w="24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Total</w:t>
            </w:r>
          </w:p>
        </w:tc>
      </w:tr>
      <w:tr>
        <w:trPr>
          <w:trHeight w:val="17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2018</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172,797</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July 31, 2018</w:t>
            </w: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172,797</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October 31, 2018</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Note 13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below for more detail.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left="280" w:right="210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Loans Payable, and Financing Arrangements:</w:t>
      </w:r>
    </w:p>
    <w:p>
      <w:pPr>
        <w:spacing w:after="0" w:line="12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 On June 15, 2015, we and certain of our domestic subsidiaries entered into an unsecured credit facility, or the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TD Bank, N.A. and other lenders, or the Lenders, which included a $175.0 million revolving line of credit, or the Revolving Line, and a $105.0 million term loan, or the Term Loan, of which $84.5 million remained outstanding as of October 31, 2018.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Other than the changes described in the Second Amendment, we otherwise remain subject to the terms of the Credit Agreement, as described below. We incurred $525,000 of debt issuance costs related to this amendment and have recorded these costs in notes and loans payable in the condensed consolidated balance sheet.</w:t>
      </w:r>
    </w:p>
    <w:p>
      <w:pPr>
        <w:spacing w:after="0" w:line="167"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color w:val="auto"/>
        </w:rPr>
        <w:t>As of October 31, 2018, we had $25.0 million of borrowings outstanding on the Revolving Line, which bore interest at 4.29%, equal to the LIBOR rate plus an applicable margin. The Term Loan, which bears interest at a variable rate, requires principal payments of $6.3 million per annum plus interest, payable quarterly. Any remaining outstanding amount under the Term Loan on the maturity date of June 15, 2020 will be due in full.</w:t>
      </w:r>
    </w:p>
    <w:p>
      <w:pPr>
        <w:spacing w:after="0" w:line="166"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October 31, 2018, our interest rate on the Term Loan was 4.16%.</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October 31, 2018, the interest rate swap was considered effective and had no effect on earnings. The fair value of the interest rate swap on October 31, 2018 was an asset of $1.9 million, which was recorded in other assets on our condensed consolidated balance sheet. We do not expect the interest rate swap to have any material impact on earnings within the next 12 months.</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i w:val="1"/>
          <w:iCs w:val="1"/>
          <w:color w:val="auto"/>
        </w:rPr>
        <w:t xml:space="preserve">2018 Senior Notes </w:t>
      </w:r>
      <w:r>
        <w:rPr>
          <w:rFonts w:ascii="Arial" w:cs="Arial" w:eastAsia="Arial" w:hAnsi="Arial"/>
          <w:sz w:val="16"/>
          <w:szCs w:val="16"/>
          <w:color w:val="auto"/>
        </w:rPr>
        <w:t>– During fiscal 2015, we issued an aggregate of $75.0 million of 5.000% Senior Notes due 2018, or the 2018 Senior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institutional investors pursuant to the terms and conditions of an indenture and purchase agreements. The 2018 Senior Notes bore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5.000% Senior Notes due 2020, or the 2020 Senior Notes. As part of the redemption, in fiscal 2018, we wrote off $226,000 of debt issuance costs related to the 2018 Senior Notes.</w:t>
      </w:r>
    </w:p>
    <w:p>
      <w:pPr>
        <w:spacing w:after="0" w:line="21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2020 Senior Notes </w:t>
      </w:r>
      <w:r>
        <w:rPr>
          <w:rFonts w:ascii="Arial" w:cs="Arial" w:eastAsia="Arial" w:hAnsi="Arial"/>
          <w:sz w:val="18"/>
          <w:szCs w:val="18"/>
          <w:color w:val="auto"/>
        </w:rPr>
        <w:t>– On February 28, 2018, we issued an aggregate of $75.0 million of the 2020 Senior Notes to various institutional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At any time prior to February 28, 2019, we may, at our option, upon not less than 30 nor more than 60 days’ prior notice, redeem all or a portion of the 2020 Senior Notes at a redemption price of 102.500% of the principal amount of the 2020 Senior Notes to be redeemed plus accrued and unpaid interest as of the applicable redemption date. On or after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jc w:val="center"/>
        <w:ind w:left="280" w:right="210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223"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2" w:lineRule="exact"/>
        <w:rPr>
          <w:sz w:val="20"/>
          <w:szCs w:val="20"/>
          <w:color w:val="auto"/>
        </w:rPr>
      </w:pPr>
    </w:p>
    <w:p>
      <w:pPr>
        <w:ind w:right="60" w:firstLine="8"/>
        <w:spacing w:after="0" w:line="28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2" w:lineRule="exact"/>
        <w:rPr>
          <w:rFonts w:ascii="Arial" w:cs="Arial" w:eastAsia="Arial" w:hAnsi="Arial"/>
          <w:sz w:val="16"/>
          <w:szCs w:val="16"/>
          <w:color w:val="auto"/>
        </w:rPr>
      </w:pPr>
    </w:p>
    <w:p>
      <w:pPr>
        <w:jc w:val="both"/>
        <w:ind w:right="120"/>
        <w:spacing w:after="0" w:line="255" w:lineRule="auto"/>
        <w:rPr>
          <w:rFonts w:ascii="Arial" w:cs="Arial" w:eastAsia="Arial" w:hAnsi="Arial"/>
          <w:sz w:val="16"/>
          <w:szCs w:val="16"/>
          <w:color w:val="auto"/>
        </w:rPr>
      </w:pPr>
      <w:r>
        <w:rPr>
          <w:rFonts w:ascii="Arial" w:cs="Arial" w:eastAsia="Arial" w:hAnsi="Arial"/>
          <w:sz w:val="18"/>
          <w:szCs w:val="18"/>
          <w:color w:val="auto"/>
        </w:rPr>
        <w:t>(A)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90" w:lineRule="exact"/>
        <w:rPr>
          <w:sz w:val="20"/>
          <w:szCs w:val="20"/>
          <w:color w:val="auto"/>
        </w:rPr>
      </w:pPr>
    </w:p>
    <w:p>
      <w:pPr>
        <w:ind w:firstLine="518"/>
        <w:spacing w:after="0" w:line="265" w:lineRule="auto"/>
        <w:rPr>
          <w:sz w:val="20"/>
          <w:szCs w:val="20"/>
          <w:color w:val="auto"/>
        </w:rPr>
      </w:pPr>
      <w:r>
        <w:rPr>
          <w:rFonts w:ascii="Arial" w:cs="Arial" w:eastAsia="Arial" w:hAnsi="Arial"/>
          <w:sz w:val="18"/>
          <w:szCs w:val="18"/>
          <w:color w:val="auto"/>
        </w:rPr>
        <w:t>The limitation on indebtedness in the 2020 Senior Notes Indenture is only applicable at such time that the consolidated coverage ratio (as set forth in the 2020 Senior Notes Indenture) for us and our restricted subsidiaries is less than 3.00 to 1.00. In general, as set forth in the 2020 Senior Notes Indenture, the consolidated coverage ratio is determined by comparing our prior four quarters’ consolidated EBITDA (earnings before interest, taxes, depreciation, and amortization) to our consolidated interest expense. The carrying value of our 2020 Senior Notes as of October 31, 2018 approximated the fair value in considering Level 2 inputs within the hierarchy.</w:t>
      </w:r>
    </w:p>
    <w:p>
      <w:pPr>
        <w:spacing w:after="0" w:line="18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October 31, 2018, we had outstanding letters of credit aggregating $1.0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We follow the provisions of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93"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Financial assets and liabilities recorded on the accompanying condensed consolidated balance sheets are categorized based on the inputs to the valuation techniques as follows:</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 at the measurement date (examples include active exchange-traded equity securities, listed derivatives, and most U.S. Government and agency securities).</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cash and cash equivalents, which are measured at fair value on a recurring basis, totaled $36.4 million and $48.9 million as of October 31, 2018 and April 30, 2018, respectively. We utilized Level 1 of the value hierarchy to determine the fair values of these assets.</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of instruments with similar attributes in active markets. Level 2 inputs include the following:</w:t>
      </w:r>
    </w:p>
    <w:p>
      <w:pPr>
        <w:spacing w:after="0" w:line="62"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non-active markets (such as corporate and municipal bonds which trade infrequently);</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substantially the full term of the asset or liability (such as interest rate and currency swaps); and</w:t>
      </w:r>
    </w:p>
    <w:p>
      <w:pPr>
        <w:spacing w:after="0" w:line="140" w:lineRule="exact"/>
        <w:rPr>
          <w:rFonts w:ascii="Arial" w:cs="Arial" w:eastAsia="Arial" w:hAnsi="Arial"/>
          <w:sz w:val="16"/>
          <w:szCs w:val="16"/>
          <w:color w:val="auto"/>
        </w:rPr>
      </w:pPr>
    </w:p>
    <w:p>
      <w:pPr>
        <w:ind w:left="380" w:right="10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jc w:val="center"/>
        <w:ind w:right="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223"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 xml:space="preserve">The carrying value of our Term Loan approximated the fair value as of October 31, 2018 in considering Level 2 inputs within the hierarchy. The carrying value of our 2020 Senior Notes as of October 31, 2018 approximated the fair value in considering Level 2 inputs within the hierarchy as our 2020 Senior Notes are not frequently traded. The fair value of our interest rate swap was estimated by a third party using inputs that are observable or that can be corroborated by observable market data, such as interest rate yield curves, and, therefore, is classified within Level 2 of the valuation hierarchy. For more information regarding the interest rate swap, refer to Note 6 — </w:t>
      </w:r>
      <w:r>
        <w:rPr>
          <w:rFonts w:ascii="Arial" w:cs="Arial" w:eastAsia="Arial" w:hAnsi="Arial"/>
          <w:sz w:val="16"/>
          <w:szCs w:val="16"/>
          <w:i w:val="1"/>
          <w:iCs w:val="1"/>
          <w:color w:val="auto"/>
        </w:rPr>
        <w:t>Notes, Loans Payable, and Financing Arrangements</w:t>
      </w:r>
      <w:r>
        <w:rPr>
          <w:rFonts w:ascii="Arial" w:cs="Arial" w:eastAsia="Arial" w:hAnsi="Arial"/>
          <w:sz w:val="16"/>
          <w:szCs w:val="16"/>
          <w:color w:val="auto"/>
        </w:rPr>
        <w:t>.</w:t>
      </w:r>
    </w:p>
    <w:p>
      <w:pPr>
        <w:spacing w:after="0" w:line="158"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reflect our assumptions about the assumptions a market participant would use in pricing the asset or liability.</w:t>
      </w:r>
    </w:p>
    <w:p>
      <w:pPr>
        <w:spacing w:after="0" w:line="18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acquisition-related contingent consideration liability represents the estimated fair value of additional future earn-outs payable for acquisitions of businesses that included earn-out clauses. The valuation of the contingent consideration will be evaluated on an ongoing basis and is based on management estimates and entity-specific assumptions, which are considered Level 3 inputs.</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In connection with our acquisition of substantially all the net assets of Ultimate Survival Technologies, Inc. in fiscal 2017, up to an additional $2.0 million may be paid by us over a period of two years, contingent upon the financial performance of the acquired business. The valuation of this contingent consideration liability was established in accordance with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initial fair value of this contingent consideration liability was $1.7 million. Based on the current forecasted revenue, during fiscal 2018, we recorded a $1.6 million reduction in the fair value of this contingent consideration liability because we do not expect that the acquired business will achieve the performance metrics. This reduction was recorded in other income on the condensed consolidated statements of income. As of October 31, 2018, the fair value of this contingent liability was $60,000, which was recorded as a non-current liability.</w:t>
      </w:r>
    </w:p>
    <w:p>
      <w:pPr>
        <w:spacing w:after="0" w:line="18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In connection with the Gemtech acquisition, up to a maximum of $17.1 million may be paid contingent upon the cumulative three year sales volume of Gemtech products. The valuation of this contingent consideration liability was established in accordance with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Based on current forecasted revenue, we believe it is unlikely that the acquired business will achieve the performance metrics. Therefore, as of October 31, 2018, the contingent liability was recorded at a fair value of $100,000 in non-current liabilities.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summary of inventories, net of reserves, stated at lower of cost or net realizable value, as of October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2018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October 31, 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115,015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91,480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Finished parts</w:t>
            </w:r>
          </w:p>
        </w:tc>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4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w:t>
            </w:r>
          </w:p>
        </w:tc>
        <w:tc>
          <w:tcPr>
            <w:tcW w:w="4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inventories</w:t>
            </w:r>
          </w:p>
        </w:tc>
        <w:tc>
          <w:tcPr>
            <w:tcW w:w="44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175,217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153,353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440" w:type="dxa"/>
            <w:vAlign w:val="bottom"/>
            <w:vMerge w:val="restart"/>
          </w:tcPr>
          <w:p>
            <w:pPr>
              <w:jc w:val="right"/>
              <w:ind w:right="197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intangible assets as of October 31, 2018 and April 30,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October 31, 2018</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April 30, 2018</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Net Carrying</w:t>
            </w:r>
          </w:p>
        </w:tc>
      </w:tr>
      <w:tr>
        <w:trPr>
          <w:trHeight w:val="171"/>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(28,252)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(10,827)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(8,178)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12,952</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and trade names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57,125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(25,379)</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(22,099)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34,619</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Backlog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(1,150)</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3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171,765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(70,667)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(59,679)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Patents in progress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 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172,405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(70,667)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101,738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172,213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(59,679)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(70,667</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(59,679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518"/>
        <w:spacing w:after="0" w:line="276" w:lineRule="auto"/>
        <w:rPr>
          <w:sz w:val="20"/>
          <w:szCs w:val="20"/>
          <w:color w:val="auto"/>
        </w:rPr>
      </w:pPr>
      <w:r>
        <w:rPr>
          <w:rFonts w:ascii="Arial" w:cs="Arial" w:eastAsia="Arial" w:hAnsi="Arial"/>
          <w:sz w:val="17"/>
          <w:szCs w:val="17"/>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$5.5 million and $4.3 million for the three months ended October 31, 2018 and 2017, respectively. Amortization expense, excluding amortization of deferred financing costs, amounted to $11.0 million and $10.1 for the six months ended October 31, 2018 and 2017, respectively.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the remainder of fiscal 2019 and succeeding fiscal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19,124</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16,516</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w:t>
            </w: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an annual basis, or more frequently if events or changes in circumstances indicate that the asset might be impaired, we evaluate the fair value of the definite and indefinite-lived intangible assets to determine if an impairment charge is required. We performed our most recent annual impairment review as of February 1, 2018. There were no events or changes in circumstances that would indicate the fair value of intangible assets was reduced below its carrying value during the six months ended October 31, 2018, and, therefore, intangible assets were not tested for impairment.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fiscal 2017, our board of directors authorized the repurchase of up to $50.0 million of our common stock, subject to certain conditions, in the open market or in privately negotiated transactions until March 28, 2019. As of October 31, 2018, there were no share repurchases under this stock repurchase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following table provides a reconciliation of the net income amounts and weighted average number of common and common equivalent shares used to determine basic and diluted earnings per share for the three and six months ended October 31, 2018 and 2017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 October 31,</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7"/>
              </w:rPr>
              <w:t>Net</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2"/>
                <w:szCs w:val="12"/>
                <w:color w:val="auto"/>
              </w:rPr>
            </w:pPr>
          </w:p>
        </w:tc>
      </w:tr>
      <w:tr>
        <w:trPr>
          <w:trHeight w:val="171"/>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54,444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54,044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Effect of dilutive stock awards</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earnings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For the Six Months Ended October 31,</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4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7"/>
              </w:rPr>
              <w:t>Net</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2"/>
                <w:szCs w:val="12"/>
                <w:color w:val="auto"/>
              </w:rPr>
            </w:pPr>
          </w:p>
        </w:tc>
      </w:tr>
      <w:tr>
        <w:trPr>
          <w:trHeight w:val="171"/>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14,310</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53,975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Effect of dilutive stock awards</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earnings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All of our outstanding stock options and restricted stock units, or RSUs, were included in the computation of diluted earnings per share for the three and six months ended October 31, 2018 and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and Employee Stock Purchase Plans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two incentive stock plans: the 2004 Incentive Stock Plan and the 2013 Incentive Stock Plan. New grants under the 2004 Incentive Stock Plan have not been made since the approval of the 2013 Incentive Stock Plan at our September 23, 2013 annual meeting of stockholders. All new grants covering all participants are issued under the 2013 Incentive Stock Plan. Except in specific circumstances, grants vest over a period of three or four years and stock options are exercisable for a period of 10 years from the date of grant. The plan also permits the grant of awards to non-employees, which our board of directors has authorized in the past.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number of shares and weighted average exercise prices of stock options for the six months ended October 31, 2018 and 2017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w w:val="93"/>
              </w:rPr>
              <w:t>For the Six Months Ended October 31,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15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9"/>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180" w:type="dxa"/>
            <w:vAlign w:val="bottom"/>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beginning of year</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316,160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335,160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(32,899)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end of period</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w:t>
            </w: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FF0FC"/>
            </w:tcBorders>
            <w:vMerge w:val="continue"/>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 years</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080" w:type="dxa"/>
            <w:vAlign w:val="bottom"/>
            <w:tcBorders>
              <w:top w:val="single" w:sz="8" w:color="auto"/>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 years</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1080" w:type="dxa"/>
            <w:vAlign w:val="bottom"/>
            <w:tcBorders>
              <w:top w:val="single" w:sz="8" w:color="auto"/>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end of period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283,261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335,160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w:t>
            </w: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 years</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 years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The aggregate intrinsic value of outstanding and exercisable stock options as of October 31, 2018 and 2017 was $2.0 million and $2.6 million, respectively. The aggregate intrinsic value of the stock options exercised in the three and six months ended October 31, 2018 was $154,000 and $230,000, respectively. There were no stock options exercised in the three and six months ended October 31, 2017. At October 31, 2018, there were no unrecognized compensation expense of outstanding stock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22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have an Employee Stock Purchase Plan, or ESPP, in which each participant is granted an option to purchase our common stock on each subsequent exercise date during the offering period (as such terms are defined in the ESPP) in accordance with the terms of the ESPP. During the six months ended October 31, 2018 and 2017, 107,525 and 81,643 shares were purchased under our ESPP, respectively.</w:t>
      </w:r>
    </w:p>
    <w:p>
      <w:pPr>
        <w:spacing w:after="0" w:line="18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The total stock-based compensation expense, including stock options, purchases under our ESPP, RSUs, and performance-based RSUs, or PSUs, was $4.0 million and $4.2 million for the six months ended October 31, 2018 and 2017, respectively. Stock-based compensation expense is included in cost of sales, sales and marketing, research and development, and general and administrative expenses.</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grant service-based RSUs to employees and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The aggregate fair value of our RSU grants is amortized to compensation expense over the vesting period.</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70"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During the six months ended October 31, 2018, we granted an aggregate of 191,085 service-based RSUs, including 141,576 to non-executive officer employees and 49,509 RSUs to our directors. Compensation expense recognized related to grants of RSUs and PSUs was $3.6 million for the six months ended October 31, 2018. During the six months ended October 31, 2018, we cancelled 112,000 PSUs as a result of the performance metric not being met and 16,363 service-based RSUs as a result of the service condition not being met. In connection with the vesting of RSUs, during the six months ended October 31, 2018, we delivered common stock to our employees and directors, including our executive officers, with a total market value of $2.2 million.</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During the six months ended October 31, 2017, we granted an aggregate of 220,872 service-based RSUs, including 177,560 to non-executive officer employees and 43,312 to our directors. In addition, in connection with a 2014 grant of 105,500 PSUs (i.e., the target amount granted), which achieved 115.2% of the targeted award, or the maximum award possible, we vested and delivered awards totaling 121,504 shares to certain of our executive officers. Compensation expense recognized related to grants of RSUs and PSUs was $3.8 million for the six months ended October 31, 2017. We delivered common stock to our employees, including our executive officers, during the six months ended October 31, 2017 under vested RSUs and PSUs with a total market value of $5.9 million.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unvested RSUs and PSUs for the six months ended October 31, 2018 and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3"/>
              </w:rPr>
              <w:t>For the Six Months Ended October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65"/>
              <w:spacing w:after="0" w:line="155"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 of</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 #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Grant Date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beginning of period</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1,442,316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1,428,848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Awarded</w:t>
            </w:r>
          </w:p>
        </w:tc>
        <w:tc>
          <w:tcPr>
            <w:tcW w:w="1140" w:type="dxa"/>
            <w:vAlign w:val="bottom"/>
          </w:tcPr>
          <w:p>
            <w:pPr>
              <w:jc w:val="right"/>
              <w:spacing w:after="0"/>
              <w:rPr>
                <w:sz w:val="20"/>
                <w:szCs w:val="20"/>
                <w:color w:val="auto"/>
              </w:rPr>
            </w:pPr>
            <w:r>
              <w:rPr>
                <w:rFonts w:ascii="Arial" w:cs="Arial" w:eastAsia="Arial" w:hAnsi="Arial"/>
                <w:sz w:val="18"/>
                <w:szCs w:val="18"/>
                <w:color w:val="auto"/>
              </w:rPr>
              <w:t>191,085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236,876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(182,536)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(281,263)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(128,363)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15.91</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1,322,502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1,261,988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October 31, 2018, there was $8.3 million of unrecognized compensation expense related to unvested RSUs and PSUs. This expense is expected to be recognized over a weighted average remaining contractual term of 1.5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left="280" w:right="210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Income tax provisions for interim periods are based on estimated effective annual income tax rates and include federal and state income taxes.</w:t>
      </w:r>
    </w:p>
    <w:p>
      <w:pPr>
        <w:spacing w:after="0" w:line="23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On December 22, 2017, the U.S. federal government enacted comprehensive tax legislation with the Tax Cuts and Jobs Act, or Tax Reform, which makes broad and complex changes to the U.S. tax code. Tax Reform significantly revised the corporate federal income tax by, among other things, lowering the corporate federal income tax rate, limiting various deductions, and repealing the domestic manufacturing deduction. We expect to see net benefits from the lower federal tax rate, although there are offsetting effects from other components of Tax Reform.</w:t>
      </w:r>
    </w:p>
    <w:p>
      <w:pPr>
        <w:spacing w:after="0" w:line="17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Tax Reform reduced the U.S. federal statutory income tax rate from 35% to 21% generally effective for tax years beginning on or after January 1, 2018. Our U.S. federal statutory tax rate will be 21.0% in fiscal 2019.</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December 22, 2017, the SEC issued Staff Accounting Bulletin 118, or SAB118, that provides additional guidance allowing companies to use a measurement period, similar to that used in business combinations, to account for the impacts of Tax Reform in their financial statements. In accordance with SAB 118, to the extent that a company’s accounting for certain income tax effects of the Tax Reform is incomplete, but the company is able to determine a reasonable estimate, it must record a provisional estimate in its financial statements. We have accounted for the impacts of Tax Reform to the extent a reasonable estimate could be made during the fiscal year ending April 30, 2019. We will continue to refine our estimates throughout the measurement period or until the accounting is complete.</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estimated the impact of Tax Reform, based on currently available information and interpretations of the law, to be a benefit to us of $8.7 million, which was included in our fiscal 2018 tax benefit. The majority of the tax benefit is due to remeasurement of deferred tax assets and liabilities at lower enacted corporate federal tax rates, which did not have a cash impact on fiscal 2018. The actual impact of Tax Reform may differ from this estimate, possibly materially, because of, among other things, changes in interpretations and assumptions we have made, guidance that may be issued, and actions we may take as a result of Tax Reform.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income tax provisions represented effective tax rates of 26.4% and 35.6% for the three months ended October 31,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provisions represented effective tax rates of 30.3% and -46.2% for the six months ended October 31, 2018 and 2017,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January 2018, Gemini Technologies, Incorporated, or Gemini, commenced an action against us and Smith &amp; Wesson Corp. in the United States District Court for the District of Idaho, or District Court. The complaint alleges, among other things, that the defendants breached the earn-out and other provisions of the Asset Purchase Agreement and ancillary agreements between the parties in connection with Smith &amp; Wesson Corp.’s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In June 2018, Gemini appealed the decision dismissing its complaint to the U.S. Court of Appeals for the Ninth Circuit. We believe the claims asserted in the complaint have no merit, and we intend to aggressively defend this action.</w:t>
      </w:r>
    </w:p>
    <w:p>
      <w:pPr>
        <w:spacing w:after="0" w:line="18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a defendant in seven product liability cases and are aware of seven other product liability claims, primarily alleging defective product design, defective manufacturing, or failure to provide adequate warnings. In addition, we are a co-defendant in a case filed on August 27, 1999 by the city of Gary, Indiana against numerous firearm manufacturers, distributors, and dealers seeking to recover monetary damages, as well as injunctive relief, allegedly arising out of the misuse of firearms by third parties. In January 2018, the trial court granted defendants’ Motion for Judgement on the Pleadings, dismissing the case in its entirety. In February 2018, plaintiffs appealed the dismissal to the Indiana Court of Appeals. In May 2018, we were named in an action related to the Parkland, Florida shooting, filed in the Circuit Court, Broward County, Florida, seeking a declaratory judgement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 w:name="page20"/>
    <w:bookmarkEnd w:id="19"/>
    <w:p>
      <w:pPr>
        <w:jc w:val="center"/>
        <w:ind w:left="260" w:right="21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22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We believe that the various allegations as described above are unfounded, and, in addition, that any incident and any results from them were due to negligence or misuse of the firearm by the claimant or a third party.</w:t>
      </w:r>
    </w:p>
    <w:p>
      <w:pPr>
        <w:spacing w:after="0" w:line="170"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$350,000. In our experience, initial demands do not generally bear a reasonable relationship to the facts and circumstances of a particular matter. We believe that our accruals for product liability cases and claims, as described below, are a reasonable quantitative measure of the cost to us of product liability cases and claims.</w:t>
      </w:r>
    </w:p>
    <w:p>
      <w:pPr>
        <w:spacing w:after="0" w:line="154" w:lineRule="exact"/>
        <w:rPr>
          <w:sz w:val="20"/>
          <w:szCs w:val="20"/>
          <w:color w:val="auto"/>
        </w:rPr>
      </w:pPr>
    </w:p>
    <w:p>
      <w:pPr>
        <w:ind w:right="560" w:firstLine="518"/>
        <w:spacing w:after="0" w:line="308" w:lineRule="auto"/>
        <w:rPr>
          <w:sz w:val="20"/>
          <w:szCs w:val="20"/>
          <w:color w:val="auto"/>
        </w:rPr>
      </w:pPr>
      <w:r>
        <w:rPr>
          <w:rFonts w:ascii="Arial" w:cs="Arial" w:eastAsia="Arial" w:hAnsi="Arial"/>
          <w:sz w:val="17"/>
          <w:szCs w:val="17"/>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4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78"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 fiscal 2017, we announced a plan to establish a national logistics facility in Boone County, Missouri. We ultimately plan to rely on this logistics facility for substantially all of our product distribution. In fiscal 2018, we broke ground on our new 633,000 square foot facility, which was completed in November 2018 and will become operational over the course of the remainder of the fiscal year. The building for our national logistics facility will be treated as a capital lease and will be recorded in construction in progress, offset by a capital lease payable throughout building construction and will have no impact on cash flow. The total cost of the building is approximately $46.0 million, of which we expect approximately $44.0 million will be recorded as a right of use asset on our condensed consolidated balance sheet when construction is complete. In addition, we expect to spend between $25.0 million and $30.0 million related to material handling equipment, information technology systems, and other capital projects in support of our national logistics facility. As of October 31, 2018, we have recorded $38.5 million in construction in progress, which is included in property, plant, and equipment in our condensed consolidated balance sheet, for costs incurred by the builder relating to the purchase of land and costs related to the design and construction of the building, offset by a $38.5 million capital lease payable, which is included in capital lease payable, net of current portion, in our condensed consolidated balance sheet.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UST Transition</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August 2018, we announced a plan to transition our Ultimate Survival Technologies, LLC, or UST, business and operations into our Columbia, Missouri facility. That plan includes (i) closing our Jacksonville, Florida facility as part of our previously announced strategy to consolidate warehousing and logistics operations into the national logistics facility that we are constructing in Missouri and (ii) relocating our Jacksonville-based UST sales, marketing, and research and development activities to Columbia, Missouri. In connection with the integration, we expect to incur restructuring charges of approximately $1.5 million to $2.5 million relating to tangible asset impairment, severance, retention, and relocation beginning in our second quarter of fiscal 2019 and concluding in our first quarter of fiscal 2020, with cash outlays primarily being incurred in our first quarter of fiscal 2020. As of October 31, 2018, there have not any material costs associated with this transition.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jc w:val="center"/>
        <w:ind w:right="20"/>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report our results of operations in two segments: (1) Firearms (which includes Firearms and Manufacturing Services divisions) and (2) Outdoor Products &amp; Accessories (which includes the Outdoor Products &amp; Accessories and Electro-Optics divisions). Our two segments are defined based on the reporting and review process used by the chief operating decision maker, our Chief Executive Officer. The Firearms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Firearms segment. The Outdoor Products &amp; Accessories segment represents two operating segments that have been aggregated into a reportable segment, which are evaluated by a measurement of incoming orders per day and sales and gross margin by customer and brand.</w:t>
      </w:r>
    </w:p>
    <w:p>
      <w:pPr>
        <w:spacing w:after="0" w:line="17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The Firearms segment includes our firearms, services, and other components, which we manufacture or provide at our facilities in Springfield, Massachusetts; Houlton, Maine; Meridian, Idaho;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Jacksonville, Florida, and our electro-optics products, which we develop, market, and assemble in our Wilsonville, Oregon facility. We report operating costs based on the activities performed within each segment.</w:t>
      </w:r>
    </w:p>
    <w:p>
      <w:pPr>
        <w:spacing w:after="0" w:line="17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Segment assets are those directly used in or clearly allocable to a reportable segment’s operations. Assets by business segment are presented in the following table as of October 31, 2018 and April 30, 2018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October 31, 2018</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As of April 30, 2018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Outdoor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7"/>
              </w:rPr>
              <w:t>Outdoor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Firearms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Accessories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Accessories</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372,193</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397,437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769,630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346,517</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398,543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9"/>
              </w:rPr>
              <w:t>745,060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166,916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12,720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179,636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146,154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12,971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w w:val="89"/>
              </w:rPr>
              <w:t>159,125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Intangibles, net</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97,218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101,964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107,816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112,760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Goodwill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19,024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172,797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191,821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172,797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w w:val="89"/>
              </w:rPr>
              <w:t>191,287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Results by business segment are presented in the following tables for the three months ended October 31, 2018 and 2017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 October 31, 2018 (a)</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7"/>
              </w:rPr>
              <w:t>Outdoor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Firearms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2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Accessories</w:t>
            </w: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4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110,994</w:t>
            </w:r>
          </w:p>
        </w:tc>
        <w:tc>
          <w:tcPr>
            <w:tcW w:w="280" w:type="dxa"/>
            <w:vAlign w:val="bottom"/>
            <w:tcBorders>
              <w:top w:val="single" w:sz="8" w:color="CFF0FC"/>
              <w:left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50,709</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161,703</w:t>
            </w:r>
          </w:p>
        </w:tc>
        <w:tc>
          <w:tcPr>
            <w:tcW w:w="120" w:type="dxa"/>
            <w:vAlign w:val="bottom"/>
            <w:tcBorders>
              <w:top w:val="single" w:sz="8" w:color="CFF0FC"/>
              <w:lef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Intersegment revenue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(6,004)</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4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111,756</w:t>
            </w:r>
          </w:p>
        </w:tc>
        <w:tc>
          <w:tcPr>
            <w:tcW w:w="280" w:type="dxa"/>
            <w:vAlign w:val="bottom"/>
            <w:tcBorders>
              <w:top w:val="single" w:sz="8" w:color="CFF0FC"/>
              <w:left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55,951</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(6,004)</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161,703</w:t>
            </w:r>
          </w:p>
        </w:tc>
        <w:tc>
          <w:tcPr>
            <w:tcW w:w="120" w:type="dxa"/>
            <w:vAlign w:val="bottom"/>
            <w:tcBorders>
              <w:top w:val="single" w:sz="8" w:color="CFF0FC"/>
              <w:lef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79,912</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30,536</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(5,131)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31,844</w:t>
            </w: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25,415</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120" w:type="dxa"/>
            <w:vAlign w:val="bottom"/>
            <w:tcBorders>
              <w:lef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Operating income/(loss)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Borders>
              <w:lef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w w:val="96"/>
              </w:rPr>
              <w:t>For the Three Months Ended October 31, 2017 (a)</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Outdoor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Firearms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4"/>
              </w:rPr>
              <w:t>Accessories</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Borders>
              <w:bottom w:val="single" w:sz="8" w:color="CFF0FC"/>
            </w:tcBorders>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Revenue from external customers</w:t>
            </w:r>
          </w:p>
        </w:tc>
        <w:tc>
          <w:tcPr>
            <w:tcW w:w="1580" w:type="dxa"/>
            <w:vAlign w:val="bottom"/>
            <w:gridSpan w:val="2"/>
            <w:shd w:val="clear" w:color="auto" w:fill="CFF0FC"/>
          </w:tcPr>
          <w:p>
            <w:pPr>
              <w:jc w:val="right"/>
              <w:ind w:right="1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100,305</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48,122</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148,427</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color w:val="auto"/>
              </w:rPr>
              <w:t>Intersegment revenue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(3,782)</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14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40" w:type="dxa"/>
            <w:vAlign w:val="bottom"/>
            <w:vMerge w:val="continue"/>
            <w:shd w:val="clear" w:color="auto" w:fill="CFF0FC"/>
          </w:tcPr>
          <w:p>
            <w:pPr>
              <w:spacing w:after="0"/>
              <w:rPr>
                <w:sz w:val="18"/>
                <w:szCs w:val="18"/>
                <w:color w:val="auto"/>
              </w:rPr>
            </w:pPr>
          </w:p>
        </w:tc>
        <w:tc>
          <w:tcPr>
            <w:tcW w:w="14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101,417</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50,792</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(3,782)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148,427</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color w:val="auto"/>
              </w:rPr>
              <w:t>Cost of sales</w:t>
            </w:r>
          </w:p>
        </w:tc>
        <w:tc>
          <w:tcPr>
            <w:tcW w:w="14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72,164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28,383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(2,919)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97,628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Gross margin</w:t>
            </w:r>
          </w:p>
        </w:tc>
        <w:tc>
          <w:tcPr>
            <w:tcW w:w="14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40" w:type="dxa"/>
            <w:vAlign w:val="bottom"/>
            <w:vMerge w:val="continue"/>
            <w:shd w:val="clear" w:color="auto" w:fill="CFF0FC"/>
          </w:tcPr>
          <w:p>
            <w:pPr>
              <w:spacing w:after="0"/>
              <w:rPr>
                <w:sz w:val="18"/>
                <w:szCs w:val="18"/>
                <w:color w:val="auto"/>
              </w:rPr>
            </w:pPr>
          </w:p>
        </w:tc>
        <w:tc>
          <w:tcPr>
            <w:tcW w:w="14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29,253</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22,409</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(863)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50,799</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color w:val="auto"/>
              </w:rPr>
              <w:t>Operating income/(loss)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(10,744)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expense/(benefit)</w:t>
            </w:r>
          </w:p>
        </w:tc>
        <w:tc>
          <w:tcPr>
            <w:tcW w:w="14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3,666</w:t>
            </w: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w:t>
            </w: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(2,946)</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1,789</w:t>
            </w:r>
          </w:p>
        </w:tc>
        <w:tc>
          <w:tcPr>
            <w:tcW w:w="120" w:type="dxa"/>
            <w:vAlign w:val="bottom"/>
            <w:tcBorders>
              <w:lef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376"/>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jc w:val="center"/>
        <w:spacing w:after="0" w:line="266" w:lineRule="auto"/>
        <w:rPr>
          <w:sz w:val="20"/>
          <w:szCs w:val="20"/>
          <w:color w:val="auto"/>
        </w:rPr>
      </w:pPr>
      <w:r>
        <w:rPr>
          <w:rFonts w:ascii="Arial" w:cs="Arial" w:eastAsia="Arial" w:hAnsi="Arial"/>
          <w:sz w:val="18"/>
          <w:szCs w:val="18"/>
          <w:b w:val="1"/>
          <w:bCs w:val="1"/>
          <w:color w:val="auto"/>
        </w:rPr>
        <w:t>AMERICAN OUTDOORS BRANDS CORPORATION AND SUBSIDIARIES NOTES TO CONDENSED CONSOLIDATED FINANCIAL STATEMENTS (UNAUDITED) For the Three and Six Months Ended October 31, 2018 and 2017</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Results by business segment are presented in the following tables for the six months ended October 31, 2018 and 2017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2"/>
          </w:tcPr>
          <w:p>
            <w:pPr>
              <w:jc w:val="center"/>
              <w:ind w:right="320"/>
              <w:spacing w:after="0"/>
              <w:rPr>
                <w:sz w:val="20"/>
                <w:szCs w:val="20"/>
                <w:color w:val="auto"/>
              </w:rPr>
            </w:pPr>
            <w:r>
              <w:rPr>
                <w:rFonts w:ascii="Arial" w:cs="Arial" w:eastAsia="Arial" w:hAnsi="Arial"/>
                <w:sz w:val="14"/>
                <w:szCs w:val="14"/>
                <w:b w:val="1"/>
                <w:bCs w:val="1"/>
                <w:color w:val="auto"/>
                <w:w w:val="93"/>
              </w:rPr>
              <w:t>For the Six Months Ended October 31, 2018 (a)</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Accessories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215,468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85,068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300,536</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(9,685)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217,014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93,207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(9,685)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300,536</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150,377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50,910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66,637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42,297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24,461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(21,740)</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24,101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2"/>
          </w:tcPr>
          <w:p>
            <w:pPr>
              <w:jc w:val="right"/>
              <w:ind w:right="540"/>
              <w:spacing w:after="0"/>
              <w:rPr>
                <w:sz w:val="20"/>
                <w:szCs w:val="20"/>
                <w:color w:val="auto"/>
              </w:rPr>
            </w:pPr>
            <w:r>
              <w:rPr>
                <w:rFonts w:ascii="Arial" w:cs="Arial" w:eastAsia="Arial" w:hAnsi="Arial"/>
                <w:sz w:val="14"/>
                <w:szCs w:val="14"/>
                <w:b w:val="1"/>
                <w:bCs w:val="1"/>
                <w:color w:val="auto"/>
                <w:w w:val="98"/>
              </w:rPr>
              <w:t>For the Six Months Ended October 31, 2017 (a)</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Outdoor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Firearms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Accessories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198,662</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78,786</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277,448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Intersegment revenue</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(6,734)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200,855</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83,327</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(6,734)</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277,448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144,922</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46,815</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22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2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(2,309)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(22,513)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(5,833)</w:t>
            </w: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00" w:right="52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allocate all of corporate overhead expenses except for interest and income taxes, such as general and administrative expenses and other corporate-level expenses, to both our Firearms and Outdoor Products &amp; Accessories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690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jc w:val="both"/>
        <w:ind w:right="120" w:firstLine="518"/>
        <w:spacing w:after="0" w:line="286" w:lineRule="auto"/>
        <w:rPr>
          <w:sz w:val="20"/>
          <w:szCs w:val="20"/>
          <w:color w:val="auto"/>
        </w:rPr>
      </w:pPr>
      <w:r>
        <w:rPr>
          <w:rFonts w:ascii="Arial" w:cs="Arial" w:eastAsia="Arial" w:hAnsi="Arial"/>
          <w:sz w:val="17"/>
          <w:szCs w:val="17"/>
          <w:color w:val="auto"/>
        </w:rPr>
        <w:t>Please refer to the Management’s Discussion and Analysis of Financial Condition and Results of Operations in our Annual Report on Form 10-K for the fiscal year ended April 30, 2018 and our unaudited condensed consolidated financial statements included in Item 1 of this Quarterly Report on Form 10-Q. This section sets forth key objectives and performance indicators used by us as well as key industry data tracked by us.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report our results of operations in two segments: (1) Firearms and (2) Outdoor Products &amp; Accessories.</w:t>
      </w:r>
    </w:p>
    <w:p>
      <w:pPr>
        <w:spacing w:after="0" w:line="225"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In fiscal 2018, in two separate transactions, we acquired substantially all of the net assets of Gemini Technologies, Incorporated, or Gemtech, and Bubba Blade branded products and other assets from Fish Tales, LLC. The aggregate purchase price for the two acquisitions was $23.1 million, subject to certain adjustments, utilizing a combination of cash on hand and borrowings under our revolving line of credit. Gemtech, based in Meridian, Idaho, is a provider of quality suppressors and accessories for the consumer, law enforcement, and military markets. Fish Tales, LLC, based in Oro Valley, Arizona and currently operated out of our Columbia, Missouri facility, was a provider of premium sportsman knives and tools for fishing and hunting, including the premium knife brand Bubba Blade. We collectively refer to the acquisitions of Gemtech and Bubba Blade branded products as the 2018 Acquisitions.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2019 Highlights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three months ended October 31, 2018 included the following:</w:t>
      </w:r>
    </w:p>
    <w:p>
      <w:pPr>
        <w:spacing w:after="0" w:line="117" w:lineRule="exact"/>
        <w:rPr>
          <w:sz w:val="20"/>
          <w:szCs w:val="20"/>
          <w:color w:val="auto"/>
        </w:rPr>
      </w:pPr>
    </w:p>
    <w:p>
      <w:pPr>
        <w:ind w:left="1280" w:hanging="381"/>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net sales were $161.7 million, an increase of $13.3 million, or 8.9%, over the comparable quarter last year.</w:t>
      </w:r>
    </w:p>
    <w:p>
      <w:pPr>
        <w:spacing w:after="0" w:line="117" w:lineRule="exact"/>
        <w:rPr>
          <w:rFonts w:ascii="Arial" w:cs="Arial" w:eastAsia="Arial" w:hAnsi="Arial"/>
          <w:sz w:val="18"/>
          <w:szCs w:val="18"/>
          <w:color w:val="auto"/>
        </w:rPr>
      </w:pPr>
    </w:p>
    <w:p>
      <w:pPr>
        <w:ind w:left="1280" w:hanging="381"/>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Firearms segment gross sales were $111.8 million, which included $762,000 of inter-segment revenue, an increase of $10.3 million, or</w:t>
      </w:r>
    </w:p>
    <w:p>
      <w:pPr>
        <w:spacing w:after="0" w:line="46" w:lineRule="exact"/>
        <w:rPr>
          <w:rFonts w:ascii="Arial" w:cs="Arial" w:eastAsia="Arial" w:hAnsi="Arial"/>
          <w:sz w:val="16"/>
          <w:szCs w:val="16"/>
          <w:color w:val="auto"/>
        </w:rPr>
      </w:pPr>
    </w:p>
    <w:p>
      <w:pPr>
        <w:ind w:left="1280" w:right="320"/>
        <w:spacing w:after="0" w:line="261" w:lineRule="auto"/>
        <w:rPr>
          <w:rFonts w:ascii="Arial" w:cs="Arial" w:eastAsia="Arial" w:hAnsi="Arial"/>
          <w:sz w:val="16"/>
          <w:szCs w:val="16"/>
          <w:color w:val="auto"/>
        </w:rPr>
      </w:pPr>
      <w:r>
        <w:rPr>
          <w:rFonts w:ascii="Arial" w:cs="Arial" w:eastAsia="Arial" w:hAnsi="Arial"/>
          <w:sz w:val="18"/>
          <w:szCs w:val="18"/>
          <w:color w:val="auto"/>
        </w:rPr>
        <w:t>10.2%, over the comparable quarter last year primarily because of a change in accounting standards that impacted the timing of revenue recognition when shipping promotional products.</w:t>
      </w:r>
    </w:p>
    <w:p>
      <w:pPr>
        <w:spacing w:after="0" w:line="75" w:lineRule="exact"/>
        <w:rPr>
          <w:rFonts w:ascii="Arial" w:cs="Arial" w:eastAsia="Arial" w:hAnsi="Arial"/>
          <w:sz w:val="16"/>
          <w:szCs w:val="16"/>
          <w:color w:val="auto"/>
        </w:rPr>
      </w:pPr>
    </w:p>
    <w:p>
      <w:pPr>
        <w:ind w:left="1280" w:hanging="381"/>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Outdoor Products &amp; Accessories segment gross sales were $56.0 million, which included $5.2 million of inter-segment revenue, an increase of $5.2 million, or 10.2%, over the comparable quarter last year.</w:t>
      </w:r>
    </w:p>
    <w:p>
      <w:pPr>
        <w:spacing w:after="0" w:line="62" w:lineRule="exact"/>
        <w:rPr>
          <w:rFonts w:ascii="Arial" w:cs="Arial" w:eastAsia="Arial" w:hAnsi="Arial"/>
          <w:sz w:val="18"/>
          <w:szCs w:val="18"/>
          <w:color w:val="auto"/>
        </w:rPr>
      </w:pPr>
    </w:p>
    <w:p>
      <w:pPr>
        <w:ind w:left="1280" w:hanging="381"/>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gross margin was 34.9%, an increase of 70 basis points over the comparable quarter last year.</w:t>
      </w:r>
    </w:p>
    <w:p>
      <w:pPr>
        <w:spacing w:after="0" w:line="117" w:lineRule="exact"/>
        <w:rPr>
          <w:rFonts w:ascii="Arial" w:cs="Arial" w:eastAsia="Arial" w:hAnsi="Arial"/>
          <w:sz w:val="18"/>
          <w:szCs w:val="18"/>
          <w:color w:val="auto"/>
        </w:rPr>
      </w:pPr>
    </w:p>
    <w:p>
      <w:pPr>
        <w:ind w:left="1280" w:right="20" w:hanging="381"/>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net income was $6.7 million, or $0.12 per diluted share, compared with net income of $3.2 million, or $0.06 per diluted share, for the comparable quarter last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six months ended October 31, 2018 included the following:</w:t>
      </w:r>
    </w:p>
    <w:p>
      <w:pPr>
        <w:spacing w:after="0" w:line="117" w:lineRule="exact"/>
        <w:rPr>
          <w:sz w:val="20"/>
          <w:szCs w:val="20"/>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net sales were $300.5 million, an increase of $23.1 million, or 8.3%, over the prior year comparable period.</w:t>
      </w:r>
    </w:p>
    <w:p>
      <w:pPr>
        <w:spacing w:after="0" w:line="117" w:lineRule="exact"/>
        <w:rPr>
          <w:rFonts w:ascii="Arial" w:cs="Arial" w:eastAsia="Arial" w:hAnsi="Arial"/>
          <w:sz w:val="18"/>
          <w:szCs w:val="18"/>
          <w:color w:val="auto"/>
        </w:rPr>
      </w:pPr>
    </w:p>
    <w:p>
      <w:pPr>
        <w:ind w:left="1280" w:right="200" w:hanging="381"/>
        <w:spacing w:after="0" w:line="264"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Firearms segment gross sales were $217.0 million, which included $1.5 million of inter-segment revenue, an increase of $16.2 million, or 8.0%, over the prior year comparable period primarily because of a change in accounting standards that impacted the timing of revenue recognition when shipping promotional products.</w:t>
      </w:r>
    </w:p>
    <w:p>
      <w:pPr>
        <w:spacing w:after="0" w:line="73" w:lineRule="exact"/>
        <w:rPr>
          <w:rFonts w:ascii="Arial" w:cs="Arial" w:eastAsia="Arial" w:hAnsi="Arial"/>
          <w:sz w:val="18"/>
          <w:szCs w:val="18"/>
          <w:color w:val="auto"/>
        </w:rPr>
      </w:pPr>
    </w:p>
    <w:p>
      <w:pPr>
        <w:ind w:left="1280" w:hanging="381"/>
        <w:spacing w:after="0" w:line="277"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Outdoor Products &amp; Accessories segment gross sales were $93.2 million, which included $8.1 million of inter-segment revenue, an increase of $9.9 million, or 11.9%, over the prior year comparable period.</w:t>
      </w:r>
    </w:p>
    <w:p>
      <w:pPr>
        <w:spacing w:after="0" w:line="62" w:lineRule="exact"/>
        <w:rPr>
          <w:rFonts w:ascii="Arial" w:cs="Arial" w:eastAsia="Arial" w:hAnsi="Arial"/>
          <w:sz w:val="18"/>
          <w:szCs w:val="18"/>
          <w:color w:val="auto"/>
        </w:rPr>
      </w:pPr>
    </w:p>
    <w:p>
      <w:pPr>
        <w:ind w:left="1280" w:hanging="381"/>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gross margin was 36.2%, an increase of 3.2% over the prior year comparable period.</w:t>
      </w:r>
    </w:p>
    <w:p>
      <w:pPr>
        <w:spacing w:after="0" w:line="117" w:lineRule="exact"/>
        <w:rPr>
          <w:rFonts w:ascii="Arial" w:cs="Arial" w:eastAsia="Arial" w:hAnsi="Arial"/>
          <w:sz w:val="18"/>
          <w:szCs w:val="18"/>
          <w:color w:val="auto"/>
        </w:rPr>
      </w:pPr>
    </w:p>
    <w:p>
      <w:pPr>
        <w:ind w:left="1280" w:right="60" w:hanging="381"/>
        <w:spacing w:after="0" w:line="277"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net income was $14.3 million, or $0.26 per diluted share, compared with a net income of $1.1 million, or $0.02 per diluted share, for the prior year comparable period.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 For the Three Months Ended October 31,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net sales for the three months ended October 31, 2018 and 2017 (dollars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Handguns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Long Guns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29,808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5,009</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40"/>
              <w:spacing w:after="0"/>
              <w:rPr>
                <w:sz w:val="20"/>
                <w:szCs w:val="20"/>
                <w:color w:val="auto"/>
              </w:rPr>
            </w:pPr>
            <w:r>
              <w:rPr>
                <w:rFonts w:ascii="Arial" w:cs="Arial" w:eastAsia="Arial" w:hAnsi="Arial"/>
                <w:sz w:val="18"/>
                <w:szCs w:val="18"/>
                <w:color w:val="auto"/>
              </w:rPr>
              <w:t>Firearms Segment</w:t>
            </w:r>
          </w:p>
        </w:tc>
        <w:tc>
          <w:tcPr>
            <w:tcW w:w="1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100,305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10,689</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Outdoor Products &amp; Accessories Segment</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60"/>
              <w:spacing w:after="0"/>
              <w:rPr>
                <w:sz w:val="20"/>
                <w:szCs w:val="20"/>
                <w:color w:val="auto"/>
              </w:rPr>
            </w:pPr>
            <w:r>
              <w:rPr>
                <w:rFonts w:ascii="Arial" w:cs="Arial" w:eastAsia="Arial" w:hAnsi="Arial"/>
                <w:sz w:val="18"/>
                <w:szCs w:val="18"/>
                <w:color w:val="auto"/>
              </w:rPr>
              <w:t>Total Net Sales</w:t>
            </w:r>
          </w:p>
        </w:tc>
        <w:tc>
          <w:tcPr>
            <w:tcW w:w="14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161,703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148,427</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13,276</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Company net sales for the three months ended October 31, 2018 were $161.7 million, an increase of $13.3 million, or 8.9%, over net sales of $148.4 million for the three months ended October 31, 2017.</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trade channel net sales for the three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Sporting Goods Channel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Professional Channel</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3,749</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140"/>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161,703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148,427</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13,276</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We include domestic handgun, long gun, and parts revenue as well as revenue from Outdoor Products &amp; Accessories in our sporting goods channel. We include international and law enforcement handgun, long gun, and handcuff revenue in our professional channel, and we include specialty services and plastic injection molding revenue in other products and services.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Firearms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sales for our Firearms segment for the three months ended October 31, 2018 increased 10.7% over the comparable quarter last year, of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8.6% was a result of a change in accounting standards that impacted the timing of revenue recognition when shipping promotional products and 2.1% was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increased demand for our revolvers and modern sporting rifles combined with lower promotional activity resulting in a higher average selling price.</w:t>
      </w:r>
    </w:p>
    <w:p>
      <w:pPr>
        <w:spacing w:after="0" w:line="234"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three months ended October 31, 2018 and 2017 (units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30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2800" w:type="dxa"/>
            <w:vAlign w:val="bottom"/>
            <w:gridSpan w:val="3"/>
            <w:vMerge w:val="restart"/>
            <w:shd w:val="clear" w:color="auto" w:fill="CFF0FC"/>
          </w:tcPr>
          <w:p>
            <w:pPr>
              <w:spacing w:after="0" w:line="20" w:lineRule="exact"/>
              <w:rPr>
                <w:sz w:val="1"/>
                <w:szCs w:val="1"/>
                <w:color w:val="auto"/>
              </w:rPr>
            </w:pPr>
          </w:p>
        </w:tc>
        <w:tc>
          <w:tcPr>
            <w:tcW w:w="18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20" w:type="dxa"/>
            <w:vAlign w:val="bottom"/>
            <w:vMerge w:val="continue"/>
            <w:shd w:val="clear" w:color="auto" w:fill="CFF0FC"/>
          </w:tcPr>
          <w:p>
            <w:pPr>
              <w:spacing w:after="0"/>
              <w:rPr>
                <w:sz w:val="18"/>
                <w:szCs w:val="18"/>
                <w:color w:val="auto"/>
              </w:rPr>
            </w:pPr>
          </w:p>
        </w:tc>
        <w:tc>
          <w:tcPr>
            <w:tcW w:w="2800" w:type="dxa"/>
            <w:vAlign w:val="bottom"/>
            <w:gridSpan w:val="3"/>
            <w:vMerge w:val="continue"/>
            <w:shd w:val="clear" w:color="auto" w:fill="CFF0FC"/>
          </w:tcPr>
          <w:p>
            <w:pPr>
              <w:spacing w:after="0"/>
              <w:rPr>
                <w:sz w:val="18"/>
                <w:szCs w:val="18"/>
                <w:color w:val="auto"/>
              </w:rPr>
            </w:pPr>
          </w:p>
        </w:tc>
        <w:tc>
          <w:tcPr>
            <w:tcW w:w="184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1580" w:type="dxa"/>
            <w:vAlign w:val="bottom"/>
          </w:tcPr>
          <w:p>
            <w:pPr>
              <w:spacing w:after="0"/>
              <w:rPr>
                <w:sz w:val="24"/>
                <w:szCs w:val="24"/>
                <w:color w:val="auto"/>
              </w:rPr>
            </w:pPr>
          </w:p>
        </w:tc>
        <w:tc>
          <w:tcPr>
            <w:tcW w:w="30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2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18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gridSpan w:val="4"/>
            <w:vMerge w:val="continue"/>
            <w:shd w:val="clear" w:color="auto" w:fill="CFF0FC"/>
          </w:tcPr>
          <w:p>
            <w:pPr>
              <w:spacing w:after="0"/>
              <w:rPr>
                <w:sz w:val="18"/>
                <w:szCs w:val="18"/>
                <w:color w:val="auto"/>
              </w:rPr>
            </w:pPr>
          </w:p>
        </w:tc>
        <w:tc>
          <w:tcPr>
            <w:tcW w:w="184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1800" w:type="dxa"/>
            <w:vAlign w:val="bottom"/>
            <w:gridSpan w:val="2"/>
          </w:tcPr>
          <w:p>
            <w:pPr>
              <w:spacing w:after="0"/>
              <w:rPr>
                <w:sz w:val="24"/>
                <w:szCs w:val="24"/>
                <w:color w:val="auto"/>
              </w:rPr>
            </w:pPr>
          </w:p>
        </w:tc>
        <w:tc>
          <w:tcPr>
            <w:tcW w:w="30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2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18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gridSpan w:val="4"/>
            <w:vMerge w:val="continue"/>
            <w:shd w:val="clear" w:color="auto" w:fill="CFF0FC"/>
          </w:tcPr>
          <w:p>
            <w:pPr>
              <w:spacing w:after="0"/>
              <w:rPr>
                <w:sz w:val="18"/>
                <w:szCs w:val="18"/>
                <w:color w:val="auto"/>
              </w:rPr>
            </w:pPr>
          </w:p>
        </w:tc>
        <w:tc>
          <w:tcPr>
            <w:tcW w:w="184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4" w:name="page25"/>
    <w:bookmarkEnd w:id="24"/>
    <w:p>
      <w:pPr>
        <w:ind w:right="100" w:firstLine="518"/>
        <w:spacing w:after="0" w:line="255" w:lineRule="auto"/>
        <w:rPr>
          <w:sz w:val="20"/>
          <w:szCs w:val="20"/>
          <w:color w:val="auto"/>
        </w:rPr>
      </w:pPr>
      <w:r>
        <w:rPr>
          <w:rFonts w:ascii="Arial" w:cs="Arial" w:eastAsia="Arial" w:hAnsi="Arial"/>
          <w:sz w:val="18"/>
          <w:szCs w:val="18"/>
          <w:color w:val="auto"/>
        </w:rPr>
        <w:t>Revenue for our handguns increased $3.5 million, or 5.2%, over the comparable quarter last year, primarily because of the recognition of deferred revenue on shipments of promotional products and higher revolver sales, partially offset by lower shipments of Performance Center branded polymer pistols. Actual unit shipments into the sporting goods channel for our handgun products decreased 1.9% from the comparable quarter last year. For the same period, consumer demand for handguns decreased 8.8% (as indicated by adjusted background checks reported in the National Instant Criminal Background Check System, or NICS). The decline in handgun adjusted NICS decreased at a higher rate than our handgun unit shipments into the channel, which we believe indicated an improved demand for our products.</w:t>
      </w:r>
    </w:p>
    <w:p>
      <w:pPr>
        <w:spacing w:after="0" w:line="193"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Revenue for our long guns increased $5.0 million, or 20.2%, over the comparable quarter last year, which we believe was partially a result of replenishment of inventory in the sporting goods channel, and partially a result of a successful promotion that bundled a firearm with a shooting accessories product. As a result, we believe we increased our market share in long guns.</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Other products and services revenue increased $2.1 million, or 29.4%, over the comparable quarter last year primarily because of higher sales of parts and handcuffs.</w:t>
      </w:r>
    </w:p>
    <w:p>
      <w:pPr>
        <w:spacing w:after="0" w:line="17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New products in our Firearms segment, defined as any new SKU not shipped in the comparable quarter last year, represented 26.6% of firearm revenue for the three months ended October 31, 2018 and included our new concealed carry M&amp;P branded polymer pistol and many other new product line extensions for our M&amp;P and Thompson/Center Arms branded products. The increase in the number of units sold favorably impacted firearm revenue by 5.2%.</w:t>
      </w:r>
    </w:p>
    <w:p>
      <w:pPr>
        <w:spacing w:after="0" w:line="18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As expected, our firearm inventory levels increased during the three months ended October 31, 2018 as a result of the preparation for the fall hunting and holiday seasons and a planned inventory build to reduce the risk of potential shipping disruptions when our national logistics facility in Boone County, Missouri becomes operational. While inventory levels, both internally and in the distribution channel, in excess of demand may negatively impact future operating results, it is difficult to forecast the potential impact of distributor inventories on future revenue and income since demand is impacted by many factors, including seasonality, new product introductions, news events, political events, and consumer tastes.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Outdoor Products &amp; Accessories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Net sales for our Outdoor Products &amp; Accessories segment for the three months ended October 31, 2018 increased $2.6 million, or 5.4%, over the comparable quarter last year. Net sales increased primarily from increased revenue for our shooting accessories and cutlery products which we believe is due to market acceptance for newly introduced products over the past few years, increased revenue to strategic retailers (including internet retailers), and increased revenue of slow moving inventory to certain other retailers, partially offset by lower revenue generated by survival equipment and electro-optics products.</w:t>
      </w:r>
    </w:p>
    <w:p>
      <w:pPr>
        <w:spacing w:after="0" w:line="188"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New products in our Outdoor Products &amp; Accessories segment represented 4.6% of Outdoor Products &amp; Accessories revenue for the three months ended October 31, 2018 and included over 270 new products. Net sales for our Outdoor Products &amp; Accessories segment was 31.4% of total company net sales compared with 32.4% for the comparable quarter last year.</w:t>
      </w:r>
    </w:p>
    <w:p>
      <w:pPr>
        <w:spacing w:after="0" w:line="181"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As expected, our Outdoor Products &amp; Accessories inventory levels increased during the three months ended October 31, 2018 primarily because of preparations for the fall and winter holiday shopping seasons as well as increased inventory purchases to mitigate tariff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 For the Six Months Ended October 31,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certain information regarding net sales for the six months ended October 31, 2018 and 2017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Handguns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142,478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4,768</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Long Guns</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10,663</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40"/>
              <w:spacing w:after="0"/>
              <w:rPr>
                <w:sz w:val="20"/>
                <w:szCs w:val="20"/>
                <w:color w:val="auto"/>
              </w:rPr>
            </w:pPr>
            <w:r>
              <w:rPr>
                <w:rFonts w:ascii="Arial" w:cs="Arial" w:eastAsia="Arial" w:hAnsi="Arial"/>
                <w:sz w:val="18"/>
                <w:szCs w:val="18"/>
                <w:color w:val="auto"/>
              </w:rPr>
              <w:t>Firearms Segment</w:t>
            </w:r>
          </w:p>
        </w:tc>
        <w:tc>
          <w:tcPr>
            <w:tcW w:w="1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215,468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198,662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16,806</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Outdoor Products &amp; Accessories Segment</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60"/>
              <w:spacing w:after="0"/>
              <w:rPr>
                <w:sz w:val="20"/>
                <w:szCs w:val="20"/>
                <w:color w:val="auto"/>
              </w:rPr>
            </w:pPr>
            <w:r>
              <w:rPr>
                <w:rFonts w:ascii="Arial" w:cs="Arial" w:eastAsia="Arial" w:hAnsi="Arial"/>
                <w:sz w:val="18"/>
                <w:szCs w:val="18"/>
                <w:color w:val="auto"/>
              </w:rPr>
              <w:t>Total Net Sales</w:t>
            </w:r>
          </w:p>
        </w:tc>
        <w:tc>
          <w:tcPr>
            <w:tcW w:w="14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300,536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277,448</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23,088</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Company net sales for the six months ended October 31, 2018 were $300.5 million, an increase of $23.1 million, or 8.3%, over net sales of $277.4 million for the six months ended October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32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trade channel net sales for the six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Sporting Goods Channel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262,704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22,817</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Professional Channel</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1,330</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140"/>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300,536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277,448</w:t>
            </w:r>
          </w:p>
        </w:tc>
        <w:tc>
          <w:tcPr>
            <w:tcW w:w="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23,088</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Firearms</w:t>
      </w:r>
    </w:p>
    <w:p>
      <w:pPr>
        <w:spacing w:after="0" w:line="144"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Net sales for our Firearms segment for the six months ended October 31, 2018 increased 8.5% over the prior year comparable period primarily as a result of the accounting standard change described above. Absent the change in accounting standards, net sales for our Firearms segment was relatively flat compared with the prior year comparable period despite lower unit shipments into the sporting goods channel because of a $10.6 million reduction in promotional consumer rebates, which increased our average selling price in the current fiscal year.</w:t>
      </w:r>
    </w:p>
    <w:p>
      <w:pPr>
        <w:spacing w:after="0" w:line="17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six months ended October 31, 2018 and 2017 (units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4640" w:type="dxa"/>
            <w:vAlign w:val="bottom"/>
            <w:gridSpan w:val="3"/>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20" w:type="dxa"/>
            <w:vAlign w:val="bottom"/>
            <w:vMerge w:val="continue"/>
            <w:shd w:val="clear" w:color="auto" w:fill="CFF0FC"/>
          </w:tcPr>
          <w:p>
            <w:pPr>
              <w:spacing w:after="0"/>
              <w:rPr>
                <w:sz w:val="18"/>
                <w:szCs w:val="18"/>
                <w:color w:val="auto"/>
              </w:rPr>
            </w:pPr>
          </w:p>
        </w:tc>
        <w:tc>
          <w:tcPr>
            <w:tcW w:w="4640" w:type="dxa"/>
            <w:vAlign w:val="bottom"/>
            <w:gridSpan w:val="3"/>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342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586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gridSpan w:val="4"/>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43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3640" w:type="dxa"/>
            <w:vAlign w:val="bottom"/>
            <w:gridSpan w:val="2"/>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586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gridSpan w:val="4"/>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vMerge w:val="continue"/>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Revenue for our handguns increased $4.8 million, or 3.3%, over the prior year comparable period, primarily as a result of lower consumer rebates on our polymer pistols, the recognition of deferred revenue on shipments of promotional products, and higher demand for revolvers, partially offset by lower shipments of concealed carry M&amp;P branded polymer pistols and Performance Center branded polymer pistols. Actual unit shipments into the sporting goods channel for our handgun products decreased 13.1% from the prior year comparable period as overall demand for handguns decreased (as indicated by a 10.8% reduction in adjusted handgun NICS). Most of the decline in handgun unit shipments for fiscal 2019 compared with the prior year comparable period was primarily because of lower promotions and consumer rebates that resulted in reduced orders during our first quarter, partially offset by increased unit shipments during our second quarter primarily because of increased promotional activity and increased demand for our products.</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Revenue for our long guns increased $10.7 million, or 26.2%, over the prior year comparable period, partially because of replenishment of inventory in the sporting goods channel, and partially a result of a successful promotion that bundled a firearm with a shooting accessories product. As a result, we believe we increased our market share in long guns.</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Other products and services revenue increased $1.4 million, or 8.9%, over the prior year comparable period primarily because of higher sales of parts and handcuffs.</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New products represented 27.5% of firearm revenue for the six months ended October 31, 2018 and included our new concealed carry M&amp;P branded polymer pistol and many other new product line extensions for our M&amp;P and Thompson/Center Arms branded products. The reduction in the number of units sold negatively impacted firearm revenue by 4.0%.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Outdoor Products &amp; Accessories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Net sales for our Outdoor Products &amp; Accessories segment for the six months ended October 31, 2018 increased $6.3 million, or 8.0%, over the prior year comparable period. Net sales increased primarily because of increased revenue for our shooting accessories and cutlery products which we believe is due to market acceptance of newly introduced products over the past few years, partially offset by lower revenue of survival equipment and electro-optics products.</w:t>
      </w:r>
    </w:p>
    <w:p>
      <w:pPr>
        <w:spacing w:after="0" w:line="18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New products in our Outdoor Products &amp; Accessories segment represented 4.8% of this segment’s revenue for the six months ended October 31, 2018 and included over 270 new products. Net sales for our Outdoor Products &amp; Accessories segment was 28.3% of total company net sales compared with 28.4% in the prior year comparable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11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following tables set forth certain information regarding cost of sales and gross profit for the three months ended October 31, 2018 and 2017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Total Company</w:t>
            </w:r>
          </w:p>
        </w:tc>
        <w:tc>
          <w:tcPr>
            <w:tcW w:w="3200" w:type="dxa"/>
            <w:vAlign w:val="bottom"/>
            <w:gridSpan w:val="3"/>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105,317</w:t>
            </w:r>
          </w:p>
        </w:tc>
        <w:tc>
          <w:tcPr>
            <w:tcW w:w="3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97,628</w:t>
            </w:r>
          </w:p>
        </w:tc>
        <w:tc>
          <w:tcPr>
            <w:tcW w:w="3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7,689</w:t>
            </w:r>
          </w:p>
        </w:tc>
        <w:tc>
          <w:tcPr>
            <w:tcW w:w="24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56,386</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50,799</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5,587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Firearms Segment</w:t>
            </w:r>
          </w:p>
        </w:tc>
        <w:tc>
          <w:tcPr>
            <w:tcW w:w="30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77,918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71,095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33,076</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29,210</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3,866</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Outdoor Products &amp; Accessories Segment</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16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5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gridSpan w:val="4"/>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23,310</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21,589</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1,721</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1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Gross margin for the three months ended October 31, 2018 for our Firearms segment increased by 70 basis points over the comparable quarter last year, primarily because of a combination of lower promotional product discounts and favorable manufacturing spending, which favorably impacted Firearms gross margin by 6.4%. The favorable impacts to Firearms gross margin were partially offset by unfavorable product mix, unfavorable manufacturing fixed cost absorption, and inventory valuation adjustments, which negatively impacted Firearms gross margin by 5.8%.</w:t>
      </w:r>
    </w:p>
    <w:p>
      <w:pPr>
        <w:spacing w:after="0" w:line="171" w:lineRule="exact"/>
        <w:rPr>
          <w:sz w:val="20"/>
          <w:szCs w:val="20"/>
          <w:color w:val="auto"/>
        </w:rPr>
      </w:pPr>
    </w:p>
    <w:p>
      <w:pPr>
        <w:jc w:val="both"/>
        <w:ind w:right="360" w:firstLine="518"/>
        <w:spacing w:after="0" w:line="264" w:lineRule="auto"/>
        <w:rPr>
          <w:sz w:val="20"/>
          <w:szCs w:val="20"/>
          <w:color w:val="auto"/>
        </w:rPr>
      </w:pPr>
      <w:r>
        <w:rPr>
          <w:rFonts w:ascii="Arial" w:cs="Arial" w:eastAsia="Arial" w:hAnsi="Arial"/>
          <w:sz w:val="18"/>
          <w:szCs w:val="18"/>
          <w:color w:val="auto"/>
        </w:rPr>
        <w:t>Gross margin for the three months ended October 31, 2018 for our Outdoor Products &amp; Accessories segment increased 1.1% over the comparable quarter last year, primarily because of a change in product mix and customer mix. Our Outdoor Products &amp; Accessories segment favorably impacted total company gross margin by 5.1% for the three months ended October 31, 2018.</w:t>
      </w:r>
    </w:p>
    <w:p>
      <w:pPr>
        <w:spacing w:after="0" w:line="18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six months ended October 31, 2018 and 2017 (units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Total Company</w:t>
            </w:r>
          </w:p>
        </w:tc>
        <w:tc>
          <w:tcPr>
            <w:tcW w:w="3140" w:type="dxa"/>
            <w:vAlign w:val="bottom"/>
            <w:gridSpan w:val="3"/>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6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gridSpan w:val="4"/>
            <w:vMerge w:val="continue"/>
            <w:shd w:val="clear" w:color="auto" w:fill="CFF0FC"/>
          </w:tcPr>
          <w:p>
            <w:pPr>
              <w:spacing w:after="0"/>
              <w:rPr>
                <w:sz w:val="18"/>
                <w:szCs w:val="18"/>
                <w:color w:val="auto"/>
              </w:rPr>
            </w:pPr>
          </w:p>
        </w:tc>
        <w:tc>
          <w:tcPr>
            <w:tcW w:w="16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191,728</w:t>
            </w:r>
          </w:p>
        </w:tc>
        <w:tc>
          <w:tcPr>
            <w:tcW w:w="3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186,017</w:t>
            </w:r>
          </w:p>
        </w:tc>
        <w:tc>
          <w:tcPr>
            <w:tcW w:w="3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5,711</w:t>
            </w:r>
          </w:p>
        </w:tc>
        <w:tc>
          <w:tcPr>
            <w:tcW w:w="240" w:type="dxa"/>
            <w:vAlign w:val="bottom"/>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9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108,808</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91,431</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17,377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Firearms Segment</w:t>
            </w:r>
          </w:p>
        </w:tc>
        <w:tc>
          <w:tcPr>
            <w:tcW w:w="296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6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gridSpan w:val="4"/>
            <w:vMerge w:val="continue"/>
            <w:shd w:val="clear" w:color="auto" w:fill="CFF0FC"/>
          </w:tcPr>
          <w:p>
            <w:pPr>
              <w:spacing w:after="0"/>
              <w:rPr>
                <w:sz w:val="18"/>
                <w:szCs w:val="18"/>
                <w:color w:val="auto"/>
              </w:rPr>
            </w:pPr>
          </w:p>
        </w:tc>
        <w:tc>
          <w:tcPr>
            <w:tcW w:w="16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145,819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142,551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9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69,650</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56,110</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13,540</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Outdoor Products &amp; Accessories Segment</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6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gridSpan w:val="4"/>
            <w:vMerge w:val="continue"/>
            <w:shd w:val="clear" w:color="auto" w:fill="CFF0FC"/>
          </w:tcPr>
          <w:p>
            <w:pPr>
              <w:spacing w:after="0"/>
              <w:rPr>
                <w:sz w:val="18"/>
                <w:szCs w:val="18"/>
                <w:color w:val="auto"/>
              </w:rPr>
            </w:pPr>
          </w:p>
        </w:tc>
        <w:tc>
          <w:tcPr>
            <w:tcW w:w="16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45,909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9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39,158</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35,321</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3,837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gridSpan w:val="2"/>
          </w:tcPr>
          <w:p>
            <w:pPr>
              <w:jc w:val="right"/>
              <w:ind w:right="125"/>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7" w:name="page28"/>
    <w:bookmarkEnd w:id="27"/>
    <w:p>
      <w:pPr>
        <w:ind w:right="40" w:firstLine="518"/>
        <w:spacing w:after="0" w:line="279" w:lineRule="auto"/>
        <w:rPr>
          <w:sz w:val="20"/>
          <w:szCs w:val="20"/>
          <w:color w:val="auto"/>
        </w:rPr>
      </w:pPr>
      <w:r>
        <w:rPr>
          <w:rFonts w:ascii="Arial" w:cs="Arial" w:eastAsia="Arial" w:hAnsi="Arial"/>
          <w:sz w:val="17"/>
          <w:szCs w:val="17"/>
          <w:color w:val="auto"/>
        </w:rPr>
        <w:t>Gross margin for the six months ended October 31, 2018 for our Firearms segment increased by 4.1% over the prior year comparable period, primarily because of a combination of lower promotional product discounts, consumer rebates, and favorable manufacturing spending, which favorably impacted Firearms gross margin by 12.2%. The favorable impacts to Firearms gross margin were partially offset by unfavorable product mix, unfavorable manufacturing fixed cost absorption, and inventory valuation adjustments, which negatively impacted Firearms gross margin by 7.5%.</w:t>
      </w:r>
    </w:p>
    <w:p>
      <w:pPr>
        <w:spacing w:after="0" w:line="171" w:lineRule="exact"/>
        <w:rPr>
          <w:sz w:val="20"/>
          <w:szCs w:val="20"/>
          <w:color w:val="auto"/>
        </w:rPr>
      </w:pPr>
    </w:p>
    <w:p>
      <w:pPr>
        <w:ind w:right="560" w:firstLine="518"/>
        <w:spacing w:after="0" w:line="286" w:lineRule="auto"/>
        <w:rPr>
          <w:sz w:val="20"/>
          <w:szCs w:val="20"/>
          <w:color w:val="auto"/>
        </w:rPr>
      </w:pPr>
      <w:r>
        <w:rPr>
          <w:rFonts w:ascii="Arial" w:cs="Arial" w:eastAsia="Arial" w:hAnsi="Arial"/>
          <w:sz w:val="17"/>
          <w:szCs w:val="17"/>
          <w:color w:val="auto"/>
        </w:rPr>
        <w:t>Gross margin for the six months ended October 31, 2018 for our Outdoor Products &amp; Accessories segment increased 1.2% over the prior year comparable period, primarily because of a change in product mix, customer mix, and lower promotional activity. Our Outdoor Products &amp; Accessories segment favorably impacted total company gross margin by 3.9% for the six months ended October 31,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three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15,291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15,351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45,060</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42,810</w:t>
            </w:r>
          </w:p>
        </w:tc>
        <w:tc>
          <w:tcPr>
            <w:tcW w:w="3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2,250</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Operating expenses increased $2.3 million over the comparable quarter last year. Research and development expense increased $505,000 as a result of increased compensation-related expenses and professional fees. General and administrative expenses increased as a result of a $2.0 million of increased compensation-related expenses, partially offset by reduced professional fees.</w:t>
      </w:r>
    </w:p>
    <w:p>
      <w:pPr>
        <w:spacing w:after="0" w:line="18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six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54,041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84,007</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86,642</w:t>
            </w:r>
          </w:p>
        </w:tc>
        <w:tc>
          <w:tcPr>
            <w:tcW w:w="32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(2,635)</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Operating expenses decreased $2.6 million from the prior year comparable period. Research and development expenses increased $530,000 as a result of increased compensation-related expenses and professional fees. General and administrative expenses decreased as a result of a $2.1 million decrease in professional fees, a $950,000 lower donation to the National Rifle Association, and decreased travel and entertainment related expenses, partially offset by $1.0 million of increased compensation-related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three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Operating income for the three months ended October 31, 2018 was $11.3 million, an increase of $3.3 million over the comparable quarter last year, primarily because of a combination of lower promotional product discounts, favorable manufacturing spending, and a decrease in professional fees, partially offset by unfavorable product mix, unfavorable manufacturing fixed cost absorption, inventory valuation adjustments, and increased compensation-related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70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six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417.9%</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Operating income for the six months ended October 31, 2018 was $24.8 million, an increase of $20.0 million over the comparable period, primarily because of a combination of lower promotional product discounts, reduced consumer rebates, favorable manufacturing spending, a decrease in professional fees, and lower donations to the National Rifle Association, partially offset by unfavorable product mix, unfavorable manufacturing fixed cost absorption, inventory valuation adjustments, and increased compensation-related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income/(expense) for the three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Other income/(expense)</w:t>
            </w:r>
          </w:p>
        </w:tc>
        <w:tc>
          <w:tcPr>
            <w:tcW w:w="20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N/A</w:t>
            </w:r>
          </w:p>
        </w:tc>
      </w:tr>
    </w:tbl>
    <w:p>
      <w:pPr>
        <w:spacing w:after="0" w:line="20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income/(expense) for the six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Other income/(expense)</w:t>
            </w:r>
          </w:p>
        </w:tc>
        <w:tc>
          <w:tcPr>
            <w:tcW w:w="20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1,295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N/A</w:t>
            </w:r>
          </w:p>
        </w:tc>
      </w:tr>
    </w:tbl>
    <w:p>
      <w:pPr>
        <w:spacing w:after="0" w:line="202"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Other income/(expense) decreased from the prior year comparable period as a result of a $1.3 million adjustment in the contingent consideration liability in connection with the acquisition of Ultimate Survival Technologies, Inc. in fiscal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60" w:firstLine="518"/>
        <w:spacing w:after="0" w:line="309"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October 31, 2018 and 2017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r>
    </w:tbl>
    <w:p>
      <w:pPr>
        <w:spacing w:after="0" w:line="20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Interest expense decreased by $689,000 from the comparable quarter last year as a result of lower overall outstanding debt during the three months ended October 31, 2018.</w:t>
      </w:r>
    </w:p>
    <w:p>
      <w:pPr>
        <w:spacing w:after="0" w:line="197" w:lineRule="exact"/>
        <w:rPr>
          <w:sz w:val="20"/>
          <w:szCs w:val="20"/>
          <w:color w:val="auto"/>
        </w:rPr>
      </w:pPr>
    </w:p>
    <w:p>
      <w:pPr>
        <w:ind w:right="800" w:firstLine="518"/>
        <w:spacing w:after="0" w:line="309" w:lineRule="auto"/>
        <w:rPr>
          <w:sz w:val="20"/>
          <w:szCs w:val="20"/>
          <w:color w:val="auto"/>
        </w:rPr>
      </w:pPr>
      <w:r>
        <w:rPr>
          <w:rFonts w:ascii="Arial" w:cs="Arial" w:eastAsia="Arial" w:hAnsi="Arial"/>
          <w:sz w:val="18"/>
          <w:szCs w:val="18"/>
          <w:color w:val="auto"/>
        </w:rPr>
        <w:t>The following table sets forth certain information regarding interest expense for the six months ended October 31, 2018 and 2017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w:t>
            </w: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Interest expense decreased by $1.1 million from the prior year comparable period as a result of lower overall outstanding debt during the six months ended October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three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(benefit)/expense</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2,395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1,789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7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r>
      <w:tr>
        <w:trPr>
          <w:trHeight w:val="431"/>
        </w:trPr>
        <w:tc>
          <w:tcPr>
            <w:tcW w:w="4680" w:type="dxa"/>
            <w:vAlign w:val="bottom"/>
          </w:tcPr>
          <w:p>
            <w:pPr>
              <w:spacing w:after="0"/>
              <w:rPr>
                <w:sz w:val="24"/>
                <w:szCs w:val="24"/>
                <w:color w:val="auto"/>
              </w:rPr>
            </w:pPr>
          </w:p>
        </w:tc>
        <w:tc>
          <w:tcPr>
            <w:tcW w:w="1780" w:type="dxa"/>
            <w:vAlign w:val="bottom"/>
            <w:gridSpan w:val="2"/>
          </w:tcPr>
          <w:p>
            <w:pPr>
              <w:jc w:val="right"/>
              <w:ind w:right="587"/>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9" w:name="page30"/>
    <w:bookmarkEnd w:id="29"/>
    <w:p>
      <w:pPr>
        <w:ind w:right="160" w:firstLine="518"/>
        <w:spacing w:after="0" w:line="264" w:lineRule="auto"/>
        <w:rPr>
          <w:sz w:val="20"/>
          <w:szCs w:val="20"/>
          <w:color w:val="auto"/>
        </w:rPr>
      </w:pPr>
      <w:r>
        <w:rPr>
          <w:rFonts w:ascii="Arial" w:cs="Arial" w:eastAsia="Arial" w:hAnsi="Arial"/>
          <w:sz w:val="18"/>
          <w:szCs w:val="18"/>
          <w:color w:val="auto"/>
        </w:rPr>
        <w:t>The decrease in the effective tax rate from the comparable quarter last year was primarily because of the effects of the Tax Cuts and Job Act of 2017, which reduced the U.S. federal statutory income tax rate from 35% to 21% effective January 1, 2018. The increase in tax expense is a result of increased operating profit over the comparable quarter last year.</w:t>
      </w:r>
    </w:p>
    <w:p>
      <w:pPr>
        <w:spacing w:after="0" w:line="222"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six months ended October 31, 2018 and 2017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(benefit)/expense</w:t>
            </w:r>
          </w:p>
        </w:tc>
        <w:tc>
          <w:tcPr>
            <w:tcW w:w="10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6,208</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(337)</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6,545</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7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-46.2%</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r>
    </w:tbl>
    <w:p>
      <w:pPr>
        <w:spacing w:after="0" w:line="201"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color w:val="auto"/>
        </w:rPr>
        <w:t>The increase in the effective tax rate over the prior year comparable period was primarily because of increased profit in the current year, which also lowered the impact of a discrete item relating to stock compensation. The income tax benefit for the six months ended October 31, 2017 was impacted by a discrete item relating to stock compensation, which had a greater impact on the effective tax rate because of low operating profit.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net income and the related per share data for the three months ended October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(dollars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106.1%</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Net income per share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CFF"/>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Net income was $6.7 million for the three months ended October 31, 2018 compared with net income of $3.2 million in the comparable quarter last year, primarily because of a combination of lower promotional product discounts, favorable manufacturing spending, a decrease in professional fees, and decreased interest expense, partially offset by unfavorable product mix, unfavorable manufacturing fixed cost absorption, inventory valuation adjustments, and increased compensation-related expenses.</w:t>
      </w:r>
    </w:p>
    <w:p>
      <w:pPr>
        <w:spacing w:after="0" w:line="214"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 sets forth certain information regarding net income and the related per share data for the six months ended October 31, 2018 and 2017 (dollars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1241.1%</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Net income per share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1200.0%</w:t>
            </w: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r>
    </w:tbl>
    <w:p>
      <w:pPr>
        <w:spacing w:after="0" w:line="20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Net income was $14.3 million for the six months ended October 31, 2018 compared with net income of $1.1 million in the prior year comparable period, primarily because of a combination of lower promotional product discounts, reduced consumer rebates, favorable manufacturing spending, a decrease in professional fees, lower donations to the National Rifle Association, and decreased interest expense, partially offset by unfavorable product mix, unfavorable manufacturing fixed cost absorption, inventory valuation adjustments, and increased compensation-related expenses.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Our principal cash requirements are to (1) finance the growth of our operations, including working capital and capital expenditures, (2) service our existing debt, and (3) fund any potential acquisitions. Capital expenditures for material handling equipment and other capital projects to support our national logistics facility, various information technology projects, and tooling for new product offerings represent important cash needs for the remainder of fiscal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color w:val="auto"/>
        </w:rPr>
        <w:t>The following table sets forth certain cash flow information for the six months ended October 31, 2018 and 2017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-129.5%</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(18,589)</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(14,538)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(2,915)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73,316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-104.1%</w:t>
            </w:r>
          </w:p>
        </w:tc>
      </w:tr>
      <w:tr>
        <w:trPr>
          <w:trHeight w:val="223"/>
        </w:trPr>
        <w:tc>
          <w:tcPr>
            <w:tcW w:w="5860" w:type="dxa"/>
            <w:vAlign w:val="bottom"/>
          </w:tcPr>
          <w:p>
            <w:pPr>
              <w:ind w:left="260"/>
              <w:spacing w:after="0"/>
              <w:rPr>
                <w:sz w:val="20"/>
                <w:szCs w:val="20"/>
                <w:color w:val="auto"/>
              </w:rPr>
            </w:pPr>
            <w:r>
              <w:rPr>
                <w:rFonts w:ascii="Arial" w:cs="Arial" w:eastAsia="Arial" w:hAnsi="Arial"/>
                <w:sz w:val="18"/>
                <w:szCs w:val="18"/>
                <w:color w:val="auto"/>
              </w:rPr>
              <w:t>Total cash flow</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98,481</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-1487.2%</w:t>
            </w:r>
          </w:p>
        </w:tc>
        <w:tc>
          <w:tcPr>
            <w:tcW w:w="1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an annual basis, operating activities generally represent the principal source of our cash flow.</w:t>
      </w:r>
    </w:p>
    <w:p>
      <w:pPr>
        <w:spacing w:after="0" w:line="22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Cash provided by operating activities was $9.1 million for the six months ended October 31, 2018 compared with a cash usage of $30.7 million for the six months ended October 31, 2017. Cash provided by operating activities for the six months ended October 31, 2018 was impacted by net income before depreciation and amortization of $40.3 million, $5.5 million of increased accounts payable because of timing of payments, and $2.3 million of increased payroll and incentives due to increased management incentive accruals. Cash provided by operating activities was partially offset by $22.5 million of increased inventory because of a seasonal build in inventory in preparation for the fall and winter holiday and industry show seasons that typically result in higher demand for our products, a $12.1 million reduction in accrued expenses because of decreased promotional product discounts and consumer rebate accruals, and $7.3 million of decreased accounts receivable due to the timing of customer payments. We anticipate that inventory levels may continue to increase due to a planned inventory build to reduce the risk of potential shipping disruptions that may arise when our national logistics facility in Missouri becomes operational as well as additional product availability to meet our customers’ needs.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Cash used in investing activities decreased $14.5 million for the six months ended October 31, 2018 compared with the prior year comparable period. We recorded capital expenditures of $19.6 million during the six months ended October 31, 2018, $9.7 million lower than the prior year comparable period. Excluding spending related to our national logistics facility, we currently expect to spend approximately $20.0 million to $25.0 million on capital expenditures in fiscal 2019. Including spending related to our national logistics facility, we currently expect to spend between $45.0 million to $50.0 million on capital expenditures, an increase of $26.5 million to $31.5 million, respectively, over the $18.5 million spent in fiscal 2018. The building for our national logistics facility will be treated as a capital lease and will be recorded in construction in progress, offset by a capital lease payable throughout building construction and will have no impact on cash flow. As of October 31, 2018, we recorded $38.5 million in construction in progress, which is included in property, plant, and equipment in our condensed consolidated balance sheet, for costs incurred by the builder relating to the purchase of land and costs related to the design and construction of the building, offset by a $38.5 million capital lease payable, which is included in capital lease payable, net of current portion, in our condensed consolidated balance sheet. The total cost of the building is estimated to be approximately $46.0 million, of which we expect approximately $44.0 million will be recorded as a right of use asset on our condensed consolidated balance sheet when construction is complete. In addition, we expect to spend between $25.0 million and $30.0 million related to material handling equipment, information technology systems, and other capital projects in support of our national logistics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Cash used in financing activities was $2.9 million for the six months ended October 31, 2018 compared with cash provided by financing activities of $70.4 million for the six months ended October 31, 2017. Cash used in financing activities during the six months ended October 31, 2018 was primarily a result of principal payments on our Term Loan.</w:t>
      </w:r>
    </w:p>
    <w:p>
      <w:pPr>
        <w:spacing w:after="0" w:line="18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i w:val="1"/>
          <w:iCs w:val="1"/>
          <w:color w:val="auto"/>
        </w:rPr>
        <w:t xml:space="preserve">Credit Facilities </w:t>
      </w:r>
      <w:r>
        <w:rPr>
          <w:rFonts w:ascii="Arial" w:cs="Arial" w:eastAsia="Arial" w:hAnsi="Arial"/>
          <w:sz w:val="16"/>
          <w:szCs w:val="16"/>
          <w:color w:val="auto"/>
        </w:rPr>
        <w:t>– On June 15, 2015, we and certain of our domestic subsidiaries entered into an unsecured credit facility, or the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TD Bank, N.A. and other lenders, or the Lenders, which included a $175.0 million revolving line of credit, or the Revolving Line, and a $105.0 million term loan, or the Term Loan, of which $84.5 million remains outstanding as of October 31, 2018.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Other than the changes described in the Second Amendment, we otherwise remain subject to the terms of the Credit Agreement, as described below. We incurred $525,000 of debt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issuance costs related to this amendment and have recorded these costs in notes and loans payable in the condensed consolidated balance sheet.</w:t>
      </w:r>
    </w:p>
    <w:p>
      <w:pPr>
        <w:spacing w:after="0" w:line="23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is subject to change based on changes in our consolidated leverage ratio. As of October 31, 2018, our interest rate on the Term Loan was 4.16%.</w:t>
      </w:r>
    </w:p>
    <w:p>
      <w:pPr>
        <w:spacing w:after="0" w:line="17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As of October 31, 2018, the interest rate swap was considered effective and had no effect on earnings. The fair value of the interest rate swap on October 31, 2018 was an asset of $1.9 million and was recorded in other assets on our condensed consolidated balance sheet. We do not expect the interest rate swap to have any material impact on earnings within the next 12 months.</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i w:val="1"/>
          <w:iCs w:val="1"/>
          <w:color w:val="auto"/>
        </w:rPr>
        <w:t xml:space="preserve">2018 Senior Notes - </w:t>
      </w:r>
      <w:r>
        <w:rPr>
          <w:rFonts w:ascii="Arial" w:cs="Arial" w:eastAsia="Arial" w:hAnsi="Arial"/>
          <w:sz w:val="16"/>
          <w:szCs w:val="16"/>
          <w:color w:val="auto"/>
        </w:rPr>
        <w:t>During fiscal 2015, we issued an aggregate of $75.0 million of 5.000% Senior Notes due 2018, or the 2018 Senior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institutional investors pursuant to the terms and conditions of an indenture and purchase agreements. The 2018 Senior Notes bore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5.000% Senior Notes due 2020, or the 2020 Senior Notes. As part of the redemption, in fiscal 2018, we wrote off $226,000 of debt issuance costs related to the 2018 Senior Notes.</w:t>
      </w:r>
    </w:p>
    <w:p>
      <w:pPr>
        <w:spacing w:after="0" w:line="18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2020 Senior Notes - </w:t>
      </w:r>
      <w:r>
        <w:rPr>
          <w:rFonts w:ascii="Arial" w:cs="Arial" w:eastAsia="Arial" w:hAnsi="Arial"/>
          <w:sz w:val="18"/>
          <w:szCs w:val="18"/>
          <w:color w:val="auto"/>
        </w:rPr>
        <w:t>On February 28, 2018, we issued an aggregate of $75.0 million of the 2020 Senior Notes to various institutional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At any time prior to February 28, 2019, we may, at our option, upon not less than 30 nor more than 60 days’ prior notice, redeem all or a portion of the 2020 Senior Notes at a redemption price of 102.500% of the principal amount of the 2020 Senior Notes to be redeemed plus accrued and unpaid interest as of the applicable redemption date. On or after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78"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2" w:lineRule="exact"/>
        <w:rPr>
          <w:sz w:val="20"/>
          <w:szCs w:val="20"/>
          <w:color w:val="auto"/>
        </w:rPr>
      </w:pPr>
    </w:p>
    <w:p>
      <w:pPr>
        <w:ind w:right="60" w:firstLine="8"/>
        <w:spacing w:after="0" w:line="28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2" w:lineRule="exact"/>
        <w:rPr>
          <w:rFonts w:ascii="Arial" w:cs="Arial" w:eastAsia="Arial" w:hAnsi="Arial"/>
          <w:sz w:val="16"/>
          <w:szCs w:val="16"/>
          <w:color w:val="auto"/>
        </w:rPr>
      </w:pPr>
    </w:p>
    <w:p>
      <w:pPr>
        <w:jc w:val="both"/>
        <w:ind w:right="120"/>
        <w:spacing w:after="0" w:line="255" w:lineRule="auto"/>
        <w:rPr>
          <w:rFonts w:ascii="Arial" w:cs="Arial" w:eastAsia="Arial" w:hAnsi="Arial"/>
          <w:sz w:val="16"/>
          <w:szCs w:val="16"/>
          <w:color w:val="auto"/>
        </w:rPr>
      </w:pPr>
      <w:r>
        <w:rPr>
          <w:rFonts w:ascii="Arial" w:cs="Arial" w:eastAsia="Arial" w:hAnsi="Arial"/>
          <w:sz w:val="18"/>
          <w:szCs w:val="18"/>
          <w:color w:val="auto"/>
        </w:rPr>
        <w:t>(A)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9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 We were in compliance with all debt covenants as of October 31, 2018.</w:t>
      </w:r>
    </w:p>
    <w:p>
      <w:pPr>
        <w:spacing w:after="0" w:line="18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During fiscal 2017, our board of directors authorized the repurchase of up to $50.0 million of our common stock, subject to certain conditions, in the open market or in privately negotiated transactions until March 28, 2019. As of October 31, 2018, there were no purchases under this stock repurchase program.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2" w:name="page33"/>
    <w:bookmarkEnd w:id="32"/>
    <w:p>
      <w:pPr>
        <w:ind w:firstLine="518"/>
        <w:spacing w:after="0" w:line="297" w:lineRule="auto"/>
        <w:rPr>
          <w:sz w:val="20"/>
          <w:szCs w:val="20"/>
          <w:color w:val="auto"/>
        </w:rPr>
      </w:pPr>
      <w:r>
        <w:rPr>
          <w:rFonts w:ascii="Arial" w:cs="Arial" w:eastAsia="Arial" w:hAnsi="Arial"/>
          <w:sz w:val="16"/>
          <w:szCs w:val="16"/>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the construction of our national logistics facility, and any acquisitions or strategic investments that we may make.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October 31, 2018, we had $36.4 million in cash and cash equivalents on hand.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2018. The most significant areas involving our judgments and estimates are described in Management’s Discussion and Analysis of Financial Condition and Results of Operations in our Annual Report on Form 10-K for the fiscal year ended April 30, 2018, to which there have been no material changes. Actual results could differ from our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 xml:space="preserve">The nature and impact of recent accounting pronouncements, if any, is discussed in Note </w:t>
      </w:r>
      <w:r>
        <w:rPr>
          <w:rFonts w:ascii="Arial" w:cs="Arial" w:eastAsia="Arial" w:hAnsi="Arial"/>
          <w:sz w:val="18"/>
          <w:szCs w:val="18"/>
          <w:i w:val="1"/>
          <w:iCs w:val="1"/>
          <w:color w:val="auto"/>
        </w:rPr>
        <w:t>2—Basis of Presentation</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During the period ended October 31, 2018, we did not enter into or transact any forward option contracts nor did we have any forward contracts outstanding. We enter into derivative financial instruments, such as interest rate swaps, in order to mitigate our interest rate risk associated with our variable rate debt. We may be exposed to credit and market risks, including, but not limited to, the failure of any counterparty to perform under the terms of the derivative contract or the adverse effect on the value of the financial instrument resulting from a change in interest rates. As of October 31, 2018, we have an interest rate swap agreement outstanding, which matures on June 15, 2020 and hedges the variable interest on our Term Loan. The outstanding balance of the Term Loan was $84.5 million, and the aggregate net fair value of the interest rate swap was $1.9 million as of October 31, 2018. The fair value of this interest rate swap agreement is dependent upon existing market interest rates and swap spreads. We do not anticipate future changes in interest rates to have a material impact on our consolidated financial statements. As of October 31, 2018, the effective interest rate of our Term Loan was 4.16%.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October 31, 2018,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have concluded that, as of October 31, 2018,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80"/>
          </w:cols>
          <w:pgMar w:left="240" w:top="557" w:right="879" w:bottom="1440" w:gutter="0" w:footer="0" w:header="0"/>
        </w:sectPr>
      </w:pPr>
    </w:p>
    <w:bookmarkStart w:id="34" w:name="page35"/>
    <w:bookmarkEnd w:id="34"/>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nature of legal proceedings against us is discussed in Note 12</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3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fiscal 2017, our board of directors authorized the repurchase of up to $50.0 million of our common stock, subject to certain conditions, in the open market or in privately negotiated transactions until March 28, 2019. As of October 31, 2018, we have made no purchases under this stock repurchase program.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exhibits listed on the Index to Exhibits (immediately preceding the signatures section of this Quarterly Report on Form 10-Q) are included herewith or incorporated herein by reference.</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280" w:type="dxa"/>
            <w:vAlign w:val="bottom"/>
            <w:gridSpan w:val="5"/>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1160" w:type="dxa"/>
            <w:vAlign w:val="bottom"/>
          </w:tcPr>
          <w:p>
            <w:pPr>
              <w:ind w:left="140"/>
              <w:spacing w:after="0"/>
              <w:rPr>
                <w:sz w:val="20"/>
                <w:szCs w:val="20"/>
                <w:color w:val="auto"/>
              </w:rPr>
            </w:pPr>
            <w:r>
              <w:rPr>
                <w:rFonts w:ascii="Arial" w:cs="Arial" w:eastAsia="Arial" w:hAnsi="Arial"/>
                <w:sz w:val="18"/>
                <w:szCs w:val="18"/>
                <w:color w:val="auto"/>
              </w:rPr>
              <w:t>31.1</w:t>
            </w:r>
          </w:p>
        </w:tc>
        <w:tc>
          <w:tcPr>
            <w:tcW w:w="50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Rule 13a-14(a)/15d-14(a) Certification of Principal Executive Officer</w:t>
              </w:r>
            </w:hyperlink>
          </w:p>
        </w:tc>
        <w:tc>
          <w:tcPr>
            <w:tcW w:w="5260" w:type="dxa"/>
            <w:vAlign w:val="bottom"/>
          </w:tcPr>
          <w:p>
            <w:pPr>
              <w:spacing w:after="0"/>
              <w:rPr>
                <w:sz w:val="24"/>
                <w:szCs w:val="24"/>
                <w:color w:val="auto"/>
              </w:rPr>
            </w:pPr>
          </w:p>
        </w:tc>
      </w:tr>
      <w:tr>
        <w:trPr>
          <w:trHeight w:val="318"/>
        </w:trPr>
        <w:tc>
          <w:tcPr>
            <w:tcW w:w="1160" w:type="dxa"/>
            <w:vAlign w:val="bottom"/>
          </w:tcPr>
          <w:p>
            <w:pPr>
              <w:ind w:left="140"/>
              <w:spacing w:after="0"/>
              <w:rPr>
                <w:sz w:val="20"/>
                <w:szCs w:val="20"/>
                <w:color w:val="auto"/>
              </w:rPr>
            </w:pPr>
            <w:r>
              <w:rPr>
                <w:rFonts w:ascii="Arial" w:cs="Arial" w:eastAsia="Arial" w:hAnsi="Arial"/>
                <w:sz w:val="18"/>
                <w:szCs w:val="18"/>
                <w:color w:val="auto"/>
              </w:rPr>
              <w:t>31.2</w:t>
            </w:r>
          </w:p>
        </w:tc>
        <w:tc>
          <w:tcPr>
            <w:tcW w:w="1028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Rule 13a-14(a)/15d-14(a) Certification of Principal Financial Officer</w:t>
              </w:r>
            </w:hyperlink>
          </w:p>
        </w:tc>
      </w:tr>
      <w:tr>
        <w:trPr>
          <w:trHeight w:val="318"/>
        </w:trPr>
        <w:tc>
          <w:tcPr>
            <w:tcW w:w="1160" w:type="dxa"/>
            <w:vAlign w:val="bottom"/>
          </w:tcPr>
          <w:p>
            <w:pPr>
              <w:ind w:left="140"/>
              <w:spacing w:after="0"/>
              <w:rPr>
                <w:sz w:val="20"/>
                <w:szCs w:val="20"/>
                <w:color w:val="auto"/>
              </w:rPr>
            </w:pPr>
            <w:r>
              <w:rPr>
                <w:rFonts w:ascii="Arial" w:cs="Arial" w:eastAsia="Arial" w:hAnsi="Arial"/>
                <w:sz w:val="18"/>
                <w:szCs w:val="18"/>
                <w:color w:val="auto"/>
              </w:rPr>
              <w:t>32.1</w:t>
            </w:r>
          </w:p>
        </w:tc>
        <w:tc>
          <w:tcPr>
            <w:tcW w:w="41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Section 1350 Certification of Principal Executive Officer</w:t>
              </w:r>
            </w:hyperlink>
          </w:p>
        </w:tc>
        <w:tc>
          <w:tcPr>
            <w:tcW w:w="840" w:type="dxa"/>
            <w:vAlign w:val="bottom"/>
            <w:tcBorders>
              <w:top w:val="single" w:sz="8" w:color="0000EE"/>
            </w:tcBorders>
          </w:tcPr>
          <w:p>
            <w:pPr>
              <w:spacing w:after="0"/>
              <w:rPr>
                <w:sz w:val="24"/>
                <w:szCs w:val="24"/>
                <w:color w:val="auto"/>
              </w:rPr>
            </w:pPr>
          </w:p>
        </w:tc>
        <w:tc>
          <w:tcPr>
            <w:tcW w:w="5320" w:type="dxa"/>
            <w:vAlign w:val="bottom"/>
            <w:gridSpan w:val="2"/>
          </w:tcPr>
          <w:p>
            <w:pPr>
              <w:spacing w:after="0"/>
              <w:rPr>
                <w:sz w:val="24"/>
                <w:szCs w:val="24"/>
                <w:color w:val="auto"/>
              </w:rPr>
            </w:pPr>
          </w:p>
        </w:tc>
      </w:tr>
      <w:tr>
        <w:trPr>
          <w:trHeight w:val="318"/>
        </w:trPr>
        <w:tc>
          <w:tcPr>
            <w:tcW w:w="1160" w:type="dxa"/>
            <w:vAlign w:val="bottom"/>
          </w:tcPr>
          <w:p>
            <w:pPr>
              <w:ind w:left="140"/>
              <w:spacing w:after="0"/>
              <w:rPr>
                <w:sz w:val="20"/>
                <w:szCs w:val="20"/>
                <w:color w:val="auto"/>
              </w:rPr>
            </w:pPr>
            <w:r>
              <w:rPr>
                <w:rFonts w:ascii="Arial" w:cs="Arial" w:eastAsia="Arial" w:hAnsi="Arial"/>
                <w:sz w:val="18"/>
                <w:szCs w:val="18"/>
                <w:color w:val="auto"/>
              </w:rPr>
              <w:t>32.2</w:t>
            </w:r>
          </w:p>
        </w:tc>
        <w:tc>
          <w:tcPr>
            <w:tcW w:w="1028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Section 1350 Certification of Principal Financial Officer</w:t>
              </w:r>
            </w:hyperlink>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40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220" w:type="dxa"/>
            <w:vAlign w:val="bottom"/>
            <w:gridSpan w:val="4"/>
          </w:tcPr>
          <w:p>
            <w:pPr>
              <w:spacing w:after="0"/>
              <w:rPr>
                <w:sz w:val="24"/>
                <w:szCs w:val="24"/>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160" w:type="dxa"/>
            <w:vAlign w:val="bottom"/>
          </w:tcPr>
          <w:p>
            <w:pPr>
              <w:spacing w:after="0"/>
              <w:rPr>
                <w:sz w:val="24"/>
                <w:szCs w:val="24"/>
                <w:color w:val="auto"/>
              </w:rPr>
            </w:pPr>
          </w:p>
        </w:tc>
        <w:tc>
          <w:tcPr>
            <w:tcW w:w="4960" w:type="dxa"/>
            <w:vAlign w:val="bottom"/>
            <w:gridSpan w:val="3"/>
          </w:tcPr>
          <w:p>
            <w:pPr>
              <w:ind w:left="44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720" w:type="dxa"/>
            <w:vAlign w:val="bottom"/>
            <w:gridSpan w:val="2"/>
          </w:tcPr>
          <w:p>
            <w:pPr>
              <w:ind w:left="2900"/>
              <w:spacing w:after="0"/>
              <w:rPr>
                <w:sz w:val="20"/>
                <w:szCs w:val="20"/>
                <w:color w:val="auto"/>
              </w:rPr>
            </w:pPr>
            <w:r>
              <w:rPr>
                <w:rFonts w:ascii="Arial" w:cs="Arial" w:eastAsia="Arial" w:hAnsi="Arial"/>
                <w:sz w:val="18"/>
                <w:szCs w:val="18"/>
                <w:color w:val="auto"/>
              </w:rPr>
              <w:t>AMERICAN OUTDOOR BRANDS CORPORATION,</w:t>
            </w:r>
          </w:p>
        </w:tc>
      </w:tr>
      <w:tr>
        <w:trPr>
          <w:trHeight w:val="230"/>
        </w:trPr>
        <w:tc>
          <w:tcPr>
            <w:tcW w:w="3700" w:type="dxa"/>
            <w:vAlign w:val="bottom"/>
          </w:tcPr>
          <w:p>
            <w:pPr>
              <w:spacing w:after="0"/>
              <w:rPr>
                <w:sz w:val="20"/>
                <w:szCs w:val="20"/>
                <w:color w:val="auto"/>
              </w:rPr>
            </w:pPr>
          </w:p>
        </w:tc>
        <w:tc>
          <w:tcPr>
            <w:tcW w:w="7720" w:type="dxa"/>
            <w:vAlign w:val="bottom"/>
            <w:gridSpan w:val="2"/>
          </w:tcPr>
          <w:p>
            <w:pPr>
              <w:ind w:left="2900"/>
              <w:spacing w:after="0"/>
              <w:rPr>
                <w:sz w:val="20"/>
                <w:szCs w:val="20"/>
                <w:color w:val="auto"/>
              </w:rPr>
            </w:pPr>
            <w:r>
              <w:rPr>
                <w:rFonts w:ascii="Arial" w:cs="Arial" w:eastAsia="Arial" w:hAnsi="Arial"/>
                <w:sz w:val="18"/>
                <w:szCs w:val="18"/>
                <w:color w:val="auto"/>
              </w:rPr>
              <w:t>a Nevada corporation</w:t>
            </w:r>
          </w:p>
        </w:tc>
      </w:tr>
      <w:tr>
        <w:trPr>
          <w:trHeight w:val="473"/>
        </w:trPr>
        <w:tc>
          <w:tcPr>
            <w:tcW w:w="3700" w:type="dxa"/>
            <w:vAlign w:val="bottom"/>
          </w:tcPr>
          <w:p>
            <w:pPr>
              <w:spacing w:after="0"/>
              <w:rPr>
                <w:sz w:val="20"/>
                <w:szCs w:val="20"/>
                <w:color w:val="auto"/>
              </w:rPr>
            </w:pPr>
            <w:r>
              <w:rPr>
                <w:rFonts w:ascii="Arial" w:cs="Arial" w:eastAsia="Arial" w:hAnsi="Arial"/>
                <w:sz w:val="18"/>
                <w:szCs w:val="18"/>
                <w:color w:val="auto"/>
              </w:rPr>
              <w:t>Date: December 6, 2018</w:t>
            </w:r>
          </w:p>
        </w:tc>
        <w:tc>
          <w:tcPr>
            <w:tcW w:w="3520" w:type="dxa"/>
            <w:vAlign w:val="bottom"/>
          </w:tcPr>
          <w:p>
            <w:pPr>
              <w:ind w:left="288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 James Debney</w:t>
            </w:r>
          </w:p>
        </w:tc>
      </w:tr>
      <w:tr>
        <w:trPr>
          <w:trHeight w:val="195"/>
        </w:trPr>
        <w:tc>
          <w:tcPr>
            <w:tcW w:w="37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P. James Debney</w:t>
            </w:r>
          </w:p>
        </w:tc>
      </w:tr>
      <w:tr>
        <w:trPr>
          <w:trHeight w:val="230"/>
        </w:trPr>
        <w:tc>
          <w:tcPr>
            <w:tcW w:w="37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December 6, 2018</w:t>
            </w:r>
          </w:p>
        </w:tc>
        <w:tc>
          <w:tcPr>
            <w:tcW w:w="3520" w:type="dxa"/>
            <w:vAlign w:val="bottom"/>
          </w:tcPr>
          <w:p>
            <w:pPr>
              <w:ind w:left="288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r>
      <w:tr>
        <w:trPr>
          <w:trHeight w:val="195"/>
        </w:trPr>
        <w:tc>
          <w:tcPr>
            <w:tcW w:w="37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Jeffrey D. Buchanan</w:t>
            </w:r>
          </w:p>
        </w:tc>
      </w:tr>
      <w:tr>
        <w:trPr>
          <w:trHeight w:val="216"/>
        </w:trPr>
        <w:tc>
          <w:tcPr>
            <w:tcW w:w="3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Executive Vice President,</w:t>
            </w:r>
          </w:p>
        </w:tc>
      </w:tr>
      <w:tr>
        <w:trPr>
          <w:trHeight w:val="216"/>
        </w:trPr>
        <w:tc>
          <w:tcPr>
            <w:tcW w:w="3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w w:val="93"/>
              </w:rPr>
              <w:t>Chief Financial Officer, Chief Administrative Officer, and</w:t>
            </w:r>
          </w:p>
        </w:tc>
      </w:tr>
      <w:tr>
        <w:trPr>
          <w:trHeight w:val="230"/>
        </w:trPr>
        <w:tc>
          <w:tcPr>
            <w:tcW w:w="37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Treasurer</w:t>
            </w:r>
          </w:p>
        </w:tc>
      </w:tr>
      <w:tr>
        <w:trPr>
          <w:trHeight w:val="648"/>
        </w:trPr>
        <w:tc>
          <w:tcPr>
            <w:tcW w:w="3700" w:type="dxa"/>
            <w:vAlign w:val="bottom"/>
          </w:tcPr>
          <w:p>
            <w:pPr>
              <w:spacing w:after="0"/>
              <w:rPr>
                <w:sz w:val="24"/>
                <w:szCs w:val="24"/>
                <w:color w:val="auto"/>
              </w:rPr>
            </w:pPr>
          </w:p>
        </w:tc>
        <w:tc>
          <w:tcPr>
            <w:tcW w:w="3520" w:type="dxa"/>
            <w:vAlign w:val="bottom"/>
          </w:tcPr>
          <w:p>
            <w:pPr>
              <w:ind w:left="1920"/>
              <w:spacing w:after="0"/>
              <w:rPr>
                <w:sz w:val="20"/>
                <w:szCs w:val="20"/>
                <w:color w:val="auto"/>
              </w:rPr>
            </w:pPr>
            <w:r>
              <w:rPr>
                <w:rFonts w:ascii="Arial" w:cs="Arial" w:eastAsia="Arial" w:hAnsi="Arial"/>
                <w:sz w:val="18"/>
                <w:szCs w:val="18"/>
                <w:color w:val="auto"/>
              </w:rPr>
              <w:t>37</w:t>
            </w:r>
          </w:p>
        </w:tc>
        <w:tc>
          <w:tcPr>
            <w:tcW w:w="42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James Debney, certify that:</w:t>
      </w:r>
    </w:p>
    <w:p>
      <w:pPr>
        <w:spacing w:after="0" w:line="11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 James Debney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2018</w:t>
      </w:r>
    </w:p>
    <w:p>
      <w:pPr>
        <w:sectPr>
          <w:pgSz w:w="11900" w:h="16838" w:orient="portrait"/>
          <w:cols w:equalWidth="0" w:num="1">
            <w:col w:w="11420"/>
          </w:cols>
          <w:pgMar w:left="240" w:top="3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Buchanan,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Outdoor Brands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1042"/>
        <w:spacing w:after="0" w:line="264" w:lineRule="auto"/>
        <w:tabs>
          <w:tab w:leader="none" w:pos="127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1042"/>
        <w:spacing w:after="0" w:line="264" w:lineRule="auto"/>
        <w:tabs>
          <w:tab w:leader="none" w:pos="128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20" w:firstLine="1042"/>
        <w:spacing w:after="0" w:line="342" w:lineRule="auto"/>
        <w:tabs>
          <w:tab w:leader="none" w:pos="127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400" w:firstLine="1042"/>
        <w:spacing w:after="0" w:line="264" w:lineRule="auto"/>
        <w:tabs>
          <w:tab w:leader="none" w:pos="128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60" w:firstLine="1042"/>
        <w:spacing w:after="0" w:line="308" w:lineRule="auto"/>
        <w:tabs>
          <w:tab w:leader="none" w:pos="126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40" w:firstLine="1042"/>
        <w:spacing w:after="0" w:line="277" w:lineRule="auto"/>
        <w:tabs>
          <w:tab w:leader="none" w:pos="127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D. Buchanan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Executive Vice President, Chief Financial Officer, Chief</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Administrative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2018</w:t>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October 31, 2018 as filed with the Securities and Exchange Commission on the date hereof (the “Report”), I, P. James Debney, President and Chief Executive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 James Debney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2018</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Quarterly Report on Form 10-Q of American Outdoor Brands Corporation (the “Company”) for the quarterly period ended October 31, 2018 as filed with the Securities and Exchange Commission on the date hereof (the “Report”), I, Jeffrey D. Buchanan, Chief Financial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 The Report fully complies with the requirements of Section 13(a) or 15(d) of the Securities Exchange Act of 1934 (15 U.S.C. 78m(a)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D. Buchanan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Executive Vice President, Chief Financial Officer, Chief</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8"/>
          <w:szCs w:val="18"/>
          <w:i w:val="1"/>
          <w:iCs w:val="1"/>
          <w:color w:val="auto"/>
        </w:rPr>
        <w:t>Administrative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2018</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American Outdoor Brands Corporation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2019-12-28T17:37:57Z</dcterms:created>
  <dcterms:modified xsi:type="dcterms:W3CDTF">2019-12-28T17:37:57Z</dcterms:modified>
</cp:coreProperties>
</file>