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Lohmeier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1852 PROFFITT SPRINGS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SMITH &amp; WESSON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47,232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on the 15th day of each month following the date of grant. 100% of the shares underlying the vested restricted stock units shall be delivered on the one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Deana L. McPherson,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5009" TargetMode="External"/><Relationship Id="rId5" Type="http://schemas.openxmlformats.org/officeDocument/2006/relationships/hyperlink" Target="http://www.sec.gov/cgi-bin/browse-edgar?action=getcompany&amp;CIK=000109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3264</Characters>
  <CharactersWithSpaces>3804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