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wbi-20250731.htm"/>
      <w:bookmarkStart w:id="1" w:name="ksswbi20250731"/>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July 31, 2025</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No. 001-31552</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28289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647700"/>
                    </a:xfrm>
                    <a:prstGeom prst="rect">
                      <a:avLst/>
                    </a:prstGeom>
                  </pic:spPr>
                </pic:pic>
              </a:graphicData>
            </a:graphic>
          </wp:inline>
        </w:drawing>
      </w:r>
    </w:p>
    <w:p>
      <w:pPr>
        <w:pStyle w:val="TextBody"/>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Smith &amp; Wesson Brands,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87-0543688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3966" w:type="dxa"/>
        <w:jc w:val="left"/>
        <w:tblInd w:w="0" w:type="dxa"/>
        <w:tblLayout w:type="fixed"/>
        <w:tblCellMar>
          <w:top w:w="28" w:type="dxa"/>
          <w:left w:w="28" w:type="dxa"/>
          <w:bottom w:w="28" w:type="dxa"/>
          <w:right w:w="28" w:type="dxa"/>
        </w:tblCellMar>
      </w:tblPr>
      <w:tblGrid>
        <w:gridCol w:w="2926"/>
        <w:gridCol w:w="109"/>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1852 Proffitt Springs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Maryville, Tennessee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37801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 xml:space="preserve">(800) 331-0852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863" w:type="dxa"/>
        <w:jc w:val="left"/>
        <w:tblInd w:w="0" w:type="dxa"/>
        <w:tblLayout w:type="fixed"/>
        <w:tblCellMar>
          <w:top w:w="28" w:type="dxa"/>
          <w:left w:w="28" w:type="dxa"/>
          <w:bottom w:w="28" w:type="dxa"/>
          <w:right w:w="28" w:type="dxa"/>
        </w:tblCellMar>
      </w:tblPr>
      <w:tblGrid>
        <w:gridCol w:w="3151"/>
        <w:gridCol w:w="1426"/>
        <w:gridCol w:w="328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SWBI</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74" w:type="dxa"/>
        <w:jc w:val="left"/>
        <w:tblInd w:w="0" w:type="dxa"/>
        <w:tblLayout w:type="fixed"/>
        <w:tblCellMar>
          <w:top w:w="28" w:type="dxa"/>
          <w:left w:w="28" w:type="dxa"/>
          <w:bottom w:w="28" w:type="dxa"/>
          <w:right w:w="28" w:type="dxa"/>
        </w:tblCellMar>
      </w:tblPr>
      <w:tblGrid>
        <w:gridCol w:w="2326"/>
        <w:gridCol w:w="146"/>
        <w:gridCol w:w="376"/>
        <w:gridCol w:w="109"/>
        <w:gridCol w:w="1155"/>
        <w:gridCol w:w="1155"/>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 had 44,341,781 shares of common stock, par value $0.001, outstanding as of September 2, 2025.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SMITH &amp; WESSON BRANDS, INC.</w:t>
      </w:r>
    </w:p>
    <w:p>
      <w:pPr>
        <w:pStyle w:val="TextBody"/>
        <w:bidi w:val="0"/>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Three Months Ended July 31, 2025 and 2024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369" w:type="dxa"/>
        <w:jc w:val="left"/>
        <w:tblInd w:w="0" w:type="dxa"/>
        <w:tblLayout w:type="fixed"/>
        <w:tblCellMar>
          <w:top w:w="28" w:type="dxa"/>
          <w:left w:w="28" w:type="dxa"/>
          <w:bottom w:w="28" w:type="dxa"/>
          <w:right w:w="28" w:type="dxa"/>
        </w:tblCellMar>
      </w:tblPr>
      <w:tblGrid>
        <w:gridCol w:w="406"/>
        <w:gridCol w:w="8211"/>
        <w:gridCol w:w="146"/>
        <w:gridCol w:w="606"/>
      </w:tblGrid>
      <w:tr>
        <w:trPr/>
        <w:tc>
          <w:tcPr>
            <w:tcW w:w="406"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
              <w:r>
                <w:rPr>
                  <w:rStyle w:val="InternetLink"/>
                  <w:rFonts w:ascii="Times New Roman" w:hAnsi="Times New Roman"/>
                  <w:b/>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19</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3_quantitative_and_qualitative">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4_controls_and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24</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
              <w:r>
                <w:rPr>
                  <w:rStyle w:val="InternetLink"/>
                  <w:rFonts w:ascii="Times New Roman" w:hAnsi="Times New Roman"/>
                  <w:b/>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5">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1_1.htm">
              <w:r>
                <w:rPr>
                  <w:rStyle w:val="InternetLink"/>
                  <w:rFonts w:ascii="Times New Roman" w:hAnsi="Times New Roman"/>
                  <w:color w:val="0000FF"/>
                  <w:sz w:val="20"/>
                  <w:u w:val="single"/>
                </w:rPr>
                <w:t>EX-31.1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1_2.htm">
              <w:r>
                <w:rPr>
                  <w:rStyle w:val="InternetLink"/>
                  <w:rFonts w:ascii="Times New Roman" w:hAnsi="Times New Roman"/>
                  <w:color w:val="0000FF"/>
                  <w:sz w:val="20"/>
                  <w:u w:val="single"/>
                </w:rPr>
                <w:t>EX-31.2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2_1.htm">
              <w:r>
                <w:rPr>
                  <w:rStyle w:val="InternetLink"/>
                  <w:rFonts w:ascii="Times New Roman" w:hAnsi="Times New Roman"/>
                  <w:color w:val="0000FF"/>
                  <w:sz w:val="20"/>
                  <w:u w:val="single"/>
                </w:rPr>
                <w:t>EX-32.1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2_2.htm">
              <w:r>
                <w:rPr>
                  <w:rStyle w:val="InternetLink"/>
                  <w:rFonts w:ascii="Times New Roman" w:hAnsi="Times New Roman"/>
                  <w:color w:val="0000FF"/>
                  <w:sz w:val="20"/>
                  <w:u w:val="single"/>
                </w:rPr>
                <w:t>EX-32.2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Smith &amp; Wesson®, S&amp;W®, M&amp;P®, M&amp;P Shield®, Performance Center®, Abyss®, Airlite®, Airweight®, American Guardians®, Armornite®, Arrow®, Aurora-II®, Blast Jacket®, Bodyguard®, Carry Comp®, Chiefs Special®, Club 1852®, Competitor®, CSX®, Dagger®, Empowering Americans®, E-Series®, ETM®, EZ®, Flexmag®, G-Core®, Gemtech®, Gemtech Suppressors®, GM®, GM-S1®, GMT-Halo®, Governor®, GVAC®, Integra®, Lady Smith®, Lever Lock®, Lunar®, M&amp;P FPC®, M2.0®, Magnum®, Mist-22®, Mountain Gun®, Protected by Smith &amp; Wesson®, Put A Legend On Your Line®, Quickmount®, Shield®, Silence is Golden®, Smith &amp; Wesson Collectors Association®, Smith &amp; Wesson Performance Center®, Smith &amp; Wesson Precision Components®, Smith &amp; Wesson Response®, SW Equalizer®, SW22 Victory®, TEMPO®, The S&amp;W Bench®, Trek®, Volunteer®, and Weather Shield® are some of the registered U.S. trademarks of our company or one of our subsidiaries. This Quarterly Report on Form 10-Q also may contain trademarks and trade names of other companies.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 Regarding Forward-Looking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statements contained in this Quarterly Report on Form 10-Q that are not purely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our expectation that the unrecognized compensation expense related to unvested RSUs and PSUs will be recognized over a weighted average remaining contractual term of 1.8 years; our belief with respect to certain matters described in the Commitments and Contingencies - Litigation section that the allegations are unfounded and, in addition, that any incident and any results from them or any injuries were due to negligence or misuse of the firearm by the claimant or a third party; our belief that our accruals for product liability cases and claims are a reasonable quantitative measure of the cost to us of product liability cases and claims; our belief that an unfavorable outcome or prolonged litigation could harm our business; our conclusion that we are unable to reasonably estimate the probability or the estimated range of reasonably possible losses related to material adverse judgments related to known claims and the related product liability accrual, our determination not to accrue for any such judgments, and our belief that we have provided adequate accruals for defense costs; our intention, in connection with our new facility in Maryville, Tennessee, to incur, or cause to be incurred, no less than $120.0 million in aggregate capital expenditures on or before December 31, 2025, create no less than 620 new jobs, and sustain an average hourly wage of at least $25.97 at the facility; our belief that inventory levels, both internally and in the distribution channel, in excess of demand may negatively impact future operating results; our expectation that our inventory levels will decline during the remainder of the fiscal year; our expectation that the impact of OBBBA (as defined herein) provisions will not have a material impact on the consolidated financial statements; our expectation for capital expenditures in fiscal 2026; factors affecting our future capital requirements; the availability of equity or debt financing on acceptable terms, if at all; the record date and payment date for our dividend; and our belief that our existing capital resources and credit facilities will be adequate to fund our operations for at least the next 12 months.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hereof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impact of tariffs;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successfully introduce new products; our ability to expand our markets; the potential for cancellation of orders from our backlog; and other factors detailed from time to time in our reports filed with the Securities and Exchange Commission, or the SEC, including our Annual Report on Form 10-K for the fiscal year ended April 30, 2025, or the Fiscal 2025 Form 10-K.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 xml:space="preserve">Item 1. </w:t>
      </w:r>
      <w:r>
        <w:rPr>
          <w:rFonts w:ascii="Times New Roman" w:hAnsi="Times New Roman"/>
          <w:b/>
          <w:i/>
          <w:color w:val="000000"/>
          <w:sz w:val="20"/>
        </w:rPr>
        <w:t>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30"/>
        <w:gridCol w:w="146"/>
        <w:gridCol w:w="283"/>
        <w:gridCol w:w="1135"/>
        <w:gridCol w:w="214"/>
        <w:gridCol w:w="189"/>
        <w:gridCol w:w="298"/>
        <w:gridCol w:w="1195"/>
        <w:gridCol w:w="615"/>
      </w:tblGrid>
      <w:tr>
        <w:trPr/>
        <w:tc>
          <w:tcPr>
            <w:tcW w:w="6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par value and share data)</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0"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ASSETS</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17,964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25,231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Accounts receivable, net of allowances for credit losses of $5</w:t>
            </w:r>
            <w:r>
              <w:rPr>
                <w:rFonts w:ascii="Times New Roman" w:hAnsi="Times New Roman"/>
                <w:color w:val="000000"/>
                <w:sz w:val="20"/>
              </w:rPr>
              <w:t> </w:t>
            </w:r>
            <w:r>
              <w:rPr>
                <w:rFonts w:ascii="Times New Roman" w:hAnsi="Times New Roman"/>
                <w:color w:val="000000"/>
                <w:sz w:val="19"/>
              </w:rPr>
              <w:t>on</w:t>
              <w:br/>
              <w:t>   July 31, 2025 and $5</w:t>
            </w:r>
            <w:r>
              <w:rPr>
                <w:rFonts w:ascii="Times New Roman" w:hAnsi="Times New Roman"/>
                <w:color w:val="000000"/>
                <w:sz w:val="20"/>
              </w:rPr>
              <w:t> </w:t>
            </w:r>
            <w:r>
              <w:rPr>
                <w:rFonts w:ascii="Times New Roman" w:hAnsi="Times New Roman"/>
                <w:color w:val="000000"/>
                <w:sz w:val="19"/>
              </w:rPr>
              <w:t>on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41,309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55,868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203,097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189,840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9,041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6,260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275,513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277,265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Property, plant, and equipment, net of accumulated depreciation and</w:t>
              <w:br/>
              <w:t>   amortization of $376,471</w:t>
            </w:r>
            <w:r>
              <w:rPr>
                <w:rFonts w:ascii="Times New Roman" w:hAnsi="Times New Roman"/>
                <w:color w:val="000000"/>
                <w:sz w:val="20"/>
              </w:rPr>
              <w:t> </w:t>
            </w:r>
            <w:r>
              <w:rPr>
                <w:rFonts w:ascii="Times New Roman" w:hAnsi="Times New Roman"/>
                <w:color w:val="000000"/>
                <w:sz w:val="19"/>
              </w:rPr>
              <w:t>on July 31, 2025 and $368,811</w:t>
            </w:r>
            <w:r>
              <w:rPr>
                <w:rFonts w:ascii="Times New Roman" w:hAnsi="Times New Roman"/>
                <w:color w:val="000000"/>
                <w:sz w:val="20"/>
              </w:rPr>
              <w:t> </w:t>
            </w:r>
            <w:r>
              <w:rPr>
                <w:rFonts w:ascii="Times New Roman" w:hAnsi="Times New Roman"/>
                <w:color w:val="000000"/>
                <w:sz w:val="19"/>
              </w:rPr>
              <w:t>on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239,407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242,648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2,409</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10,260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10,260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8,059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554,633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559,612</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LIABILITIES AND STOCKHOLDERS’ EQUITY</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26,887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24,678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payroll and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7,689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9,060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profit sharing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52,906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66,640</w:t>
            </w:r>
          </w:p>
        </w:tc>
        <w:tc>
          <w:tcPr>
            <w:tcW w:w="6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Notes and loans payable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94,147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79,096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payable,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33,703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9,944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7,719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190,254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187,158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$0.001</w:t>
            </w:r>
            <w:r>
              <w:rPr>
                <w:rFonts w:ascii="Times New Roman" w:hAnsi="Times New Roman"/>
                <w:color w:val="000000"/>
                <w:sz w:val="20"/>
              </w:rPr>
              <w:t> </w:t>
            </w:r>
            <w:r>
              <w:rPr>
                <w:rFonts w:ascii="Times New Roman" w:hAnsi="Times New Roman"/>
                <w:color w:val="000000"/>
                <w:sz w:val="19"/>
              </w:rPr>
              <w:t>par value, 20,000,000</w:t>
            </w:r>
            <w:r>
              <w:rPr>
                <w:rFonts w:ascii="Times New Roman" w:hAnsi="Times New Roman"/>
                <w:color w:val="000000"/>
                <w:sz w:val="20"/>
              </w:rPr>
              <w:t> </w:t>
            </w:r>
            <w:r>
              <w:rPr>
                <w:rFonts w:ascii="Times New Roman" w:hAnsi="Times New Roman"/>
                <w:color w:val="000000"/>
                <w:sz w:val="19"/>
              </w:rPr>
              <w:t>shares authorized, no</w:t>
            </w:r>
            <w:r>
              <w:rPr>
                <w:rFonts w:ascii="Times New Roman" w:hAnsi="Times New Roman"/>
                <w:color w:val="000000"/>
                <w:sz w:val="20"/>
              </w:rPr>
              <w:t> </w:t>
            </w:r>
            <w:r>
              <w:rPr>
                <w:rFonts w:ascii="Times New Roman" w:hAnsi="Times New Roman"/>
                <w:color w:val="000000"/>
                <w:sz w:val="19"/>
              </w:rPr>
              <w:t>shares</w:t>
              <w:br/>
              <w:t>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$0.001</w:t>
            </w:r>
            <w:r>
              <w:rPr>
                <w:rFonts w:ascii="Times New Roman" w:hAnsi="Times New Roman"/>
                <w:color w:val="000000"/>
                <w:sz w:val="20"/>
              </w:rPr>
              <w:t> </w:t>
            </w:r>
            <w:r>
              <w:rPr>
                <w:rFonts w:ascii="Times New Roman" w:hAnsi="Times New Roman"/>
                <w:color w:val="000000"/>
                <w:sz w:val="19"/>
              </w:rPr>
              <w:t>par value, 100,000,000</w:t>
            </w:r>
            <w:r>
              <w:rPr>
                <w:rFonts w:ascii="Times New Roman" w:hAnsi="Times New Roman"/>
                <w:color w:val="000000"/>
                <w:sz w:val="20"/>
              </w:rPr>
              <w:t> </w:t>
            </w:r>
            <w:r>
              <w:rPr>
                <w:rFonts w:ascii="Times New Roman" w:hAnsi="Times New Roman"/>
                <w:color w:val="000000"/>
                <w:sz w:val="19"/>
              </w:rPr>
              <w:t>shares authorized,</w:t>
              <w:br/>
              <w:t>   75,988,368</w:t>
            </w:r>
            <w:r>
              <w:rPr>
                <w:rFonts w:ascii="Times New Roman" w:hAnsi="Times New Roman"/>
                <w:color w:val="000000"/>
                <w:sz w:val="20"/>
              </w:rPr>
              <w:t> </w:t>
            </w:r>
            <w:r>
              <w:rPr>
                <w:rFonts w:ascii="Times New Roman" w:hAnsi="Times New Roman"/>
                <w:color w:val="000000"/>
                <w:sz w:val="19"/>
              </w:rPr>
              <w:t>issued and 44,310,374</w:t>
            </w:r>
            <w:r>
              <w:rPr>
                <w:rFonts w:ascii="Times New Roman" w:hAnsi="Times New Roman"/>
                <w:color w:val="000000"/>
                <w:sz w:val="20"/>
              </w:rPr>
              <w:t> </w:t>
            </w:r>
            <w:r>
              <w:rPr>
                <w:rFonts w:ascii="Times New Roman" w:hAnsi="Times New Roman"/>
                <w:color w:val="000000"/>
                <w:sz w:val="19"/>
              </w:rPr>
              <w:t>shares outstanding on July 31,</w:t>
              <w:br/>
              <w:t>   2025 and 75,789,455</w:t>
            </w:r>
            <w:r>
              <w:rPr>
                <w:rFonts w:ascii="Times New Roman" w:hAnsi="Times New Roman"/>
                <w:color w:val="000000"/>
                <w:sz w:val="20"/>
              </w:rPr>
              <w:t> </w:t>
            </w:r>
            <w:r>
              <w:rPr>
                <w:rFonts w:ascii="Times New Roman" w:hAnsi="Times New Roman"/>
                <w:color w:val="000000"/>
                <w:sz w:val="19"/>
              </w:rPr>
              <w:t>shares issued and 44,111,461</w:t>
            </w:r>
            <w:r>
              <w:rPr>
                <w:rFonts w:ascii="Times New Roman" w:hAnsi="Times New Roman"/>
                <w:color w:val="000000"/>
                <w:sz w:val="20"/>
              </w:rPr>
              <w:t> </w:t>
            </w:r>
            <w:r>
              <w:rPr>
                <w:rFonts w:ascii="Times New Roman" w:hAnsi="Times New Roman"/>
                <w:color w:val="000000"/>
                <w:sz w:val="19"/>
              </w:rPr>
              <w:t>shares</w:t>
              <w:br/>
              <w:t>   outstanding on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299,175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298,075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523,420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532,615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Treasury stock, at cost (31,677,994</w:t>
            </w:r>
            <w:r>
              <w:rPr>
                <w:rFonts w:ascii="Times New Roman" w:hAnsi="Times New Roman"/>
                <w:color w:val="000000"/>
                <w:sz w:val="20"/>
              </w:rPr>
              <w:t> </w:t>
            </w:r>
            <w:r>
              <w:rPr>
                <w:rFonts w:ascii="Times New Roman" w:hAnsi="Times New Roman"/>
                <w:color w:val="000000"/>
                <w:sz w:val="19"/>
              </w:rPr>
              <w:t>shares on July 31, 2025 and</w:t>
              <w:br/>
              <w:t>   31,677,994</w:t>
            </w:r>
            <w:r>
              <w:rPr>
                <w:rFonts w:ascii="Times New Roman" w:hAnsi="Times New Roman"/>
                <w:color w:val="000000"/>
                <w:sz w:val="20"/>
              </w:rPr>
              <w:t> </w:t>
            </w:r>
            <w:r>
              <w:rPr>
                <w:rFonts w:ascii="Times New Roman" w:hAnsi="Times New Roman"/>
                <w:color w:val="000000"/>
                <w:sz w:val="19"/>
              </w:rPr>
              <w:t>shares on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(458,292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(458,312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1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364,379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372,454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554,633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559,612</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income"/>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261" w:type="dxa"/>
        <w:jc w:val="left"/>
        <w:tblInd w:w="0" w:type="dxa"/>
        <w:tblLayout w:type="fixed"/>
        <w:tblCellMar>
          <w:top w:w="28" w:type="dxa"/>
          <w:left w:w="28" w:type="dxa"/>
          <w:bottom w:w="28" w:type="dxa"/>
          <w:right w:w="28" w:type="dxa"/>
        </w:tblCellMar>
      </w:tblPr>
      <w:tblGrid>
        <w:gridCol w:w="4831"/>
        <w:gridCol w:w="285"/>
        <w:gridCol w:w="914"/>
        <w:gridCol w:w="224"/>
        <w:gridCol w:w="197"/>
        <w:gridCol w:w="285"/>
        <w:gridCol w:w="914"/>
        <w:gridCol w:w="611"/>
      </w:tblGrid>
      <w:tr>
        <w:trPr/>
        <w:tc>
          <w:tcPr>
            <w:tcW w:w="48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marketing, and distribution</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sale/disposition of assets, net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income/(expense), net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 net loss</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 net loss</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_changes"/>
      <w:bookmarkEnd w:id="6"/>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715" w:type="dxa"/>
        <w:jc w:val="left"/>
        <w:tblInd w:w="0" w:type="dxa"/>
        <w:tblLayout w:type="fixed"/>
        <w:tblCellMar>
          <w:top w:w="28" w:type="dxa"/>
          <w:left w:w="28" w:type="dxa"/>
          <w:bottom w:w="28" w:type="dxa"/>
          <w:right w:w="28" w:type="dxa"/>
        </w:tblCellMar>
      </w:tblPr>
      <w:tblGrid>
        <w:gridCol w:w="1096"/>
        <w:gridCol w:w="146"/>
        <w:gridCol w:w="146"/>
        <w:gridCol w:w="601"/>
        <w:gridCol w:w="146"/>
        <w:gridCol w:w="146"/>
        <w:gridCol w:w="249"/>
        <w:gridCol w:w="442"/>
        <w:gridCol w:w="146"/>
        <w:gridCol w:w="146"/>
        <w:gridCol w:w="196"/>
        <w:gridCol w:w="691"/>
        <w:gridCol w:w="166"/>
        <w:gridCol w:w="146"/>
        <w:gridCol w:w="196"/>
        <w:gridCol w:w="691"/>
        <w:gridCol w:w="166"/>
        <w:gridCol w:w="146"/>
        <w:gridCol w:w="439"/>
        <w:gridCol w:w="777"/>
        <w:gridCol w:w="146"/>
        <w:gridCol w:w="146"/>
        <w:gridCol w:w="146"/>
        <w:gridCol w:w="601"/>
        <w:gridCol w:w="146"/>
        <w:gridCol w:w="146"/>
        <w:gridCol w:w="196"/>
        <w:gridCol w:w="751"/>
        <w:gridCol w:w="166"/>
        <w:gridCol w:w="146"/>
        <w:gridCol w:w="228"/>
        <w:gridCol w:w="808"/>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April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restricted</w:t>
              <w:br/>
              <w:t>  stock unit awards, net of shares</w:t>
              <w:br/>
              <w:t>  surrendered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treasury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Dividends issued, including accruals ($0.13</w:t>
            </w:r>
            <w:r>
              <w:rPr>
                <w:rFonts w:ascii="Times New Roman" w:hAnsi="Times New Roman"/>
                <w:color w:val="000000"/>
                <w:sz w:val="20"/>
              </w:rPr>
              <w:t> </w:t>
            </w:r>
            <w:r>
              <w:rPr>
                <w:rFonts w:ascii="Times New Roman" w:hAnsi="Times New Roman"/>
                <w:color w:val="000000"/>
                <w:sz w:val="18"/>
              </w:rPr>
              <w:t>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July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restricted</w:t>
              <w:br/>
              <w:t>   stock unit awards, net of shares</w:t>
              <w:br/>
              <w:t>   surrendered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treasury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Dividends issued, including accruals ($0.13</w:t>
            </w:r>
            <w:r>
              <w:rPr>
                <w:rFonts w:ascii="Times New Roman" w:hAnsi="Times New Roman"/>
                <w:color w:val="000000"/>
                <w:sz w:val="20"/>
              </w:rPr>
              <w:t> </w:t>
            </w:r>
            <w:r>
              <w:rPr>
                <w:rFonts w:ascii="Times New Roman" w:hAnsi="Times New Roman"/>
                <w:color w:val="000000"/>
                <w:sz w:val="18"/>
              </w:rPr>
              <w:t>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96"/>
        <w:gridCol w:w="946"/>
        <w:gridCol w:w="211"/>
        <w:gridCol w:w="736"/>
        <w:gridCol w:w="166"/>
        <w:gridCol w:w="146"/>
        <w:gridCol w:w="211"/>
        <w:gridCol w:w="736"/>
        <w:gridCol w:w="166"/>
        <w:gridCol w:w="991"/>
      </w:tblGrid>
      <w:tr>
        <w:trPr/>
        <w:tc>
          <w:tcPr>
            <w:tcW w:w="58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used in</w:t>
              <w:br/>
              <w:t>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Gain on sale/disposition of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Stock-based compensation expense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Non-cash sublease income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net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Inventories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Prepaid expenses and other current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payable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payroll and incentives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profit sharing</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expenses and 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warranty</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non-current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marketable securities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to acquire patents and software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to acquire property and equipment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loans and notes payable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finance lease obligation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notes and loans payable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to acquire treasury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Dividend distribution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employee withholding tax related to restricted stock units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disclosure of cash flow information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Interest, net of amounts capitalized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 (Continued)</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Disclosure of Non-cash Investing and Financing Activities:</w:t>
      </w:r>
    </w:p>
    <w:p>
      <w:pPr>
        <w:pStyle w:val="TextBody"/>
        <w:bidi w:val="0"/>
        <w:jc w:val="both"/>
        <w:rPr/>
      </w:pPr>
      <w:r>
        <w:rPr/>
        <w:t> </w:t>
      </w:r>
    </w:p>
    <w:tbl>
      <w:tblPr>
        <w:tblW w:w="8738" w:type="dxa"/>
        <w:jc w:val="left"/>
        <w:tblInd w:w="0" w:type="dxa"/>
        <w:tblLayout w:type="fixed"/>
        <w:tblCellMar>
          <w:top w:w="28" w:type="dxa"/>
          <w:left w:w="28" w:type="dxa"/>
          <w:bottom w:w="28" w:type="dxa"/>
          <w:right w:w="28" w:type="dxa"/>
        </w:tblCellMar>
      </w:tblPr>
      <w:tblGrid>
        <w:gridCol w:w="5731"/>
        <w:gridCol w:w="146"/>
        <w:gridCol w:w="275"/>
        <w:gridCol w:w="746"/>
        <w:gridCol w:w="190"/>
        <w:gridCol w:w="190"/>
        <w:gridCol w:w="275"/>
        <w:gridCol w:w="746"/>
        <w:gridCol w:w="190"/>
        <w:gridCol w:w="249"/>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3,056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lease included in accrued expenses and finance lease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under our Smith &amp; Wesson and Smith &amp; Wesson Precision Components brands to other businesses to attempt to level-load our factories. During the fiscal year ended April 30, 2025, or fiscal 2025, we discontinued operations at our Deep River, Connecticut facility and vacated the premises. See Note 8 — Commitments and Contingencies for more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w:t>
      </w:r>
    </w:p>
    <w:p>
      <w:pPr>
        <w:pStyle w:val="TextBody"/>
        <w:bidi w:val="0"/>
        <w:spacing w:before="240" w:after="283"/>
        <w:jc w:val="both"/>
        <w:rPr>
          <w:rFonts w:ascii="Times New Roman" w:hAnsi="Times New Roman"/>
          <w:sz w:val="20"/>
        </w:rPr>
      </w:pPr>
      <w:r>
        <w:rPr>
          <w:rFonts w:ascii="Times New Roman" w:hAnsi="Times New Roman"/>
          <w:i/>
          <w:color w:val="000000"/>
          <w:sz w:val="20"/>
        </w:rPr>
        <w:t>Immaterial Correction of an Error</w:t>
      </w:r>
      <w:r>
        <w:rPr>
          <w:rFonts w:ascii="Times New Roman" w:hAnsi="Times New Roman"/>
          <w:color w:val="000000"/>
          <w:sz w:val="20"/>
        </w:rPr>
        <w:t xml:space="preserve"> — During the fourth quarter of fiscal 2025, we identified an immaterial error related to our accrual for certain legal expenses, resulting in an overstatement of general and administrative expenses in the interim and annual periods for the fiscal year ended April 30, 2024 and during the interim periods for the fiscal year ended April 30, 2025. In accordance with Staff Accounting Bulletin, or SAB, No. 99, </w:t>
      </w:r>
      <w:r>
        <w:rPr>
          <w:rFonts w:ascii="Times New Roman" w:hAnsi="Times New Roman"/>
          <w:i/>
          <w:color w:val="000000"/>
          <w:sz w:val="20"/>
        </w:rPr>
        <w:t xml:space="preserve">Materiality, </w:t>
      </w:r>
      <w:r>
        <w:rPr>
          <w:rFonts w:ascii="Times New Roman" w:hAnsi="Times New Roman"/>
          <w:color w:val="000000"/>
          <w:sz w:val="20"/>
        </w:rPr>
        <w:t xml:space="preserve">and SAB No. 108, </w:t>
      </w:r>
      <w:r>
        <w:rPr>
          <w:rFonts w:ascii="Times New Roman" w:hAnsi="Times New Roman"/>
          <w:i/>
          <w:color w:val="000000"/>
          <w:sz w:val="20"/>
        </w:rPr>
        <w:t>Considering the Effects of Prior Year Misstatements when Quantifying Misstatements in Current Year Financial Statements</w:t>
      </w:r>
      <w:r>
        <w:rPr>
          <w:rFonts w:ascii="Times New Roman" w:hAnsi="Times New Roman"/>
          <w:color w:val="000000"/>
          <w:sz w:val="20"/>
        </w:rPr>
        <w:t>, we evaluated the quantitative and qualitative considerations of the error and determined that the related impact was not material to the results of operations, financial position, or cash flows for any historical annual or interim period. Prior year amounts have been adjusted to correct the immaterial error, which overstated general and administrative expenses by $336,000 and understated income tax expense by $85,000 for the three months ended July 31, 2024. Related changes to net income, corresponding line items within cash provided by operating activities, and related disclosures within the notes accompanying these financial statements reflect the immaterial correction.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Interim Financial Information </w:t>
      </w:r>
      <w:r>
        <w:rPr>
          <w:rFonts w:ascii="Times New Roman" w:hAnsi="Times New Roman"/>
          <w:color w:val="000000"/>
          <w:sz w:val="20"/>
        </w:rPr>
        <w:t>— The condensed consolidated balance sheet as of July 31, 2025, the condensed consolidated statements of operations for the three months ended July 31, 2025 and 2024, the condensed consolidated statements of changes in stockholders’ equity for the three months ended July 31, 2025 and 2024, and the condensed consolidated statements of cash flows for the three months ended July 31, 2025 and 2024 have been prepared by us without audit. In our opinion, all adjustments, which include only normal recurring adjustments necessary to fairly present the financial position, results of operations, changes in stockholders’ equity, and cash flows for the three months ended July 31, 2025 and for the periods presented, have been included. All intercompany transactions have been eliminated in consolidation. The condensed consolidated balance sheet as of April 30, 2025 has been derived from our audited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2025 Form 10-K. The results of operations for the three months ended July 31, 2025 may not be indicative of the results that may be expected for the fiscal year ending April 30, 2026, or any other period.</w:t>
      </w:r>
    </w:p>
    <w:p>
      <w:pPr>
        <w:pStyle w:val="TextBody"/>
        <w:bidi w:val="0"/>
        <w:spacing w:before="240" w:after="160"/>
        <w:jc w:val="both"/>
        <w:rPr>
          <w:rFonts w:ascii="Times New Roman" w:hAnsi="Times New Roman"/>
          <w:sz w:val="20"/>
        </w:rPr>
      </w:pPr>
      <w:r>
        <w:rPr>
          <w:rFonts w:ascii="Times New Roman" w:hAnsi="Times New Roman"/>
          <w:i/>
          <w:color w:val="000000"/>
          <w:sz w:val="20"/>
        </w:rPr>
        <w:t>Marketable Securities</w:t>
      </w:r>
      <w:r>
        <w:rPr>
          <w:rFonts w:ascii="Times New Roman" w:hAnsi="Times New Roman"/>
          <w:color w:val="000000"/>
          <w:sz w:val="20"/>
        </w:rPr>
        <w:t xml:space="preserve"> — Marketable securities are defined as equity investments that are highly liquid and can be readily purchased or sold through established markets. As of July 31, 2025, we had marketable securities of $3.2 million, comprised of exchange-traded and mutual funds. These investments are reported at fair value on our condensed consolidated balance sheets, with the related unrealized gains and losses recorded in other income/(expense), net on our condensed consolidated statements of operations. Net unrealized gains and losses recognized on our marketable securities during the three months ended July 31, 2025 totaled $51,000, all of which related to securities that we continued to hold as of July 31, 2025.</w:t>
      </w:r>
    </w:p>
    <w:p>
      <w:pPr>
        <w:pStyle w:val="TextBody"/>
        <w:bidi w:val="0"/>
        <w:spacing w:before="80" w:after="283"/>
        <w:jc w:val="both"/>
        <w:rPr>
          <w:rFonts w:ascii="Times New Roman" w:hAnsi="Times New Roman"/>
          <w:sz w:val="20"/>
        </w:rPr>
      </w:pPr>
      <w:r>
        <w:rPr>
          <w:rFonts w:ascii="Times New Roman" w:hAnsi="Times New Roman"/>
          <w:i/>
          <w:color w:val="000000"/>
          <w:sz w:val="20"/>
        </w:rPr>
        <w:t xml:space="preserve">Reclassifications </w:t>
      </w:r>
      <w:r>
        <w:rPr>
          <w:rFonts w:ascii="Times New Roman" w:hAnsi="Times New Roman"/>
          <w:color w:val="000000"/>
          <w:sz w:val="20"/>
        </w:rPr>
        <w:t xml:space="preserve">— We have reclassified certain amounts relating to prior period results to conform to the current period presentation. These reclassifications have not changed the results of operations of prior periods.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Recently Issued Accounting Standards </w:t>
      </w:r>
      <w:r>
        <w:rPr>
          <w:rFonts w:ascii="Times New Roman" w:hAnsi="Times New Roman"/>
          <w:color w:val="000000"/>
          <w:sz w:val="20"/>
        </w:rPr>
        <w:t xml:space="preserve">— In December 2023, the Financial Accounting Standards Board, or the FASB, issued Accounting Standards Update, or ASU, 2023-09, </w:t>
      </w:r>
      <w:r>
        <w:rPr>
          <w:rFonts w:ascii="Times New Roman" w:hAnsi="Times New Roman"/>
          <w:i/>
          <w:color w:val="000000"/>
          <w:sz w:val="20"/>
        </w:rPr>
        <w:t>Improvements to Income Tax Disclosures</w:t>
      </w:r>
      <w:r>
        <w:rPr>
          <w:rFonts w:ascii="Times New Roman" w:hAnsi="Times New Roman"/>
          <w:color w:val="000000"/>
          <w:sz w:val="20"/>
        </w:rPr>
        <w:t xml:space="preserve">, which requires entities to disclose in their rate reconciliation table additional categories of information about federal, state, and foreign income taxes and provide more details about the reconciling items in some categories if items meet a quantitative threshold. Entities will have to provide qualitative disclosures about the new categories. The guidance will require all entities to disclose income taxes paid, net of refunds, disaggregated by federal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the fiscal year ending April 30, 2026 for us. We are currently evaluating the impact, if any, that the adoption of this standard will have on our financial disclosures.</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 remaining in relevant expense captions that are not separately disaggregated quantitatively. Entities will need to disclose the total amount of selling expenses and, in annual reporting periods, an entity’s definition of selling expenses. Entities are required to apply the guidance prospectively, with the option to apply it retrospectively. The guidance is effective for annual periods beginning after December 15, 2026, or the fiscal year ending April 30, 2028 for us. We are currently evaluating the impact that the adoption of this standard will have on our financial disclosures.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 Notes and Loans Payable:</w:t>
      </w:r>
    </w:p>
    <w:p>
      <w:pPr>
        <w:pStyle w:val="TextBody"/>
        <w:bidi w:val="0"/>
        <w:spacing w:before="240" w:after="283"/>
        <w:jc w:val="both"/>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 On August 24, 2020, we and certain of our subsidiaries entered into an amended and restated credit agreement, or the Amended 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 On April 28, 2023, we entered into an amendment to the Amended and Restated Credit Agreement to, among other things, replace LIBOR with SOFR as the interest rate benchmark and amend the definition of “Consolidated Fixed Charge Coverage Ratio” to exclude unfinanced capital expenditures in connection with our plan to move our headquarters and significant elements of our operations to Maryville, Tennessee in 2023, or the Relocation. The revolving line bore interest at either the Base Rate (as defined in the Amended and Restated Credit Agreement) or the Adjusted Term SOFR rate, plus an applicable margin based on our consolidated leverage ratio.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October 3, 2024, we entered into an amended and restated credit agreement, or the Second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Second Amended and Restated 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15, 2025, we entered into a first amendment to the Second Amended and Restated Credit Agreement, or the First Amendment. The First Amendment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2025, we had $95.0 million of borrowings outstanding on the Revolving Line, bearing interest at a weighted average rate of 6.69%, which is equal to the Adjusted Term SOFR rate plus an applicable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the redemption or prepayment of other debt, and transactions with affiliates. We are also subject to financial covenants, including a minimum consolidated fixed charge coverage ratio and a maximum consolidated leverage ratio. As of July 31, 2025, we were compliant with all required financial covenants. </w:t>
      </w:r>
    </w:p>
    <w:p>
      <w:pPr>
        <w:pStyle w:val="TextBody"/>
        <w:bidi w:val="0"/>
        <w:spacing w:before="240" w:after="283"/>
        <w:jc w:val="both"/>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 As of July 31, 2025, we had outstanding letters of credit aggregating $3.0 million, which included a $1.5 million letter of credit to collateralize our captive insurance company.</w:t>
      </w:r>
    </w:p>
    <w:p>
      <w:pPr>
        <w:pStyle w:val="TextBody"/>
        <w:bidi w:val="0"/>
        <w:spacing w:before="360" w:after="283"/>
        <w:jc w:val="both"/>
        <w:rPr>
          <w:rFonts w:ascii="Times New Roman" w:hAnsi="Times New Roman"/>
          <w:sz w:val="20"/>
        </w:rPr>
      </w:pPr>
      <w:r>
        <w:rPr>
          <w:rFonts w:ascii="Times New Roman" w:hAnsi="Times New Roman"/>
          <w:b/>
          <w:color w:val="000000"/>
          <w:sz w:val="20"/>
        </w:rPr>
        <w:t>(4) 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follow the provisions of Accounting Standards Codification, or ASC, 820-10, </w:t>
      </w:r>
      <w:r>
        <w:rPr>
          <w:rFonts w:ascii="Times New Roman" w:hAnsi="Times New Roman"/>
          <w:i/>
          <w:color w:val="000000"/>
          <w:sz w:val="20"/>
        </w:rPr>
        <w:t>Fair Value Measurements and Disclosures Topic</w:t>
      </w:r>
      <w:r>
        <w:rPr>
          <w:rFonts w:ascii="Times New Roman" w:hAnsi="Times New Roman"/>
          <w:color w:val="000000"/>
          <w:sz w:val="20"/>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assets and liabilities recorded on the accompanying condensed consolidated balance sheets are categorized based on the inputs to the valuation techniques as follows:</w:t>
      </w:r>
    </w:p>
    <w:p>
      <w:pPr>
        <w:pStyle w:val="TextBody"/>
        <w:bidi w:val="0"/>
        <w:spacing w:before="24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Financial assets and liabilities whose values are based on unadjusted quoted prices for identical assets or liabilities in an active market that we have the ability to access at the measurement date (e.g., active exchange-traded equity securities, listed derivatives, and most U.S. Government and agency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cash and cash equivalents, which are measured at fair value on a recurring basis, totaled $18.0 million and $25.2 million as of July 31, 2025 and April 30, 2025, respectively. Our marketable securities, which are measured at fair value on a recurring basis, totaled $3.2 million as of July 31, 2025. The carrying value of our revolving line of credit approximated the fair value as of both July 31, 2025 and April 30, 2025. We utilized Level 1 of the value hierarchy to determine the fair values of these assets and liabilities.</w:t>
      </w:r>
    </w:p>
    <w:p>
      <w:pPr>
        <w:pStyle w:val="TextBody"/>
        <w:bidi w:val="0"/>
        <w:spacing w:before="24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Financial assets and liabilities whose values are based on quoted prices in markets in which trading occurs infrequently or whose values are based on quoted prices of instruments with similar attributes in active markets. Level 2 inputs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quoted prices for identical or similar assets or liabilities in non-active markets (such as corporate and municipal bonds that trade infrequently);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inputs other than quoted prices that are observable for substantially the full term of the asset or liability (such as interest rate and currency swaps);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inputs that are derived principally from or corroborated by observable market data for substantially the full term of the asset or liability (such as certain securities and derivatives).</w:t>
      </w:r>
    </w:p>
    <w:p>
      <w:pPr>
        <w:pStyle w:val="TextBody"/>
        <w:bidi w:val="0"/>
        <w:spacing w:before="24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Financial assets and liabilities whose values are based on prices or valuation techniques that require inputs that are both unobservable and significant to the overall fair value measurement. These inputs reflect our judgments about the assumptions a market participant would use in pricing the asset or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have any Level 2 or Level 3 financial assets or liabilities as of July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 summary of inventories, net of reserves, stated at lower of cost or net realizable value, as of July 31, 2025 and April 30, 2025 (in thousands): </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516"/>
        <w:gridCol w:w="146"/>
        <w:gridCol w:w="233"/>
        <w:gridCol w:w="862"/>
        <w:gridCol w:w="146"/>
        <w:gridCol w:w="146"/>
        <w:gridCol w:w="245"/>
        <w:gridCol w:w="910"/>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parts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Accrued Expenses and Deferred Revenue: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other accrued expenses as of July 31, 2025 and April 30, 2025 (in thousands):</w:t>
      </w:r>
    </w:p>
    <w:tbl>
      <w:tblPr>
        <w:tblW w:w="6660" w:type="dxa"/>
        <w:jc w:val="left"/>
        <w:tblInd w:w="0" w:type="dxa"/>
        <w:tblLayout w:type="fixed"/>
        <w:tblCellMar>
          <w:top w:w="28" w:type="dxa"/>
          <w:left w:w="28" w:type="dxa"/>
          <w:bottom w:w="28" w:type="dxa"/>
          <w:right w:w="28" w:type="dxa"/>
        </w:tblCellMar>
      </w:tblPr>
      <w:tblGrid>
        <w:gridCol w:w="3781"/>
        <w:gridCol w:w="146"/>
        <w:gridCol w:w="260"/>
        <w:gridCol w:w="835"/>
        <w:gridCol w:w="146"/>
        <w:gridCol w:w="146"/>
        <w:gridCol w:w="274"/>
        <w:gridCol w:w="88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 other than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customer incentives and promotions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Treasury Stock</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On September 19, 2023, our Board of Directors authorized the repurchase of up to $50.0 million of our common 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July 31, 2025, we had repurchased 312,310 shares of our common stock for $4.1 million under the 2024 Authorization.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July 31, 2025, there were no common stock repurchases. During the three months ended July 31, 2024, we repurchased a total of 870,669 shares of our common stock for $12.9 million.</w:t>
      </w:r>
    </w:p>
    <w:p>
      <w:pPr>
        <w:pStyle w:val="TextBody"/>
        <w:bidi w:val="0"/>
        <w:jc w:val="both"/>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provides a reconciliation of the net income amounts and weighted average number of common and common equivalent shares used to determine basic and diluted earnings per common share (in thousands, except per share data):</w:t>
      </w:r>
    </w:p>
    <w:tbl>
      <w:tblPr>
        <w:tblW w:w="8980" w:type="dxa"/>
        <w:jc w:val="left"/>
        <w:tblInd w:w="0" w:type="dxa"/>
        <w:tblLayout w:type="fixed"/>
        <w:tblCellMar>
          <w:top w:w="28" w:type="dxa"/>
          <w:left w:w="28" w:type="dxa"/>
          <w:bottom w:w="28" w:type="dxa"/>
          <w:right w:w="28" w:type="dxa"/>
        </w:tblCellMar>
      </w:tblPr>
      <w:tblGrid>
        <w:gridCol w:w="2281"/>
        <w:gridCol w:w="196"/>
        <w:gridCol w:w="146"/>
        <w:gridCol w:w="571"/>
        <w:gridCol w:w="166"/>
        <w:gridCol w:w="146"/>
        <w:gridCol w:w="146"/>
        <w:gridCol w:w="601"/>
        <w:gridCol w:w="146"/>
        <w:gridCol w:w="146"/>
        <w:gridCol w:w="196"/>
        <w:gridCol w:w="146"/>
        <w:gridCol w:w="482"/>
        <w:gridCol w:w="166"/>
        <w:gridCol w:w="146"/>
        <w:gridCol w:w="196"/>
        <w:gridCol w:w="146"/>
        <w:gridCol w:w="571"/>
        <w:gridCol w:w="166"/>
        <w:gridCol w:w="146"/>
        <w:gridCol w:w="146"/>
        <w:gridCol w:w="601"/>
        <w:gridCol w:w="146"/>
        <w:gridCol w:w="146"/>
        <w:gridCol w:w="196"/>
        <w:gridCol w:w="146"/>
        <w:gridCol w:w="482"/>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dilutive stock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July 31, 2025 and 2024, there were no shares excluded from the computation of diluted earnings per share as a result of the net loss for the periods.</w:t>
      </w:r>
    </w:p>
    <w:p>
      <w:pPr>
        <w:pStyle w:val="TextBody"/>
        <w:bidi w:val="0"/>
        <w:spacing w:before="240" w:after="283"/>
        <w:jc w:val="both"/>
        <w:rPr>
          <w:rFonts w:ascii="Times New Roman" w:hAnsi="Times New Roman"/>
          <w:sz w:val="20"/>
        </w:rPr>
      </w:pPr>
      <w:r>
        <w:rPr>
          <w:rFonts w:ascii="Times New Roman" w:hAnsi="Times New Roman"/>
          <w:i/>
          <w:color w:val="000000"/>
          <w:sz w:val="20"/>
        </w:rPr>
        <w:t>Incentive Stock and Employee Stock Purchase Plans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two stock incentive plans: the 2013 Incentive Stock Plan and the 2022 Incentive Stock Plan, or, together, the Incentive Stock Plans, under which employees and non-employees may be granted stock options, restricted stock awards, restricted stock units, or RSUs,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stock-based compensation expense, including purchases under our ESPP and grants of RSUs and performance-based RSUs, or PSUs, under the Incentive Stock Plans, was $1.9 million for both the three months ended July 31, 2025 and 2024. We include stock-based compensation expense in cost of sales, sales, marketing, and distribution, research and development, and general and administrative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prior to fiscal 2026 vest over a period of four years and RSUs granted during fiscal 2026 vest over a period of three years with one-fourth and one-third, respectively, of the units vesting on each grant anniversary date. We amortize the aggregate fair value of our RSU grants to compensation expense over the vesting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grant PSUs to our executive officers and, from time to time, certain management employees who are not executive officers. The PSUs vest, and the fair value of such PSUs will be recognized, over the corresponding three-year performance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July 31, 2025, we granted an aggregate of 514,952 RSUs, including 277,258 RSUs to non-executive officer employees and 237,694 RSUs to our executive officers. During the three months ended July 31, 2025, we granted 237,691 PSUs to certain of our executive officers. During the three months ended July 31, 2025, we cancelled 108,736 PSUs as a result of the failure to satisfy the performance metrics. During the three months ended July 31, 2025, we cancelled 6,557 RSUs as a result of the service conditions not being met. In connection with the vesting of RSUs, during the three months ended July 31, 2025, we delivered common stock to our employees (including our executive officers), former employees, and directors, with a total market value of $2.8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July 31, 2024, we granted an aggregate of 400,819 RSUs, including 257,937 RSUs to non-executive officer employees and 142,882 RSUs to our executive officers. During the three months ended July 31, 2024, we granted 142,878 PSUs to certain of our executive officers. During the three months ended July 31, 2024, we cancelled 63,469 PSUs as a result of the failure to satisfy the performance metrics and 10,575 RSUs as a result of the service conditions not being met. In connection with the vesting of RSUs, during the three months ended July 31, 2024, we delivered common stock to our employees (including our executive officers), former employees, and directors, with a total market value of $3.6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 summary of activity for unvested RSUs and PSUs for the three months ended July 31, 2025 and 2024 is as follows:</w:t>
      </w:r>
    </w:p>
    <w:tbl>
      <w:tblPr>
        <w:tblW w:w="9700" w:type="dxa"/>
        <w:jc w:val="left"/>
        <w:tblInd w:w="0" w:type="dxa"/>
        <w:tblLayout w:type="fixed"/>
        <w:tblCellMar>
          <w:top w:w="28" w:type="dxa"/>
          <w:left w:w="28" w:type="dxa"/>
          <w:bottom w:w="28" w:type="dxa"/>
          <w:right w:w="28" w:type="dxa"/>
        </w:tblCellMar>
      </w:tblPr>
      <w:tblGrid>
        <w:gridCol w:w="4111"/>
        <w:gridCol w:w="146"/>
        <w:gridCol w:w="146"/>
        <w:gridCol w:w="931"/>
        <w:gridCol w:w="166"/>
        <w:gridCol w:w="146"/>
        <w:gridCol w:w="254"/>
        <w:gridCol w:w="691"/>
        <w:gridCol w:w="146"/>
        <w:gridCol w:w="146"/>
        <w:gridCol w:w="146"/>
        <w:gridCol w:w="931"/>
        <w:gridCol w:w="166"/>
        <w:gridCol w:w="146"/>
        <w:gridCol w:w="146"/>
        <w:gridCol w:w="254"/>
        <w:gridCol w:w="691"/>
        <w:gridCol w:w="146"/>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6"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 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 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July 31, 2025, there was $9.1 million of unrecognized compensation expense related to unvested RSUs and PSUs. This expense is expected to be recognized over a weighted average remaining contractual term of 1.8 years. </w:t>
      </w:r>
    </w:p>
    <w:p>
      <w:pPr>
        <w:pStyle w:val="TextBody"/>
        <w:bidi w:val="0"/>
        <w:spacing w:before="360" w:after="283"/>
        <w:jc w:val="both"/>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the asset purchase agreement was signed.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In January 2024, the District Court allowed plaintiffs’ amended allegations of fraud, and denied without prejudice their motion to add punitive damages. In February 2024, the District Court set a trial date of January 6, 2025, which was later postponed. On April 16, 2025, the District Court issued an amended scheduling order. On August 15, 2025, we filed a motion for summary judgment. We believe the claims asserted in the complaint have no merit, and we intend to aggressively defend this action.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defendant in two product liability cases and are aware of four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defendants' petition to transfer, and the case was returned to the trial court. In March 2024, a bill was signed into law that purports to prohibit political subdivisions in Indiana from bringing certain legal actions against certain firearm industry members and to apply to actions or lawsuits filed before, after, or on August 27, 1999. Defendants subsequently filed a joint motion for judgment on the pleadings based on the new law. In August 2024, the trial court denied defendants’ joint motion for judgment on the pleadings and, in October 2024, stayed its proceedings pending an interlocutory appeal with the Indiana Court of Appeals. In November 2024, the Indiana Court of Appeals granted defendants’ motion to accept jurisdiction of the interlocutory appeal. In December 2024, the state of Indiana filed a notice of intervention in the appeal, which was accepted in January 2025. On February 20, 2025, defendants and the state of Indiana filed opening briefs with the Indiana Court of Appeals. The City filed its opposition brief on May 23, 2025 and, on May 30, 2025, the Indiana Court of Appeals issued a notice of defect to the City on technical grounds – the City filed a corrected brief on June 6, 2025. On July 8, 2025, the defendants and the state of Indiana filed their reply briefs. On July 14, 2025, the City filed a motion for the Indiana Court of Appeals to hear oral argument in the matter. We believe the claims asserted in the complaint have no merit, and we intend to aggressively defend this 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appeal is premature. In November 2021, the Divisional Court granted plaintiffs’ motion, staying our motion for leave to appeal until 30 days after the decision on the balance of plaintiffs’ certification motion. A hearing on plaintiffs’ certification motion was held in January 2024. In March 2024, the court denied the plaintiffs’ motion for class certification. Three appeals were filed: (1) our appeal from the dismissal of our motion to strike the negligent design claim; (2) the plaintiffs’ appeal from the order striking out their public nuisance and strict liability claims; and (3) the plaintiffs’ appeal from the order dismissing their certification motion. In August 2024, the parties filed their motions regarding the appeals. In October 2024, the parties filed their response briefs and, in December 2024, the Court of Appeals for Ontario heard the appeals together. On June 23, 2025, the Court of Appeals for Ontario issued a decision: (1) dismissing our appeal from the dismissal of our motion to strike the negligent design claim; (2) dismissing plaintiffs’ appeal from the order striking out their public nuisance and strict liability claims; and (3) granting plaintiffs’ appeal from the order dismissing their certification order and certifying their negligence claim as a class proceeding.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 (1) the Protection of Lawful Commerce in Arms Act barred plaintiffs’ product liability action; (2) plaintiffs did not have standing to maintain an action under the Unfair Competition Law for personal injury related damages, but the court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In February 2022, the court consolidated the case with three related cases, in which we are not a party. In March 2022, the court granted our motion, dismissing plaintiffs’ Unfair Competition Law claim, without further leave to amend. In February 2023, we filed a motion for summary judgment. In May 2023, the court denied our motion for summary judgment without prejudice and allowed plaintiffs time for additional discovery. A hearing on our renewed motion for summary judgment was held in October 2024. In December 2024, the court granted our renewed motion for summary judgment and we later filed a proposed notice of final judgment with the court, requesting the court to enter a final judgment in our favor and to dismiss all claims against us. In February 2025, the court entered the final judgment. On April 8, 2025, plaintiffs filed a notice of appeal with the California Court of Appeal.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defendant in an action filed in the U.S. District Court for the District of Massachusetts. In August 2021, the Mexican Government filed an action against several U.S.-based firearms manufacturers and a firearms distributor, claiming defendants design, market, distribute, and sell firearms in ways they know routinely arm the drug cartels in Mexico. Plaintiff alleges, among other claims, negligence, public nuisance, design defect, unjust enrichment, and restitution against all defendants and violation of the Massachusetts Consumer Protection Act against us alone, and is seeking monetary damages and injunctive relief. In November 2021, defendants filed motions to dismiss plaintiff’s complaint. In September 2022, the district court granted defendants’ motions to dismiss. In October 2022, plaintiff filed a notice of appeal with the U.S. Court of Appeals for the First Circuit. In January 2024, the First Circuit reversed the trial court’s dismissal of the case. In April 2024, defendants filed a Petition for a Writ of Certiorari with the U.S. Supreme Court. In August 2024, the district court dismissed the case against six of the eight defendants in the lawsuit (excluding us) based on personal jurisdiction grounds. In October 2024, the U.S. Supreme Court granted defendants’ Petition for Writ of Certiorari, and the district court issued an order staying the case pending the U.S. Supreme Court’s review. On June 5, 2025, the U.S. Supreme Court ruled in our favor, holding that the Protection of Lawful Commerce in Arms Act bars the lawsuit because the Mexican Government's complaint does not plausibly allege that the defendant firearm manufacturers aided and abetted firearm dealers' unlawful sales of firearms to Mexican traffickers. The U.S. Supreme Court reversed and remanded the action to the U.S. Court of Appeals for the First Circuit for further proceedings consistent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its opinion. On July 8, 2025, the U.S. Court of Appeals for the First Circuit affirmed the district court’s decision and remanded the case to the district court for further proceedings consistent with the U.S. Supreme Court’s opinion. On August 19, 2025, the district court issued an order dismissing all of the plaintiffs'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 purposes. In December 2022, plaintiffs filed motions to remand the cases back to the state court. In September 2023, the court granted plaintiffs’ motion to remand. In October 2023, we filed a notice of appeal to the U.S. Court of Appeals for the Seventh Circuit. In March 2024, three new lawsuits were filed in the Circuit Court of Lake County, Illinois. In April 2024, the Seventh Circuit affirmed the remand decision. In May 2024, plaintiffs filed a motion for attorneys’ fees incurred as a result of removal, and we filed an opposition to plaintiffs’ motion. In March 2025, the district court granted plaintiffs’ motion, ordering us to pay certain of plaintiffs’ attorneys’ fees.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the Illinois Consumer Fraud and Deceptive Business Practices Act, negligent and intentional infliction of emotional distress, and negligent entrustment. We were also named in 13 additional separate cases against us in the same state court during the same time period, largely raising similar allegations against us as in the initial and amended complaints. In July 2024, the trial court consolidated all cases for purposes of motions to dismiss and discovery. In September 2024, we filed our motions to dismiss plaintiffs’ 25 separate complaints. On April 1, 2025, the court granted our motion to dismiss without prejudice with respect to plaintiffs’ counts for violation of the Illinois Consumer Fraud and Deceptive Business Practices Act for lack of standing (with respect to the deceptive claims only) and negligent entrustment and denied all remaining counts. Later in April 2025, plaintiffs served their first set of written discovery and we filed a motion to certify issues for interlocutory appeal with the trial court. On May 1, 2025, the court ordered an expedited briefing schedule for the motion and stayed discovery. On June 5, 2025, the court certified several issues for interlocutory appeal, lifted the discovery stay, set an initial trial date for March 8, 2027, and scheduled a status conference, which was held on August 14, 2025. We also filed our answers to plaintiffs' complaints. On July 7, 2025, we filed an application for interlocutory appeal with the Court of Appeal.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the New York General Business Law, public nuisance, and deceptive business practices in violation of the New York General Business Law. In January 2023, we filed notices of removal of the cases to the U.S. District Court for the Western District of New York. In March 2023, defendants filed a motion to stay both cases pending a ruling by the U.S. Court of Appeals for the Second Circuit in the NSSF v. James case. In June 2023, the court granted defendants’ motions to consolidate and to stay pending resolution of the NSSF v. James appeal. On July 10, 2025, the U.S. Court of Appeals for the Second Circuit ruled against NSSF in the NSSF v. James appeal. Later, the court granted the parties’ joint briefing schedule, setting September 25, 2025 as the deadline for defendants to file their motion to dismiss the complaint.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 various allegations as described above are unfounded, and, in addition, that any incident and any results from them or any injuries were due to negligence or misuse of the firearm by the claimant or a third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from time to time, we are involved in lawsuits, claims, investigations, and proceedings, including commercial, environmental, premises, and employment matters, which arise in the ordinary course of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involved in a putative stockholder derivative lawsuit filed on February 4, 2025 in the U.S. District Court for the District of Nevada. The action was brought by plaintiffs seeking to act on our behalf against our directors and certain of our executive officers. The complaint alleges a breach of fiduciary duty (for allegedly allowing us to become exposed to significant liability for intentionally violating federal, state, and local laws through our manufacturing, marketing, and sales of “AR-15 style rifles” and similar semiautomatic firearms) and violations of Section 14(a) of the Exchange Act. The derivative plaintiffs seek, among other things, damages, as well as reforms and improvements to our compliance procedures and governance policies. In May 2025, we filed a motion to dismiss plaintiffs’ complaint. On June 30, 2025, plaintiffs filed an opposition brief to our motion to dismiss. On July 28, 2025, we filed a reply to plaintiffs’ opposition brief.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were named in a putative class action lawsuit filed on April 4, 2025 in the U.S. District for the Northern District of California. The complaint alleges violation of the California Invasion of Privacy Act, the California Privacy Act, invasion of privacy, intrusion upon seclusion, fraud/deceit/misrepresentation, breach of contract, breach of implied contract and fair dealing, trespass to chattels, and unjust enrichment. Plaintiffs allege that after they clicked on the “reject all” cookies button on our website, our website enabled third parties to place cookies and similar tracking technologies on their browsers and devices and/or to transmit their user data to third parties for their financial gain and other purposes. Plaintiffs seek compensatory damages (including statutory damages), punitive damages, nominal damages, restitution, disgorgement of revenues and profits, injunctive relief, and attorneys’ fees and costs. On May 30, 2025, we filed a motion to dismiss plaintiffs’ complaint. On July 11, 2025, plaintiffs filed an opposition brief to our motion to dismiss. On August 1, 2025, we filed a reply to plaintiffs’ opposition brief.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this time, an estimated range of reasonably possible additional losses relating to unfavorable outcomes cannot be made.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the IDB in the event that our actual capital expenditures, number of employees, or average hourly wage of such employees are less than our projections.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our business as one operating segment, which also represents one reportable segment: firearms. Therefore, our operating results are reported on a consolidated basis for purposes of segment reporting, consistent with internal management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firearms segment is engaged in the design, manufacture, and sale of a variety of firearms and firearm-related products. Our Chief Executive Officer has been identified as the chief operating decision maker, or CODM. The CODM manages and allocates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2025 and 2024</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resources on a consolidated basis. The determination of a single segment is consistent with the financial information regularly reviewed by the CODM for purposes of evaluating our performance and allocating resources, which is reviewed on a consolidated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our CODM evaluates the financial performance of our firearms segment on a consolidated basis, the measure of segment performance is net income, as reflected in our consolidated statements of operations. The CODM uses net income to allocate resources on a consolidated basis, which enables the CODM to assess both the overall level of resources available and to optimize the distribution of resources in line with our long-term strategic goals. Our segment net sales, segment significant expenses, and segment profit, as provided to the CODM, align to the captions presented on our consolidated statements of operations. As we manage our assets on a consolidated basis, the measure of segment assets is total assets, as reflected in the consolidated balance sheets.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additional segment information not already disclosed elsewhere (in thousands):</w:t>
      </w:r>
    </w:p>
    <w:tbl>
      <w:tblPr>
        <w:tblW w:w="4946" w:type="dxa"/>
        <w:jc w:val="left"/>
        <w:tblInd w:w="0" w:type="dxa"/>
        <w:tblLayout w:type="fixed"/>
        <w:tblCellMar>
          <w:top w:w="28" w:type="dxa"/>
          <w:left w:w="28" w:type="dxa"/>
          <w:bottom w:w="28" w:type="dxa"/>
          <w:right w:w="28" w:type="dxa"/>
        </w:tblCellMar>
      </w:tblPr>
      <w:tblGrid>
        <w:gridCol w:w="1771"/>
        <w:gridCol w:w="146"/>
        <w:gridCol w:w="307"/>
        <w:gridCol w:w="919"/>
        <w:gridCol w:w="241"/>
        <w:gridCol w:w="212"/>
        <w:gridCol w:w="307"/>
        <w:gridCol w:w="832"/>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anagements_discussion"/>
      <w:bookmarkEnd w:id="8"/>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Please refer to the Management’s Discussion and Analysis of Financial Condition and Results of Operations in our Fiscal 2025 Annual Report and our unaudited condensed consolidated financial statements included in Item 1 of this Quarterly Report on Form 10-Q. This section sets forth key objectives and performance indicators used by us as well as key industry data tracked by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section generally discusses year-to-year comparisons between the three months ended July 31, 2025 and 2024. A discussion of our results of operations, liquidity, and capital resources for the three months ended July 31, 2024 compared to July 31, 2023 is not included in this Quarterly Report on Form 10-Q and can be found in Item 2, "Management's Discussion and Analysis of Financial Condition and Results of Operations" of our Quarterly Report on Form 10-Q for the quarterly period ended July 31, 2024, filed with the SEC on September 5, 2024. See also the discussion below related to an immaterial correction of an error.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First Quarter Fiscal 2026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for the three months ended July 31, 2025 included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were $85.1 million, a decrease of $3.3 million, or 3.7%, from the comparable quarter last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margin was 25.9% compared with gross margin of 27.4% for the comparable quarter last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loss was $3.4 million, or $0.08 per diluted share, compared with $1.9 million, or $0.04 per diluted share, for the comparable quarter last year. </w:t>
      </w:r>
    </w:p>
    <w:p>
      <w:pPr>
        <w:pStyle w:val="TextBody"/>
        <w:bidi w:val="0"/>
        <w:spacing w:before="360" w:after="283"/>
        <w:jc w:val="both"/>
        <w:rPr>
          <w:rFonts w:ascii="Times New Roman" w:hAnsi="Times New Roman"/>
          <w:sz w:val="20"/>
        </w:rPr>
      </w:pPr>
      <w:r>
        <w:rPr>
          <w:rFonts w:ascii="Times New Roman" w:hAnsi="Times New Roman"/>
          <w:b/>
          <w:color w:val="000000"/>
          <w:sz w:val="20"/>
        </w:rPr>
        <w:t>Immaterial Correction of an Error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the fourth quarter of fiscal 2025, we identified an immaterial error related to our accrual for certain legal expenses, resulting in an overstatement of general and administrative expenses in the interim and annual periods for the fiscal year ended April 30, 2024 and during the interim periods for the fiscal year ended April 30, 2025. In accordance with SAB No. 99, </w:t>
      </w:r>
      <w:r>
        <w:rPr>
          <w:rFonts w:ascii="Times New Roman" w:hAnsi="Times New Roman"/>
          <w:i/>
          <w:color w:val="000000"/>
          <w:sz w:val="20"/>
        </w:rPr>
        <w:t xml:space="preserve">Materiality, </w:t>
      </w:r>
      <w:r>
        <w:rPr>
          <w:rFonts w:ascii="Times New Roman" w:hAnsi="Times New Roman"/>
          <w:color w:val="000000"/>
          <w:sz w:val="20"/>
        </w:rPr>
        <w:t xml:space="preserve">and SAB No. 108, </w:t>
      </w:r>
      <w:r>
        <w:rPr>
          <w:rFonts w:ascii="Times New Roman" w:hAnsi="Times New Roman"/>
          <w:i/>
          <w:color w:val="000000"/>
          <w:sz w:val="20"/>
        </w:rPr>
        <w:t>Considering the Effects of Prior Year Misstatements when Quantifying Misstatements in Current Year Financial Statements</w:t>
      </w:r>
      <w:r>
        <w:rPr>
          <w:rFonts w:ascii="Times New Roman" w:hAnsi="Times New Roman"/>
          <w:color w:val="000000"/>
          <w:sz w:val="20"/>
        </w:rPr>
        <w:t>, we evaluated the quantitative and qualitative considerations of the error and determined that the related impact was not material to the results of operations, financial position, or cash flows for any historical annual or interim period. Prior year amounts have been adjusted to correct the immaterial error, which overstated general and administrative expenses by $336,000 and understated income tax expense by $85,000 for the three months ended July 31, 2024. Related changes to net income, corresponding line items within cash provided by operating activities, and related disclosures within the notes accompanying these financial statements reflect the immaterial correction.</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Sales and Gross Profit – For the Three Months Ended July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net sales and gross profit for the three months ended July 31, 2025 and 2024 (dollars in thousands): </w:t>
      </w:r>
    </w:p>
    <w:p>
      <w:pPr>
        <w:pStyle w:val="TextBody"/>
        <w:bidi w:val="0"/>
        <w:jc w:val="both"/>
        <w:rPr/>
      </w:pPr>
      <w:r>
        <w:rPr/>
        <w:t> </w:t>
      </w:r>
    </w:p>
    <w:tbl>
      <w:tblPr>
        <w:tblW w:w="7760" w:type="dxa"/>
        <w:jc w:val="left"/>
        <w:tblInd w:w="0" w:type="dxa"/>
        <w:tblLayout w:type="fixed"/>
        <w:tblCellMar>
          <w:top w:w="28" w:type="dxa"/>
          <w:left w:w="28" w:type="dxa"/>
          <w:bottom w:w="28" w:type="dxa"/>
          <w:right w:w="28" w:type="dxa"/>
        </w:tblCellMar>
      </w:tblPr>
      <w:tblGrid>
        <w:gridCol w:w="2631"/>
        <w:gridCol w:w="346"/>
        <w:gridCol w:w="211"/>
        <w:gridCol w:w="676"/>
        <w:gridCol w:w="271"/>
        <w:gridCol w:w="146"/>
        <w:gridCol w:w="211"/>
        <w:gridCol w:w="676"/>
        <w:gridCol w:w="271"/>
        <w:gridCol w:w="146"/>
        <w:gridCol w:w="211"/>
        <w:gridCol w:w="736"/>
        <w:gridCol w:w="166"/>
        <w:gridCol w:w="146"/>
        <w:gridCol w:w="916"/>
      </w:tblGrid>
      <w:tr>
        <w:trPr/>
        <w:tc>
          <w:tcPr>
            <w:tcW w:w="2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products &amp;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-36.7%</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net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-1.8%</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-8.7%</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net sales (gross margin)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sets forth certain information regarding firearm units shipped by trade channel for the three months ended July 31, 2025 and 2024 (units in thousands):</w:t>
      </w:r>
    </w:p>
    <w:p>
      <w:pPr>
        <w:pStyle w:val="TextBody"/>
        <w:bidi w:val="0"/>
        <w:jc w:val="both"/>
        <w:rPr/>
      </w:pPr>
      <w:r>
        <w:rPr/>
        <w:t> </w:t>
      </w:r>
    </w:p>
    <w:tbl>
      <w:tblPr>
        <w:tblW w:w="6829" w:type="dxa"/>
        <w:jc w:val="left"/>
        <w:tblInd w:w="0" w:type="dxa"/>
        <w:tblLayout w:type="fixed"/>
        <w:tblCellMar>
          <w:top w:w="28" w:type="dxa"/>
          <w:left w:w="28" w:type="dxa"/>
          <w:bottom w:w="28" w:type="dxa"/>
          <w:right w:w="28" w:type="dxa"/>
        </w:tblCellMar>
      </w:tblPr>
      <w:tblGrid>
        <w:gridCol w:w="2941"/>
        <w:gridCol w:w="146"/>
        <w:gridCol w:w="146"/>
        <w:gridCol w:w="421"/>
        <w:gridCol w:w="146"/>
        <w:gridCol w:w="146"/>
        <w:gridCol w:w="146"/>
        <w:gridCol w:w="421"/>
        <w:gridCol w:w="146"/>
        <w:gridCol w:w="146"/>
        <w:gridCol w:w="222"/>
        <w:gridCol w:w="574"/>
        <w:gridCol w:w="166"/>
        <w:gridCol w:w="146"/>
        <w:gridCol w:w="9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Sporting Goods Channel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-28.1%</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Professional Channel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-57.1%</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Sales of our handguns increased $11.7 million, or 21.9%, over the comparable quarter last year, primarily as a result of increased shipments of newly introduced products (defined as any new SKU not shipped in the comparable period last year), partially offset by a shift in product mix to lower priced models. Shipments of new products represented 37.7% of handgun sales in the quarter. Handgun unit shipments into the sporting goods channel increased by 35.1% from the comparable quarter last year while overall consumer handgun demand decreased by 2.4% (as indicated by adjusted background checks reported in the National Instant Criminal Background Check System, or NICS).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our long guns decreased $11.1 million, or 45.0%, from the comparable quarter last year, primarily as a result of lower consumer demand within the industry during the period. Shipments of newly introduced products represented 53.2% of long gun sales in the period. Long gun unit shipments into our sporting goods channel decreased by 28.1% from the comparable quarter last year while overall consumer demand for long guns decreased by 7.8% (as indicated by NICS). We believe the difference in our unit demand compared to NICS results was driven by stronger relative performance in categories in which we do not participate fully, specifically hunting.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products and services revenue decreased $3.8 million, or 36.7%, from the comparable quarter last year, primarily because of lower business-to-business and suppressor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Newly introduced products represented 37.3% of net sales for the three months ended July 31, 2025 and included three new pistols, three new long guns, and many new product line extensions.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margin for the three months ended July 31, 2025 was 25.9% compared with 27.4% for the comparable quarter last year, primarily driven by unfavorable fixed-cost absorption from lower production volumes and higher tariffs on imported materials and components, partially offset by favorable inventory adjustments (including standard cost revaluations, shrink, and excess inventory write downs), lower promotional costs, and lower federal firearms excise taxes as a result of the favorable completion of a recent audit. We estimate higher tariffs negatively impacted gross margin by approximately 120 basis points when compared to the comparable quarter last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Inventory balances increased $13.3 million between April 30, 2025 and July 31, 2025 as a result of level loading of our manufacturing facilities to ensure our ability to satisfy anticipated future demand.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decline during the remainder of the fiscal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161616"/>
          <w:sz w:val="20"/>
        </w:rPr>
      </w:pPr>
      <w:r>
        <w:rPr>
          <w:rFonts w:ascii="Times New Roman" w:hAnsi="Times New Roman"/>
          <w:b/>
          <w:i/>
          <w:color w:val="161616"/>
          <w:sz w:val="20"/>
        </w:rPr>
        <w:t>Operating Expenses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operating expenses for the three months ended July 31, 2025 and 2024 (dollars in thousands):</w:t>
      </w:r>
    </w:p>
    <w:tbl>
      <w:tblPr>
        <w:tblW w:w="8511" w:type="dxa"/>
        <w:jc w:val="left"/>
        <w:tblInd w:w="0" w:type="dxa"/>
        <w:tblLayout w:type="fixed"/>
        <w:tblCellMar>
          <w:top w:w="28" w:type="dxa"/>
          <w:left w:w="28" w:type="dxa"/>
          <w:bottom w:w="28" w:type="dxa"/>
          <w:right w:w="28" w:type="dxa"/>
        </w:tblCellMar>
      </w:tblPr>
      <w:tblGrid>
        <w:gridCol w:w="3016"/>
        <w:gridCol w:w="346"/>
        <w:gridCol w:w="211"/>
        <w:gridCol w:w="676"/>
        <w:gridCol w:w="271"/>
        <w:gridCol w:w="146"/>
        <w:gridCol w:w="211"/>
        <w:gridCol w:w="676"/>
        <w:gridCol w:w="271"/>
        <w:gridCol w:w="146"/>
        <w:gridCol w:w="211"/>
        <w:gridCol w:w="631"/>
        <w:gridCol w:w="166"/>
        <w:gridCol w:w="146"/>
        <w:gridCol w:w="189"/>
        <w:gridCol w:w="682"/>
        <w:gridCol w:w="516"/>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marketing, and distribution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sale/disposition of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net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increased $492,000 over the prior year comparable quarter because of higher tooling-related costs associated with new product development, partially offset by lower compensation-related costs. Selling, marketing, and distribution expenses decreased $1.1 million, primarily as a result of lower promotional costs and the timing of certain industry events. General and administrative expenses were largely flat compared to the prior year comparable quarter.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Loss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operating loss for the three months ended July 31, 2025 and 2024 (dollars in thousands):</w:t>
      </w:r>
    </w:p>
    <w:tbl>
      <w:tblPr>
        <w:tblW w:w="8396" w:type="dxa"/>
        <w:jc w:val="left"/>
        <w:tblInd w:w="0" w:type="dxa"/>
        <w:tblLayout w:type="fixed"/>
        <w:tblCellMar>
          <w:top w:w="28" w:type="dxa"/>
          <w:left w:w="28" w:type="dxa"/>
          <w:bottom w:w="28" w:type="dxa"/>
          <w:right w:w="28" w:type="dxa"/>
        </w:tblCellMar>
      </w:tblPr>
      <w:tblGrid>
        <w:gridCol w:w="2991"/>
        <w:gridCol w:w="346"/>
        <w:gridCol w:w="211"/>
        <w:gridCol w:w="631"/>
        <w:gridCol w:w="271"/>
        <w:gridCol w:w="146"/>
        <w:gridCol w:w="211"/>
        <w:gridCol w:w="631"/>
        <w:gridCol w:w="271"/>
        <w:gridCol w:w="146"/>
        <w:gridCol w:w="211"/>
        <w:gridCol w:w="631"/>
        <w:gridCol w:w="166"/>
        <w:gridCol w:w="146"/>
        <w:gridCol w:w="207"/>
        <w:gridCol w:w="664"/>
        <w:gridCol w:w="516"/>
      </w:tblGrid>
      <w:tr>
        <w:trPr/>
        <w:tc>
          <w:tcPr>
            <w:tcW w:w="2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net sales (operating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Operating loss for the three months ended July 31, 2025 increased</w:t>
      </w:r>
      <w:r>
        <w:rPr>
          <w:rFonts w:ascii="Times New Roman" w:hAnsi="Times New Roman"/>
          <w:color w:val="161616"/>
          <w:sz w:val="20"/>
        </w:rPr>
        <w:t xml:space="preserve"> $1.4 m</w:t>
      </w:r>
      <w:r>
        <w:rPr>
          <w:rFonts w:ascii="Times New Roman" w:hAnsi="Times New Roman"/>
          <w:color w:val="000000"/>
          <w:sz w:val="20"/>
        </w:rPr>
        <w:t xml:space="preserve">illion over the comparable quarter last year, </w:t>
      </w:r>
      <w:r>
        <w:rPr>
          <w:rFonts w:ascii="Times New Roman" w:hAnsi="Times New Roman"/>
          <w:color w:val="161616"/>
          <w:sz w:val="20"/>
        </w:rPr>
        <w:t xml:space="preserve">primarily </w:t>
      </w:r>
      <w:r>
        <w:rPr>
          <w:rFonts w:ascii="Times New Roman" w:hAnsi="Times New Roman"/>
          <w:color w:val="000000"/>
          <w:sz w:val="20"/>
        </w:rPr>
        <w:t>for the reasons outlined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interest expense, net for the three months ended July 31, 2025 and 2024 (dollars in thousands): </w:t>
      </w:r>
    </w:p>
    <w:tbl>
      <w:tblPr>
        <w:tblW w:w="6370" w:type="dxa"/>
        <w:jc w:val="left"/>
        <w:tblInd w:w="0" w:type="dxa"/>
        <w:tblLayout w:type="fixed"/>
        <w:tblCellMar>
          <w:top w:w="28" w:type="dxa"/>
          <w:left w:w="28" w:type="dxa"/>
          <w:bottom w:w="28" w:type="dxa"/>
          <w:right w:w="28" w:type="dxa"/>
        </w:tblCellMar>
      </w:tblPr>
      <w:tblGrid>
        <w:gridCol w:w="1771"/>
        <w:gridCol w:w="146"/>
        <w:gridCol w:w="211"/>
        <w:gridCol w:w="631"/>
        <w:gridCol w:w="166"/>
        <w:gridCol w:w="146"/>
        <w:gridCol w:w="211"/>
        <w:gridCol w:w="481"/>
        <w:gridCol w:w="166"/>
        <w:gridCol w:w="146"/>
        <w:gridCol w:w="242"/>
        <w:gridCol w:w="554"/>
        <w:gridCol w:w="166"/>
        <w:gridCol w:w="146"/>
        <w:gridCol w:w="207"/>
        <w:gridCol w:w="664"/>
        <w:gridCol w:w="31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net increased by $473,000 over the comparable quarter last year, primarily as a result of higher average debt balances and lower average cash balances during the three months ended July 31, 2025 compared with the comparable quarter last year.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income tax expense for the three months ended July 31, 2025 and 2024 (dollars in thousands):</w:t>
      </w:r>
    </w:p>
    <w:tbl>
      <w:tblPr>
        <w:tblW w:w="9235" w:type="dxa"/>
        <w:jc w:val="left"/>
        <w:tblInd w:w="0" w:type="dxa"/>
        <w:tblLayout w:type="fixed"/>
        <w:tblCellMar>
          <w:top w:w="28" w:type="dxa"/>
          <w:left w:w="28" w:type="dxa"/>
          <w:bottom w:w="28" w:type="dxa"/>
          <w:right w:w="28" w:type="dxa"/>
        </w:tblCellMar>
      </w:tblPr>
      <w:tblGrid>
        <w:gridCol w:w="4176"/>
        <w:gridCol w:w="346"/>
        <w:gridCol w:w="211"/>
        <w:gridCol w:w="481"/>
        <w:gridCol w:w="271"/>
        <w:gridCol w:w="146"/>
        <w:gridCol w:w="211"/>
        <w:gridCol w:w="481"/>
        <w:gridCol w:w="271"/>
        <w:gridCol w:w="146"/>
        <w:gridCol w:w="242"/>
        <w:gridCol w:w="554"/>
        <w:gridCol w:w="166"/>
        <w:gridCol w:w="146"/>
        <w:gridCol w:w="207"/>
        <w:gridCol w:w="664"/>
        <w:gridCol w:w="516"/>
      </w:tblGrid>
      <w:tr>
        <w:trPr/>
        <w:tc>
          <w:tcPr>
            <w:tcW w:w="41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income from operations (effective tax rate)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 benefit increased $281,000 from the comparable quarter last year, primarily as a result of higher operating loss. Before adjusting for discrete items related to stock-based compensation, the effective tax rate was 33.7% in the current quarter and 25.5% in the prior year comparable quarter. The increase in the effective tax rate before adjusting for discrete items was due to decreased forecasted pretax income and changes in state apportionment.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4, 2025, the reconciliation bill, commonly known as the One Big Beautiful Bill Act, or the OBBBA, was enacted into law. The OBBBA, among other things, eliminates the requirement to capitalize U.S. research and development expenses, permanently extends certain provisions of the Tax Cuts &amp; Jobs Act of 2017, and modifies certain international tax provisions, including changes to the foreign-derived intangible income regime, with effective dates beginning in calendar year 2025 and extending through calendar year 2027. As the OBBBA was enacted during the fiscal quarter ended July 31, 2025, we have considered and reflected the impacts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consolidated financial statements. We do not expect the impact of these provisions to have a material impact on the consolidated financial statements.</w:t>
      </w:r>
    </w:p>
    <w:p>
      <w:pPr>
        <w:pStyle w:val="TextBody"/>
        <w:bidi w:val="0"/>
        <w:spacing w:before="240" w:after="283"/>
        <w:jc w:val="both"/>
        <w:rPr>
          <w:rFonts w:ascii="Times New Roman" w:hAnsi="Times New Roman"/>
          <w:sz w:val="20"/>
        </w:rPr>
      </w:pPr>
      <w:r>
        <w:rPr>
          <w:rFonts w:ascii="Times New Roman" w:hAnsi="Times New Roman"/>
          <w:b/>
          <w:i/>
          <w:color w:val="000000"/>
          <w:sz w:val="20"/>
        </w:rPr>
        <w:t>Net Loss</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net loss and the related per share data for the three months ended July 31, 2025 and 2024 (dollars in thousands, except per share data):</w:t>
      </w:r>
    </w:p>
    <w:tbl>
      <w:tblPr>
        <w:tblW w:w="6786" w:type="dxa"/>
        <w:jc w:val="left"/>
        <w:tblInd w:w="0" w:type="dxa"/>
        <w:tblLayout w:type="fixed"/>
        <w:tblCellMar>
          <w:top w:w="28" w:type="dxa"/>
          <w:left w:w="28" w:type="dxa"/>
          <w:bottom w:w="28" w:type="dxa"/>
          <w:right w:w="28" w:type="dxa"/>
        </w:tblCellMar>
      </w:tblPr>
      <w:tblGrid>
        <w:gridCol w:w="1591"/>
        <w:gridCol w:w="346"/>
        <w:gridCol w:w="211"/>
        <w:gridCol w:w="631"/>
        <w:gridCol w:w="166"/>
        <w:gridCol w:w="146"/>
        <w:gridCol w:w="211"/>
        <w:gridCol w:w="631"/>
        <w:gridCol w:w="166"/>
        <w:gridCol w:w="146"/>
        <w:gridCol w:w="211"/>
        <w:gridCol w:w="631"/>
        <w:gridCol w:w="166"/>
        <w:gridCol w:w="146"/>
        <w:gridCol w:w="177"/>
        <w:gridCol w:w="694"/>
        <w:gridCol w:w="516"/>
      </w:tblGrid>
      <w:tr>
        <w:trPr/>
        <w:tc>
          <w:tcPr>
            <w:tcW w:w="1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Net loss for the three months ended July 31, 2025 was $3.4 million</w:t>
      </w:r>
      <w:r>
        <w:rPr>
          <w:rFonts w:ascii="Times New Roman" w:hAnsi="Times New Roman"/>
          <w:color w:val="161616"/>
          <w:sz w:val="20"/>
        </w:rPr>
        <w:t xml:space="preserve"> co</w:t>
      </w:r>
      <w:r>
        <w:rPr>
          <w:rFonts w:ascii="Times New Roman" w:hAnsi="Times New Roman"/>
          <w:color w:val="000000"/>
          <w:sz w:val="20"/>
        </w:rPr>
        <w:t xml:space="preserve">mpared with </w:t>
      </w:r>
      <w:r>
        <w:rPr>
          <w:rFonts w:ascii="Times New Roman" w:hAnsi="Times New Roman"/>
          <w:color w:val="161616"/>
          <w:sz w:val="20"/>
        </w:rPr>
        <w:t>$1.9 million</w:t>
      </w:r>
      <w:r>
        <w:rPr>
          <w:rFonts w:ascii="Times New Roman" w:hAnsi="Times New Roman"/>
          <w:color w:val="000000"/>
          <w:sz w:val="20"/>
        </w:rPr>
        <w:t xml:space="preserve"> for the comparable quarter last year for the reasons outlined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cash requirements are to finance the growth of our operations, including working capital and capital expenditures, and return capital to stockholders. Capital expenditures for new product development and repair and replacement of equipment represent important cash needs.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certain cash flow information for the three months ended July 31, 2025 and 2024 (dollars in thousands):</w:t>
      </w:r>
    </w:p>
    <w:tbl>
      <w:tblPr>
        <w:tblW w:w="5744" w:type="dxa"/>
        <w:jc w:val="left"/>
        <w:tblInd w:w="0" w:type="dxa"/>
        <w:tblLayout w:type="fixed"/>
        <w:tblCellMar>
          <w:top w:w="28" w:type="dxa"/>
          <w:left w:w="28" w:type="dxa"/>
          <w:bottom w:w="28" w:type="dxa"/>
          <w:right w:w="28" w:type="dxa"/>
        </w:tblCellMar>
      </w:tblPr>
      <w:tblGrid>
        <w:gridCol w:w="1741"/>
        <w:gridCol w:w="146"/>
        <w:gridCol w:w="211"/>
        <w:gridCol w:w="631"/>
        <w:gridCol w:w="166"/>
        <w:gridCol w:w="146"/>
        <w:gridCol w:w="211"/>
        <w:gridCol w:w="736"/>
        <w:gridCol w:w="166"/>
        <w:gridCol w:w="146"/>
        <w:gridCol w:w="211"/>
        <w:gridCol w:w="676"/>
        <w:gridCol w:w="166"/>
        <w:gridCol w:w="3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was $8.1 million for the three months ended July 31, 2025 compared with $30.8 million for the three months ended July 31, 2024. The improvement was primarily driven by a $24.0 million reduction in working capital usage.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Working capital usage for the three months ended July 31, 2025 was favorably impacted by a $16.1 million reduction associated with inventory, a $5.3 million reduction associated with accounts payable, a $3.5 million reduction associated with accrued payroll and incentives, and a $3.3 million reduction associated with accounts receivable, partially offset by a $4.6 million increase in working capital usage associated with accrued expenses and deferred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increased $2.8 million for the three months ended July 31, 2025 compared with the prior year comparable period, primarily as a result of $3.2 million of purchases of marketable securities during the three months ended July 31, 2025 compared to no purchases in the prior 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expect to spend $25.0 million to $30.0 million on capital expenditures in fiscal 2026.</w:t>
      </w:r>
    </w:p>
    <w:p>
      <w:pPr>
        <w:pStyle w:val="TextBody"/>
        <w:bidi w:val="0"/>
        <w:spacing w:before="360" w:after="283"/>
        <w:jc w:val="both"/>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financing activities was $8.3 million for the three months ended July 31, 2025 compared with $10.2 million for the three months ended July 31, 2024. Cash provided by financing activities during the three months ended July 31, 2025 was primarily the result of $15.0 million in net borrowings under our revolving line of credit, partially offset by $5.9 million in dividend distributions. </w:t>
      </w:r>
    </w:p>
    <w:p>
      <w:pPr>
        <w:pStyle w:val="TextBody"/>
        <w:bidi w:val="0"/>
        <w:spacing w:before="240" w:after="283"/>
        <w:jc w:val="both"/>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 We entered into the Second Amended and Restated Credit Agreement on October 3, 2024. The Second Amended and Restated Credit Agreement provides for a revolving line of credit of $175.0 million at any one time, or the Revolving Line. The Revolving Line bears interest at either the Base Rate (as defined in the Second Amended and Restated Credit Agreement)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15, 2025, we entered into the First Amendment, which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2025, we had $95.0 million of borrowings outstanding on the Revolving Line, bearing interest at an average rate of 6.69%, which is equal to the Adjusted Term SOFR rate plus an applicable margin.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for our credit facility contains financial covenants relating to maintaining maximum leverage and minimum debt service coverage. We were in compliance with all debt covenants as of July 31, 2025.</w:t>
      </w:r>
    </w:p>
    <w:p>
      <w:pPr>
        <w:pStyle w:val="TextBody"/>
        <w:bidi w:val="0"/>
        <w:spacing w:before="240" w:after="240"/>
        <w:jc w:val="both"/>
        <w:rPr>
          <w:rFonts w:ascii="Times New Roman" w:hAnsi="Times New Roman"/>
          <w:sz w:val="20"/>
        </w:rPr>
      </w:pPr>
      <w:r>
        <w:rPr>
          <w:rFonts w:ascii="Times New Roman" w:hAnsi="Times New Roman"/>
          <w:i/>
          <w:color w:val="000000"/>
          <w:sz w:val="20"/>
        </w:rPr>
        <w:t>Share Repurchase Programs</w:t>
      </w:r>
      <w:r>
        <w:rPr>
          <w:rFonts w:ascii="Times New Roman" w:hAnsi="Times New Roman"/>
          <w:color w:val="000000"/>
          <w:sz w:val="20"/>
        </w:rPr>
        <w:t xml:space="preserve"> — On September 19, 2023, our Board of Directors authorized the repurchase of up to $50.0 million of our common 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July 31, 2025, we had repurchased 312,310 shares of our common stock for $4.1 million under the 2024 Authorization.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the three months ended July 31, 2025, there were no common stock repurchases. During the three months ended July 31, 2024, we repurchased a total of 870,669 shares of our common stock for $12.9 million. </w:t>
      </w:r>
    </w:p>
    <w:p>
      <w:pPr>
        <w:pStyle w:val="TextBody"/>
        <w:bidi w:val="0"/>
        <w:jc w:val="both"/>
        <w:rPr>
          <w:rFonts w:ascii="Times New Roman" w:hAnsi="Times New Roman"/>
          <w:sz w:val="20"/>
        </w:rPr>
      </w:pPr>
      <w:r>
        <w:rPr>
          <w:rFonts w:ascii="Times New Roman" w:hAnsi="Times New Roman"/>
          <w:i/>
          <w:color w:val="000000"/>
          <w:sz w:val="20"/>
        </w:rPr>
        <w:t xml:space="preserve">Dividends — </w:t>
      </w:r>
      <w:r>
        <w:rPr>
          <w:rFonts w:ascii="Times New Roman" w:hAnsi="Times New Roman"/>
          <w:color w:val="000000"/>
          <w:sz w:val="20"/>
        </w:rPr>
        <w:t>Our Board of Directors has authorized a $0.13 per share quarterly dividend, which will be paid to stockholders of record on September 18, 2025 with payment to be made on October 2,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related to the Relocation. Future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2025, we had $18.0 million in cash and cash equivalents on hand. Based upon our current working capital position, current operating plans, and expected business conditions, we believe that our existing capital resources and credit facilities will be adequate to fund our operations for at least the next 12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Critical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2025 Annual Report. The most significant areas involving our judgments and estimates are described in Management’s Discussion and Analysis of Financial Condition and Results of Operations in our Fiscal 2025 Annual Report, to which there have been no material changes. Actual results could differ from our estimates. </w:t>
      </w:r>
    </w:p>
    <w:p>
      <w:pPr>
        <w:pStyle w:val="TextBody"/>
        <w:bidi w:val="0"/>
        <w:spacing w:before="24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nature and impact of recent accounting pronouncements, if any, is discussed in Note </w:t>
      </w:r>
      <w:r>
        <w:rPr>
          <w:rFonts w:ascii="Times New Roman" w:hAnsi="Times New Roman"/>
          <w:i/>
          <w:color w:val="000000"/>
          <w:sz w:val="20"/>
        </w:rPr>
        <w:t>2—Basis of Presentation</w:t>
      </w:r>
      <w:r>
        <w:rPr>
          <w:rFonts w:ascii="Times New Roman" w:hAnsi="Times New Roman"/>
          <w:color w:val="000000"/>
          <w:sz w:val="20"/>
        </w:rPr>
        <w:t xml:space="preserve"> to our condensed consolidated financial statements included elsewhere in this Quarterly Report on Form 10-Q, which is incorporated herein by reference. </w:t>
      </w:r>
    </w:p>
    <w:p>
      <w:pPr>
        <w:pStyle w:val="TextBody"/>
        <w:bidi w:val="0"/>
        <w:spacing w:before="240" w:after="283"/>
        <w:jc w:val="both"/>
        <w:rPr>
          <w:rFonts w:ascii="Times New Roman" w:hAnsi="Times New Roman"/>
          <w:sz w:val="20"/>
        </w:rPr>
      </w:pPr>
      <w:bookmarkStart w:id="9" w:name="item_3_quantitative_and_qualitative"/>
      <w:bookmarkEnd w:id="9"/>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period ended July 31, 2025, we did not enter into or transact any forward option contracts nor did we have any forward contracts outstanding. </w:t>
      </w:r>
    </w:p>
    <w:p>
      <w:pPr>
        <w:pStyle w:val="TextBody"/>
        <w:bidi w:val="0"/>
        <w:spacing w:before="240" w:after="283"/>
        <w:jc w:val="both"/>
        <w:rPr>
          <w:rFonts w:ascii="Times New Roman" w:hAnsi="Times New Roman"/>
          <w:sz w:val="20"/>
        </w:rPr>
      </w:pPr>
      <w:bookmarkStart w:id="10" w:name="item_4_controls_and_procedures"/>
      <w:bookmarkEnd w:id="10"/>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is responsible for establishing and maintaining adequate internal control over financial reporting, as such term is defined in Rules 13a-15(f) and 15d-15(f) of the Exchange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may deteriorate.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with participation of the Chief Executive Officer and Chief Financial Officer, under the oversight of our Audit Committee of our Board of Directors, conducted an evaluation of the effectiveness of our internal control over financial reporting as of July 31, 2025 using the framework established in Internal Control-Integrated Framework (2013) issued by the Committee of Sponsoring Organizations of the Treadway Commission (the COSO Framework). Based on that evaluation, management concluded that our internal control over financial reporting was not effective as of July 31, 2025 due to the material weakness in internal control over financial reporting described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material weakness, as defined in Rule 12b-2 of the Exchange Act,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deficiency was identified in our internal control over financial reporting related to the operation of the control to review the accrual for certain legal expenses. This control did not operate effectively due to insufficient knowledge and experience of our personnel related to the reconciliation of the accrual for certain legal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material weakness resulted in immaterial misstatements to the accrual for certain legal expenses that were recorded in our consolidated financial statements during the interim and annual periods for the fiscal year ended April 30, 2024 and during the interim periods for the fiscal year ended April 30, 2025. Prior period amounts have been adjusted to correct the immaterial error, which overstated accrued expenses and deferred revenue and general and administrative expenses, understated income tax expense, and overstated income tax receivable and deferred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material weakness creates a reasonable possibility that a material misstatement to our annual or interim consolidated financial statements would not be prevented or detected on a timely basis by our internal controls.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of this material weakness, management concluded that we did not maintain effective internal control over financial reporting as of July 31, 2025.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Management’s Plan for Remediation of the Material Weakness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response to the material weakness described above, with the oversight of the Audit Committee of our Board of Directors, management plans to remediate the material weakness such that the control over the accrual for certain legal expenses is operating effectively. The remediation actions include developing a training program for certain personnel to increase their knowledge of accruals for legal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remediation efforts are ongoing, and management expects that the remediation efforts and testing will continue throughout fiscal 2026. Management believes that these actions, and the improvements achieved as a result thereof, will effectively remediate the material weakness. However, the material weakness in our internal control over financial reporting will not be considered remediated until the remediated controls operate for a sufficient period of time and management has concluded, through testing, that these controls are operating effectively.</w:t>
      </w:r>
    </w:p>
    <w:p>
      <w:pPr>
        <w:pStyle w:val="TextBody"/>
        <w:bidi w:val="0"/>
        <w:spacing w:before="240" w:after="283"/>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of the Exchange Act) that occurred during our first fiscal quarter of 2026 has materially affected or is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 — OTHER INFORMATION</w:t>
      </w:r>
    </w:p>
    <w:p>
      <w:pPr>
        <w:pStyle w:val="TextBody"/>
        <w:bidi w:val="0"/>
        <w:spacing w:before="240" w:after="283"/>
        <w:jc w:val="both"/>
        <w:rPr>
          <w:rFonts w:ascii="Times New Roman" w:hAnsi="Times New Roman"/>
          <w:sz w:val="20"/>
        </w:rPr>
      </w:pPr>
      <w:bookmarkStart w:id="12" w:name="item_1_legal_proceedings"/>
      <w:bookmarkEnd w:id="1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 Proceedings</w:t>
      </w:r>
    </w:p>
    <w:p>
      <w:pPr>
        <w:pStyle w:val="TextBody"/>
        <w:bidi w:val="0"/>
        <w:spacing w:before="120" w:after="283"/>
        <w:jc w:val="both"/>
        <w:rPr>
          <w:rFonts w:ascii="Times New Roman" w:hAnsi="Times New Roman"/>
          <w:sz w:val="20"/>
        </w:rPr>
      </w:pPr>
      <w:r>
        <w:rPr>
          <w:rFonts w:ascii="Times New Roman" w:hAnsi="Times New Roman"/>
          <w:color w:val="000000"/>
          <w:sz w:val="20"/>
        </w:rPr>
        <w:t>The nature of legal proceedings against us is discussed in Note 8—</w:t>
      </w:r>
      <w:r>
        <w:rPr>
          <w:rFonts w:ascii="Times New Roman" w:hAnsi="Times New Roman"/>
          <w:i/>
          <w:color w:val="000000"/>
          <w:sz w:val="20"/>
        </w:rPr>
        <w:t>Commitments and Contingencies</w:t>
      </w:r>
      <w:r>
        <w:rPr>
          <w:rFonts w:ascii="Times New Roman" w:hAnsi="Times New Roman"/>
          <w:color w:val="000000"/>
          <w:sz w:val="20"/>
        </w:rPr>
        <w:t xml:space="preserve"> to our condensed consolidated financial statements included elsewhere in this Quarterly Report on Form 10-Q, which is incorporated herein by reference.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should carefully review and consider the information regarding certain factors that could materially affect our business, results of operations, financial condition, and cash flows as set forth under Part I, Item 1A “Risk Factors” of our Fiscal 2025 Form 10-K. Additional risks and uncertainties not presently known to us or that we currently believe not to be material may also adversely impact our business, results of operations, financial position, and cash flows. We are aware of no material changes to the Risk Factors discussed in our Fiscal 2025 Form 10-K.</w:t>
      </w:r>
    </w:p>
    <w:p>
      <w:pPr>
        <w:pStyle w:val="TextBody"/>
        <w:bidi w:val="0"/>
        <w:spacing w:before="360" w:after="283"/>
        <w:jc w:val="both"/>
        <w:rPr>
          <w:rFonts w:ascii="Times New Roman" w:hAnsi="Times New Roman"/>
          <w:sz w:val="20"/>
        </w:rPr>
      </w:pPr>
      <w:bookmarkStart w:id="13" w:name="item_2_unregistered_sales_equity_securit"/>
      <w:bookmarkEnd w:id="13"/>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Unregistered Sales of Equity Securities and Use of Proceeds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During the three months ended July 31, 2025, there were no purchases of our common stock by us or any affiliated purchasers within the meaning of Rule 10b-18(a)(3) of the Exchange Act.</w:t>
      </w:r>
    </w:p>
    <w:p>
      <w:pPr>
        <w:pStyle w:val="TextBody"/>
        <w:bidi w:val="0"/>
        <w:jc w:val="both"/>
        <w:rPr>
          <w:rFonts w:ascii="Times New Roman" w:hAnsi="Times New Roman"/>
          <w:sz w:val="20"/>
        </w:rPr>
      </w:pPr>
      <w:bookmarkStart w:id="14" w:name="item_5"/>
      <w:bookmarkEnd w:id="14"/>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Other Information</w:t>
      </w:r>
    </w:p>
    <w:p>
      <w:pPr>
        <w:pStyle w:val="TextBody"/>
        <w:bidi w:val="0"/>
        <w:spacing w:before="120" w:after="283"/>
        <w:jc w:val="both"/>
        <w:rPr>
          <w:rFonts w:ascii="Times New Roman" w:hAnsi="Times New Roman"/>
          <w:sz w:val="20"/>
        </w:rPr>
      </w:pPr>
      <w:r>
        <w:rPr>
          <w:rFonts w:ascii="Times New Roman" w:hAnsi="Times New Roman"/>
          <w:b/>
          <w:color w:val="000000"/>
          <w:sz w:val="20"/>
        </w:rPr>
        <w:t>Rule 10b5-1 Trading Plans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July 31, 2025, none of our directors or officers adopted or terminated a “Rule 10b5-1 trading arrangement” or a “non-Rule 10b5-1 trading arrangement” (in each case, as defined in Item 408 of Regulation S-K).</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INDEX TO EXHIBITS</w:t>
      </w:r>
    </w:p>
    <w:p>
      <w:pPr>
        <w:pStyle w:val="TextBody"/>
        <w:bidi w:val="0"/>
        <w:spacing w:before="360" w:after="283"/>
        <w:jc w:val="both"/>
        <w:rPr>
          <w:rFonts w:ascii="Times New Roman" w:hAnsi="Times New Roman"/>
          <w:sz w:val="20"/>
        </w:rPr>
      </w:pPr>
      <w:bookmarkStart w:id="15" w:name="item_6_exhibits"/>
      <w:bookmarkEnd w:id="15"/>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listed on the Index to Exhibits (immediately preceding the signatures section of this Quarterly Report on Form 10-Q) are included herewith or incorporated herein by reference.</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991"/>
        <w:gridCol w:w="146"/>
        <w:gridCol w:w="9068"/>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8"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Smith &amp; Wesson Brands, Inc. Executive Severance Pay Plan (1)</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10.119(a)**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Amended and Restated Employment Agreement, executed June 18, 2025 and effective as of June 18, 2025, by and between Mark P. Smith and the Registrant (2)</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10.126(d)***</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First Amendment to Second Amended and Restated credit Agreement by and among the Registrant, Smith &amp; Wesson Sales Company, Smith &amp; Wesson Inc., the Guarantors, the Lenders, and TD Bank, N.A. (3)</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Agreement and Release, dated April 28, 2025, by and between Smith and Wesson Sales Company and Susan J. Cupero (4)</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tcBorders/>
            <w:tcMar>
              <w:top w:w="0" w:type="dxa"/>
              <w:left w:w="0" w:type="dxa"/>
              <w:bottom w:w="0" w:type="dxa"/>
              <w:right w:w="0" w:type="dxa"/>
            </w:tcMar>
            <w:vAlign w:val="center"/>
          </w:tcPr>
          <w:p>
            <w:pPr>
              <w:pStyle w:val="TableContents"/>
              <w:bidi w:val="0"/>
              <w:spacing w:before="0" w:after="283"/>
              <w:jc w:val="both"/>
              <w:rPr/>
            </w:pPr>
            <w:hyperlink w:anchor="swbi-ex31_1.htm">
              <w:r>
                <w:rPr>
                  <w:rStyle w:val="InternetLink"/>
                  <w:rFonts w:ascii="Times New Roman" w:hAnsi="Times New Roman"/>
                  <w:color w:val="0000FF"/>
                  <w:sz w:val="20"/>
                  <w:u w:val="single"/>
                </w:rPr>
                <w:t>Rule 13a-14(a)/15d-14(a) Certification of Principal Executive Officer</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tcBorders/>
            <w:tcMar>
              <w:top w:w="0" w:type="dxa"/>
              <w:left w:w="0" w:type="dxa"/>
              <w:bottom w:w="0" w:type="dxa"/>
              <w:right w:w="0" w:type="dxa"/>
            </w:tcMar>
            <w:vAlign w:val="center"/>
          </w:tcPr>
          <w:p>
            <w:pPr>
              <w:pStyle w:val="TableContents"/>
              <w:bidi w:val="0"/>
              <w:spacing w:before="0" w:after="283"/>
              <w:jc w:val="both"/>
              <w:rPr/>
            </w:pPr>
            <w:hyperlink w:anchor="swbi-ex31_2.htm">
              <w:r>
                <w:rPr>
                  <w:rStyle w:val="InternetLink"/>
                  <w:rFonts w:ascii="Times New Roman" w:hAnsi="Times New Roman"/>
                  <w:color w:val="0000FF"/>
                  <w:sz w:val="20"/>
                  <w:u w:val="single"/>
                </w:rPr>
                <w:t>Rule 13a-14(a)/15d-14(a) Certification of Principal Financial Officer</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tcBorders/>
            <w:tcMar>
              <w:top w:w="0" w:type="dxa"/>
              <w:left w:w="0" w:type="dxa"/>
              <w:bottom w:w="0" w:type="dxa"/>
              <w:right w:w="0" w:type="dxa"/>
            </w:tcMar>
            <w:vAlign w:val="center"/>
          </w:tcPr>
          <w:p>
            <w:pPr>
              <w:pStyle w:val="TableContents"/>
              <w:bidi w:val="0"/>
              <w:spacing w:before="0" w:after="283"/>
              <w:jc w:val="both"/>
              <w:rPr/>
            </w:pPr>
            <w:hyperlink w:anchor="swbi-ex32_1.htm">
              <w:r>
                <w:rPr>
                  <w:rStyle w:val="InternetLink"/>
                  <w:rFonts w:ascii="Times New Roman" w:hAnsi="Times New Roman"/>
                  <w:color w:val="0000FF"/>
                  <w:sz w:val="20"/>
                  <w:u w:val="single"/>
                </w:rPr>
                <w:t>Section 1350 Certification of Principal Executive Officer</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hyperlink w:anchor="swbi-ex32_2.htm">
              <w:r>
                <w:rPr>
                  <w:rStyle w:val="InternetLink"/>
                  <w:rFonts w:ascii="Times New Roman" w:hAnsi="Times New Roman"/>
                  <w:color w:val="0000FF"/>
                  <w:sz w:val="20"/>
                  <w:u w:val="single"/>
                </w:rPr>
                <w:t>Section 1350 Certification of Principal Financial Officer</w:t>
              </w:r>
            </w:hyperlink>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rFonts w:ascii="Times New Roman" w:hAnsi="Times New Roman"/>
          <w:sz w:val="20"/>
        </w:rPr>
      </w:pPr>
      <w:r>
        <w:rPr>
          <w:rFonts w:ascii="Times New Roman" w:hAnsi="Times New Roman"/>
          <w:color w:val="000000"/>
          <w:sz w:val="24"/>
        </w:rPr>
        <w:t xml:space="preserve">* </w:t>
      </w:r>
      <w:r>
        <w:rPr>
          <w:rFonts w:ascii="Times New Roman" w:hAnsi="Times New Roman"/>
          <w:color w:val="000000"/>
          <w:sz w:val="20"/>
        </w:rPr>
        <w:t>Filed herewith.</w:t>
      </w:r>
    </w:p>
    <w:p>
      <w:pPr>
        <w:pStyle w:val="TextBody"/>
        <w:bidi w:val="0"/>
        <w:jc w:val="left"/>
        <w:rPr>
          <w:rFonts w:ascii="Times New Roman" w:hAnsi="Times New Roman"/>
          <w:sz w:val="20"/>
        </w:rPr>
      </w:pPr>
      <w:r>
        <w:rPr>
          <w:rFonts w:ascii="Times New Roman" w:hAnsi="Times New Roman"/>
          <w:color w:val="000000"/>
          <w:sz w:val="24"/>
        </w:rPr>
        <w:t xml:space="preserve">** </w:t>
      </w:r>
      <w:r>
        <w:rPr>
          <w:rFonts w:ascii="Times New Roman" w:hAnsi="Times New Roman"/>
          <w:color w:val="000000"/>
          <w:sz w:val="20"/>
        </w:rPr>
        <w:t>Management contract or compensatory arrangement.</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Certain schedules and exhibits have been omitted from this filing pursuant to Item 601(a) (5) of Regulation S-K. We agree to supplementally furnish a copy of any omitted schedule or exhibit to the SEC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Incorporated by reference to the Registrant's Annual Report on Form 10-K, filed with the SEC on June 20, 2025.</w:t>
      </w:r>
    </w:p>
    <w:p>
      <w:pPr>
        <w:pStyle w:val="TextBody"/>
        <w:bidi w:val="0"/>
        <w:jc w:val="left"/>
        <w:rPr>
          <w:rFonts w:ascii="Times New Roman" w:hAnsi="Times New Roman"/>
          <w:color w:val="000000"/>
          <w:sz w:val="20"/>
        </w:rPr>
      </w:pPr>
      <w:r>
        <w:rPr>
          <w:rFonts w:ascii="Times New Roman" w:hAnsi="Times New Roman"/>
          <w:color w:val="000000"/>
          <w:sz w:val="20"/>
        </w:rPr>
        <w:t>(2) Incorporated by reference to the Registrant's Annual Report on Form 10-K, filed with the SEC on June 20, 2025.</w:t>
      </w:r>
    </w:p>
    <w:p>
      <w:pPr>
        <w:pStyle w:val="TextBody"/>
        <w:bidi w:val="0"/>
        <w:jc w:val="left"/>
        <w:rPr>
          <w:rFonts w:ascii="Times New Roman" w:hAnsi="Times New Roman"/>
          <w:color w:val="000000"/>
          <w:sz w:val="20"/>
        </w:rPr>
      </w:pPr>
      <w:r>
        <w:rPr>
          <w:rFonts w:ascii="Times New Roman" w:hAnsi="Times New Roman"/>
          <w:color w:val="000000"/>
          <w:sz w:val="20"/>
        </w:rPr>
        <w:t>(3) Incorporated by reference to the Registrant's Current Report on Form 8-K, filed with the SEC on August 18, 2025.</w:t>
      </w:r>
    </w:p>
    <w:p>
      <w:pPr>
        <w:pStyle w:val="TextBody"/>
        <w:bidi w:val="0"/>
        <w:jc w:val="left"/>
        <w:rPr>
          <w:rFonts w:ascii="Times New Roman" w:hAnsi="Times New Roman"/>
          <w:color w:val="000000"/>
          <w:sz w:val="20"/>
        </w:rPr>
      </w:pPr>
      <w:r>
        <w:rPr>
          <w:rFonts w:ascii="Times New Roman" w:hAnsi="Times New Roman"/>
          <w:color w:val="000000"/>
          <w:sz w:val="20"/>
        </w:rPr>
        <w:t>(4) Incorporated by reference to the Registrant's Current Report on Form 8-K, filed with the SEC on May 2,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signatures"/>
      <w:bookmarkEnd w:id="16"/>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tbl>
      <w:tblPr>
        <w:tblW w:w="6055" w:type="dxa"/>
        <w:jc w:val="left"/>
        <w:tblInd w:w="0" w:type="dxa"/>
        <w:tblLayout w:type="fixed"/>
        <w:tblCellMar>
          <w:top w:w="28" w:type="dxa"/>
          <w:left w:w="28" w:type="dxa"/>
          <w:bottom w:w="28" w:type="dxa"/>
          <w:right w:w="28" w:type="dxa"/>
        </w:tblCellMar>
      </w:tblPr>
      <w:tblGrid>
        <w:gridCol w:w="2116"/>
        <w:gridCol w:w="146"/>
        <w:gridCol w:w="406"/>
        <w:gridCol w:w="146"/>
        <w:gridCol w:w="324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SMITH &amp; WESSON BRANDS, INC.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Nevada corporation</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September 4,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Mark P. Smith</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Mark P. Smith</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both"/>
        <w:rPr/>
      </w:pPr>
      <w:r>
        <w:rPr/>
        <w:t> </w:t>
      </w:r>
    </w:p>
    <w:tbl>
      <w:tblPr>
        <w:tblW w:w="9821" w:type="dxa"/>
        <w:jc w:val="left"/>
        <w:tblInd w:w="0" w:type="dxa"/>
        <w:tblLayout w:type="fixed"/>
        <w:tblCellMar>
          <w:top w:w="28" w:type="dxa"/>
          <w:left w:w="28" w:type="dxa"/>
          <w:bottom w:w="28" w:type="dxa"/>
          <w:right w:w="28" w:type="dxa"/>
        </w:tblCellMar>
      </w:tblPr>
      <w:tblGrid>
        <w:gridCol w:w="2116"/>
        <w:gridCol w:w="109"/>
        <w:gridCol w:w="406"/>
        <w:gridCol w:w="109"/>
        <w:gridCol w:w="708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September 4,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Deana L. McPherson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Deana L. McPherson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Executive Vice President, Chief Financial Officer, Treasurer, and Assistant Secretary</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17" w:name="swbi-ex31_1.htm"/>
      <w:bookmarkStart w:id="18" w:name="ksswbiex31_1"/>
      <w:bookmarkEnd w:id="17"/>
      <w:bookmarkEnd w:id="1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sz w:val="20"/>
        </w:rPr>
      </w:pPr>
      <w:r>
        <w:rPr>
          <w:rFonts w:ascii="Times New Roman" w:hAnsi="Times New Roman"/>
          <w:b/>
          <w:color w:val="000000"/>
          <w:sz w:val="20"/>
        </w:rPr>
        <w:t>PURSUANT TO EXCHANGE ACT RULE 13a-14(a)/15d-14(a)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Mark P. Smith,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Smith &amp; Wesson Brands,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771" w:type="dxa"/>
        <w:jc w:val="left"/>
        <w:tblInd w:w="0" w:type="dxa"/>
        <w:tblLayout w:type="fixed"/>
        <w:tblCellMar>
          <w:top w:w="28" w:type="dxa"/>
          <w:left w:w="28" w:type="dxa"/>
          <w:bottom w:w="28" w:type="dxa"/>
          <w:right w:w="28" w:type="dxa"/>
        </w:tblCellMar>
      </w:tblPr>
      <w:tblGrid>
        <w:gridCol w:w="421"/>
        <w:gridCol w:w="109"/>
        <w:gridCol w:w="324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September 4, 2025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swbi-ex31_2.htm"/>
      <w:bookmarkStart w:id="20" w:name="ksswbiex31_2"/>
      <w:bookmarkEnd w:id="19"/>
      <w:bookmarkEnd w:id="2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Deana L. McPherson,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Smith &amp; Wesson Brands,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7611" w:type="dxa"/>
        <w:jc w:val="left"/>
        <w:tblInd w:w="0" w:type="dxa"/>
        <w:tblLayout w:type="fixed"/>
        <w:tblCellMar>
          <w:top w:w="28" w:type="dxa"/>
          <w:left w:w="28" w:type="dxa"/>
          <w:bottom w:w="28" w:type="dxa"/>
          <w:right w:w="28" w:type="dxa"/>
        </w:tblCellMar>
      </w:tblPr>
      <w:tblGrid>
        <w:gridCol w:w="421"/>
        <w:gridCol w:w="109"/>
        <w:gridCol w:w="708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Officer, Treasurer, and Assistant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4,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wbi-ex32_1.htm"/>
      <w:bookmarkStart w:id="22" w:name="ksswbiex32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Smith &amp; Wesson Brands, Inc. (the “Company”) for the quarterly period ended July 31, 2025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as applicable,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tbl>
      <w:tblPr>
        <w:tblW w:w="3771" w:type="dxa"/>
        <w:jc w:val="left"/>
        <w:tblInd w:w="0" w:type="dxa"/>
        <w:tblLayout w:type="fixed"/>
        <w:tblCellMar>
          <w:top w:w="28" w:type="dxa"/>
          <w:left w:w="28" w:type="dxa"/>
          <w:bottom w:w="28" w:type="dxa"/>
          <w:right w:w="28" w:type="dxa"/>
        </w:tblCellMar>
      </w:tblPr>
      <w:tblGrid>
        <w:gridCol w:w="421"/>
        <w:gridCol w:w="109"/>
        <w:gridCol w:w="324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September 4,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wbi-ex32_2.htm"/>
      <w:bookmarkStart w:id="24" w:name="ksswbiex32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Smith &amp; Wesson Brands, Inc. (the “Company”) for the quarterly period ended July 31, 2025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as applicable,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tbl>
      <w:tblPr>
        <w:tblW w:w="7476" w:type="dxa"/>
        <w:jc w:val="left"/>
        <w:tblInd w:w="0" w:type="dxa"/>
        <w:tblLayout w:type="fixed"/>
        <w:tblCellMar>
          <w:top w:w="28" w:type="dxa"/>
          <w:left w:w="28" w:type="dxa"/>
          <w:bottom w:w="28" w:type="dxa"/>
          <w:right w:w="28" w:type="dxa"/>
        </w:tblCellMar>
      </w:tblPr>
      <w:tblGrid>
        <w:gridCol w:w="421"/>
        <w:gridCol w:w="109"/>
        <w:gridCol w:w="694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Treasurer, and Assistant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September 4,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92796/000095017025088157/swbi-ex10_107.htm" TargetMode="External"/><Relationship Id="rId4" Type="http://schemas.openxmlformats.org/officeDocument/2006/relationships/hyperlink" Target="https://www.sec.gov/Archives/edgar/data/1092796/000095017025088157/swbi-ex10_119a.htm" TargetMode="External"/><Relationship Id="rId5" Type="http://schemas.openxmlformats.org/officeDocument/2006/relationships/hyperlink" Target="https://www.sec.gov/Archives/edgar/data/1092796/000119312525182690/d927672dex10126d.htm" TargetMode="External"/><Relationship Id="rId6" Type="http://schemas.openxmlformats.org/officeDocument/2006/relationships/hyperlink" Target="https://www.sec.gov/Archives/edgar/data/1092796/000119312525111639/d943170dex101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16391</Words>
  <Characters>88708</Characters>
  <CharactersWithSpaces>105632</CharactersWithSpaces>
  <Paragraphs>3192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