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200025</wp:posOffset>
            </wp:positionV>
            <wp:extent cx="2537460" cy="574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Smith &amp; Wesson Brands,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87-0543688</w:t>
            </w:r>
          </w:p>
        </w:tc>
      </w:tr>
      <w:tr>
        <w:trPr>
          <w:trHeight w:val="148"/>
        </w:trPr>
        <w:tc>
          <w:tcPr>
            <w:tcW w:w="3460" w:type="dxa"/>
            <w:vAlign w:val="bottom"/>
          </w:tcPr>
          <w:p>
            <w:pPr>
              <w:jc w:val="center"/>
              <w:ind w:left="9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60" w:type="dxa"/>
            <w:vAlign w:val="bottom"/>
          </w:tcPr>
          <w:p>
            <w:pPr>
              <w:jc w:val="center"/>
              <w:ind w:left="9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460" w:type="dxa"/>
            <w:vAlign w:val="bottom"/>
          </w:tcPr>
          <w:p>
            <w:pPr>
              <w:jc w:val="center"/>
              <w:ind w:left="938"/>
              <w:spacing w:after="0"/>
              <w:rPr>
                <w:sz w:val="20"/>
                <w:szCs w:val="20"/>
                <w:color w:val="auto"/>
              </w:rPr>
            </w:pPr>
            <w:r>
              <w:rPr>
                <w:rFonts w:ascii="Times New Roman" w:cs="Times New Roman" w:eastAsia="Times New Roman" w:hAnsi="Times New Roman"/>
                <w:sz w:val="18"/>
                <w:szCs w:val="18"/>
                <w:b w:val="1"/>
                <w:bCs w:val="1"/>
                <w:color w:val="auto"/>
                <w:w w:val="99"/>
              </w:rPr>
              <w:t>2100 Roosevelt Avenue</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4"/>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9"/>
              </w:rPr>
              <w:t>Springfield, Massachusetts</w:t>
            </w:r>
          </w:p>
        </w:tc>
        <w:tc>
          <w:tcPr>
            <w:tcW w:w="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01104</w:t>
            </w:r>
          </w:p>
        </w:tc>
      </w:tr>
      <w:tr>
        <w:trPr>
          <w:trHeight w:val="190"/>
        </w:trPr>
        <w:tc>
          <w:tcPr>
            <w:tcW w:w="3460" w:type="dxa"/>
            <w:vAlign w:val="bottom"/>
          </w:tcPr>
          <w:p>
            <w:pPr>
              <w:jc w:val="center"/>
              <w:ind w:left="9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3460" w:type="dxa"/>
            <w:vAlign w:val="bottom"/>
          </w:tcPr>
          <w:p>
            <w:pPr>
              <w:spacing w:after="0"/>
              <w:rPr>
                <w:sz w:val="24"/>
                <w:szCs w:val="24"/>
                <w:color w:val="auto"/>
              </w:rPr>
            </w:pPr>
          </w:p>
        </w:tc>
        <w:tc>
          <w:tcPr>
            <w:tcW w:w="2760" w:type="dxa"/>
            <w:vAlign w:val="bottom"/>
            <w:gridSpan w:val="2"/>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9"/>
              </w:rPr>
              <w:t>(800) 331-0852</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00" w:type="dxa"/>
            <w:vAlign w:val="bottom"/>
          </w:tcPr>
          <w:p>
            <w:pPr>
              <w:spacing w:after="0"/>
              <w:rPr>
                <w:sz w:val="16"/>
                <w:szCs w:val="16"/>
                <w:color w:val="auto"/>
              </w:rPr>
            </w:pPr>
          </w:p>
        </w:tc>
      </w:tr>
      <w:tr>
        <w:trPr>
          <w:trHeight w:val="131"/>
        </w:trPr>
        <w:tc>
          <w:tcPr>
            <w:tcW w:w="3980" w:type="dxa"/>
            <w:vAlign w:val="bottom"/>
            <w:gridSpan w:val="2"/>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31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315"/>
        </w:trPr>
        <w:tc>
          <w:tcPr>
            <w:tcW w:w="3460" w:type="dxa"/>
            <w:vAlign w:val="bottom"/>
          </w:tcPr>
          <w:p>
            <w:pPr>
              <w:jc w:val="center"/>
              <w:ind w:right="63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Pr>
          <w:p>
            <w:pPr>
              <w:spacing w:after="0"/>
              <w:rPr>
                <w:sz w:val="24"/>
                <w:szCs w:val="24"/>
                <w:color w:val="auto"/>
              </w:rPr>
            </w:pPr>
          </w:p>
        </w:tc>
        <w:tc>
          <w:tcPr>
            <w:tcW w:w="30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88"/>
        </w:trPr>
        <w:tc>
          <w:tcPr>
            <w:tcW w:w="3460" w:type="dxa"/>
            <w:vAlign w:val="bottom"/>
          </w:tcPr>
          <w:p>
            <w:pPr>
              <w:jc w:val="center"/>
              <w:ind w:right="63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520" w:type="dxa"/>
            <w:vAlign w:val="bottom"/>
          </w:tcPr>
          <w:p>
            <w:pPr>
              <w:spacing w:after="0"/>
              <w:rPr>
                <w:sz w:val="16"/>
                <w:szCs w:val="16"/>
                <w:color w:val="auto"/>
              </w:rPr>
            </w:pPr>
          </w:p>
        </w:tc>
        <w:tc>
          <w:tcPr>
            <w:tcW w:w="30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SWBI</w:t>
            </w:r>
          </w:p>
        </w:tc>
        <w:tc>
          <w:tcPr>
            <w:tcW w:w="3200" w:type="dxa"/>
            <w:vAlign w:val="bottom"/>
          </w:tcPr>
          <w:p>
            <w:pPr>
              <w:jc w:val="center"/>
              <w:ind w:left="30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6" w:lineRule="exact"/>
        <w:rPr>
          <w:sz w:val="24"/>
          <w:szCs w:val="24"/>
          <w:color w:val="auto"/>
        </w:rPr>
      </w:pPr>
    </w:p>
    <w:p>
      <w:pPr>
        <w:jc w:val="both"/>
        <w:ind w:right="4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83"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2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55,903,535 shares of common stock, par value $0.001, outstanding as of September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0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3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SMITH &amp; WESSON BRANDS, INC.</w:t>
            </w:r>
          </w:p>
        </w:tc>
        <w:tc>
          <w:tcPr>
            <w:tcW w:w="1880" w:type="dxa"/>
            <w:vAlign w:val="bottom"/>
          </w:tcPr>
          <w:p>
            <w:pPr>
              <w:spacing w:after="0"/>
              <w:rPr>
                <w:sz w:val="20"/>
                <w:szCs w:val="20"/>
                <w:color w:val="auto"/>
              </w:rPr>
            </w:pPr>
          </w:p>
        </w:tc>
      </w:tr>
      <w:tr>
        <w:trPr>
          <w:trHeight w:val="410"/>
        </w:trPr>
        <w:tc>
          <w:tcPr>
            <w:tcW w:w="93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880" w:type="dxa"/>
            <w:vAlign w:val="bottom"/>
          </w:tcPr>
          <w:p>
            <w:pPr>
              <w:spacing w:after="0"/>
              <w:rPr>
                <w:sz w:val="24"/>
                <w:szCs w:val="24"/>
                <w:color w:val="auto"/>
              </w:rPr>
            </w:pPr>
          </w:p>
        </w:tc>
      </w:tr>
      <w:tr>
        <w:trPr>
          <w:trHeight w:val="238"/>
        </w:trPr>
        <w:tc>
          <w:tcPr>
            <w:tcW w:w="93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July 31, 2020 and 2019</w:t>
            </w:r>
          </w:p>
        </w:tc>
        <w:tc>
          <w:tcPr>
            <w:tcW w:w="1880" w:type="dxa"/>
            <w:vAlign w:val="bottom"/>
          </w:tcPr>
          <w:p>
            <w:pPr>
              <w:spacing w:after="0"/>
              <w:rPr>
                <w:sz w:val="20"/>
                <w:szCs w:val="20"/>
                <w:color w:val="auto"/>
              </w:rPr>
            </w:pPr>
          </w:p>
        </w:tc>
      </w:tr>
      <w:tr>
        <w:trPr>
          <w:trHeight w:val="459"/>
        </w:trPr>
        <w:tc>
          <w:tcPr>
            <w:tcW w:w="93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80" w:type="dxa"/>
            <w:vAlign w:val="bottom"/>
          </w:tcPr>
          <w:p>
            <w:pPr>
              <w:spacing w:after="0"/>
              <w:rPr>
                <w:sz w:val="24"/>
                <w:szCs w:val="24"/>
                <w:color w:val="auto"/>
              </w:rPr>
            </w:pPr>
          </w:p>
        </w:tc>
      </w:tr>
      <w:tr>
        <w:trPr>
          <w:trHeight w:val="441"/>
        </w:trPr>
        <w:tc>
          <w:tcPr>
            <w:tcW w:w="93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tc>
        <w:tc>
          <w:tcPr>
            <w:tcW w:w="1880" w:type="dxa"/>
            <w:vAlign w:val="bottom"/>
          </w:tcPr>
          <w:p>
            <w:pPr>
              <w:spacing w:after="0"/>
              <w:rPr>
                <w:sz w:val="24"/>
                <w:szCs w:val="24"/>
                <w:color w:val="auto"/>
              </w:rPr>
            </w:pP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Item 1. Financial Statements (Unaudited)</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4. Controls and Procedures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9"/>
        </w:trPr>
        <w:tc>
          <w:tcPr>
            <w:tcW w:w="93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29">
              <w:r>
                <w:rPr>
                  <w:rFonts w:ascii="Times New Roman" w:cs="Times New Roman" w:eastAsia="Times New Roman" w:hAnsi="Times New Roman"/>
                  <w:sz w:val="18"/>
                  <w:szCs w:val="18"/>
                  <w:b w:val="1"/>
                  <w:bCs w:val="1"/>
                  <w:u w:val="single" w:color="auto"/>
                  <w:color w:val="0000EE"/>
                </w:rPr>
                <w:t>PART II - OTHER INFORMATION</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1. Legal Proceedings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60" w:type="dxa"/>
            <w:vAlign w:val="bottom"/>
          </w:tcPr>
          <w:p>
            <w:pPr>
              <w:ind w:left="3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6. Exhibits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36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Signatures</w:t>
              </w:r>
            </w:hyperlink>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EX-31.1</w:t>
            </w:r>
          </w:p>
        </w:tc>
        <w:tc>
          <w:tcPr>
            <w:tcW w:w="1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EX-31.2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EX-32.2</w:t>
      </w:r>
    </w:p>
    <w:p>
      <w:pPr>
        <w:spacing w:after="0" w:line="207"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Bodyguard®, Governor®, SW22 Victory®, T/C ®, America’s Master Gunmaker ®, Compass®, Contender®, Dimension®, Encore®, Triumph®, Weather Shield®, Caldwell®, Delta Series®, Wheeler®, Tipton®, Frankford Arsenal®, Lockdown®, BOG-POD®, Golden Rod®, Mag Charger®, Hooyman®, Schrade®, Old Timer®, Uncle Henry®, Imperial®, Non-Typical Wildlife Solutions®, Crimson Trace®, Lasergrips®, Laserguard®, Rail Master®, Shockstop®, Laserlyte®, Key Gear®, U-Dig-It®, Bubba®, Bubba Blade®, One Cut and You’re Through®, Gemtech®, G-Core®, Halo®, Integra®, World Class Silencers®, LiNQ®, Stinky Bubba®, and Turkinator™ are some of the registered U.S. trademarks of our company or one of our subsidiaries. American Outdoor Brands Corporation</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M2.0™, SDVE™, Thompson/Center Arms™, Impact!™, Strike™, Venture™, Defender Series™, Instinctive Activation™, Master Series™, UST™, Blast Jacket™, One™, The Professional’s Choice for Decades™, and World Class Ammunition™ are some of the unregistered trademarks of our company or one of our subsidiaries. This report also may contain trademarks and trade names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56"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the impact, if any, of recently issued accounting standards on our consolidated financial statements; assessments that we make about determining segments and reporting units; the features of our outstanding debt; estimated amortization expense of intangible assets for future periods; the outcome of the lawsuits to which we are subject and their effect on us; our belief that the claims asserted in Gemini’s complaint have no merit; our intention to aggressively defend Gemini’s complaint; our intention to vigorously oppose the proceedings related to the complaint filed against us in the Superior Court of the State of California, County of San Diego – Central; our belief that the various allegations described in the Litigation section are unfounded; our belief that we have strong defenses to the actions filed against us by John Pidcock, as trustee of the APSC Creditor Trust; our believe that our accruals for product liability cases and claims are a reasonable quantitative measure of the cost to us of product liability cases and claims; our belief that we have provided adequate accruals for defense costs; the possibility that worsening of conditions or increased fears relating to the pandemic could have a renewed and prolonged effect on manufacturing or employment in China, travel to and from China, or other restrictions on imports – all of which could have a longer-term effect on our sales and profitability in future periods, with regard to concerns surrounding COVID-19, and based on our understanding of the current situation; our expectation on spending for capital expenditures in fiscal 2021; factors affecting our future capital requirements; availability of equity or debt financing on acceptable terms, if at all; our belief that our existing capital resources and credit facilities will be adequate to fund our operations, including our outstanding debt and other commitments, for the next 12 months; our belief that our improved processes and procedures will assist in the remediation of our material weakness, though management is still evaluating the design of these new controls and procedures.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of this Quarterly Report on Form 10-Q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social, political, legislative, and regulatory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the operations and performance of the two separate companies after the completed spin-off; our ability to maintain and enhance brand recognition and reputation; risks associated with the establishment of our new 632,000 square foot national logistics facility including the expected benefits; our ability to introduce new products; the success of new products; our ability to expand our markets; our ability to integrate acquired businesses in a successful manner; the potential for cancellation of orders from our backlog; and other factors detailed from time to time in our reports filed with the Securities and Exchange Commission, or the SEC, including our Annual Report on Form 10-K for the fiscal year ended April 30, 2020, filed with the SEC on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754380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660"/>
              <w:spacing w:after="0" w:line="155" w:lineRule="exact"/>
              <w:rPr>
                <w:sz w:val="20"/>
                <w:szCs w:val="20"/>
                <w:color w:val="auto"/>
              </w:rPr>
            </w:pPr>
            <w:r>
              <w:rPr>
                <w:rFonts w:ascii="Times New Roman" w:cs="Times New Roman" w:eastAsia="Times New Roman" w:hAnsi="Times New Roman"/>
                <w:sz w:val="14"/>
                <w:szCs w:val="14"/>
                <w:b w:val="1"/>
                <w:bCs w:val="1"/>
                <w:color w:val="auto"/>
              </w:rPr>
              <w:t>July 31, 2020</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April 30, 2020</w:t>
            </w:r>
          </w:p>
        </w:tc>
        <w:tc>
          <w:tcPr>
            <w:tcW w:w="120" w:type="dxa"/>
            <w:vAlign w:val="bottom"/>
          </w:tcPr>
          <w:p>
            <w:pPr>
              <w:spacing w:after="0"/>
              <w:rPr>
                <w:sz w:val="13"/>
                <w:szCs w:val="13"/>
                <w:color w:val="auto"/>
              </w:rPr>
            </w:pPr>
          </w:p>
        </w:tc>
      </w:tr>
      <w:tr>
        <w:trPr>
          <w:trHeight w:val="209"/>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(In thousands, except par value and share data)</w:t>
            </w:r>
          </w:p>
        </w:tc>
      </w:tr>
      <w:tr>
        <w:trPr>
          <w:trHeight w:val="230"/>
        </w:trPr>
        <w:tc>
          <w:tcPr>
            <w:tcW w:w="7720" w:type="dxa"/>
            <w:vAlign w:val="bottom"/>
            <w:shd w:val="clear" w:color="auto" w:fill="CFF0FC"/>
          </w:tcPr>
          <w:p>
            <w:pPr>
              <w:ind w:left="5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$1,411 on</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July 31, 2020 and $1,438 on April 30, 2020</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93,433</w:t>
            </w:r>
          </w:p>
        </w:tc>
        <w:tc>
          <w:tcPr>
            <w:tcW w:w="120" w:type="dxa"/>
            <w:vAlign w:val="bottom"/>
          </w:tcPr>
          <w:p>
            <w:pPr>
              <w:spacing w:after="0"/>
              <w:rPr>
                <w:sz w:val="20"/>
                <w:szCs w:val="20"/>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327,867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393,455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157,417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658,169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728,961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3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profit sharing</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Notes and loans payable, net of current portion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221,104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341,843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20,000,000 shares authorized, no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$.001 par value, 100,000,000 shares authorized, 73,864,745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55,697,883 shares outstanding on July 31, 2020 and 73,526,790 shares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55,359,928 shares outstanding on April 30, 2020</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341,716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 at cost (18,166,862 shares on July 31, 2020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April 30, 2020)</w:t>
            </w: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(222,375)</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(222,375)</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437,065</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387,118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658,169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INCOME/(LOSS) AND COMPREHENSIVE INCOME/(LOSS)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3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3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277,965</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income/(expense), net</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 before income taxes</w:t>
            </w: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income/(loss)</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unrealized loss on interest rate swap</w:t>
            </w:r>
          </w:p>
        </w:tc>
        <w:tc>
          <w:tcPr>
            <w:tcW w:w="1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1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 on other comprehensive loss</w:t>
            </w:r>
          </w:p>
        </w:tc>
        <w:tc>
          <w:tcPr>
            <w:tcW w:w="1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income/(loss):</w:t>
            </w:r>
          </w:p>
        </w:tc>
        <w:tc>
          <w:tcPr>
            <w:tcW w:w="11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2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60" w:type="dxa"/>
            <w:vAlign w:val="bottom"/>
          </w:tcPr>
          <w:p>
            <w:pPr>
              <w:spacing w:after="0"/>
              <w:rPr>
                <w:sz w:val="23"/>
                <w:szCs w:val="23"/>
                <w:color w:val="auto"/>
              </w:rPr>
            </w:pPr>
          </w:p>
        </w:tc>
        <w:tc>
          <w:tcPr>
            <w:tcW w:w="1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0"/>
        </w:trPr>
        <w:tc>
          <w:tcPr>
            <w:tcW w:w="70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Borders>
              <w:top w:val="single" w:sz="8" w:color="auto"/>
              <w:bottom w:val="single" w:sz="8" w:color="auto"/>
            </w:tcBorders>
            <w:shd w:val="clear" w:color="auto" w:fill="CFF0FC"/>
          </w:tcPr>
          <w:p>
            <w:pPr>
              <w:jc w:val="right"/>
              <w:ind w:right="99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CHANGES IN STOCKHOLDERS’ EQUITY (Unaudited)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640" w:type="dxa"/>
            <w:vAlign w:val="bottom"/>
            <w:gridSpan w:val="4"/>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2"/>
                <w:szCs w:val="12"/>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800" w:type="dxa"/>
            <w:vAlign w:val="bottom"/>
            <w:gridSpan w:val="5"/>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(In thousands)</w:t>
            </w:r>
          </w:p>
        </w:tc>
        <w:tc>
          <w:tcPr>
            <w:tcW w:w="94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69"/>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Income/(Loss)</w:t>
            </w:r>
          </w:p>
        </w:tc>
        <w:tc>
          <w:tcPr>
            <w:tcW w:w="700" w:type="dxa"/>
            <w:vAlign w:val="bottom"/>
            <w:tcBorders>
              <w:top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6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April 30, 2019</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72,864</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263,180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402,946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620</w:t>
            </w:r>
          </w:p>
        </w:tc>
        <w:tc>
          <w:tcPr>
            <w:tcW w:w="2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444,444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Change in unrealized loss on interest rate swap,</w:t>
            </w: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(328)</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1"/>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 effect</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at July 31, 2019</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72,988</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264,230</w:t>
            </w:r>
          </w:p>
        </w:tc>
        <w:tc>
          <w:tcPr>
            <w:tcW w:w="2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400,838</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w:t>
            </w:r>
          </w:p>
        </w:tc>
        <w:tc>
          <w:tcPr>
            <w:tcW w:w="24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443,058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Balance at April 30,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(222,375)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under restricted stock</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71"/>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unit awards, net of shares surrendered</w:t>
            </w: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July 31, 2020</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73,865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269,192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390,101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18,167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(222,375</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437,065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r>
      <w:tr>
        <w:trPr>
          <w:trHeight w:val="155"/>
        </w:trPr>
        <w:tc>
          <w:tcPr>
            <w:tcW w:w="77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right"/>
              <w:ind w:right="9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(2,108)</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income/(loss) to net cash provided by/(used in) operating</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Loss/(gain) on sale/disposition of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losses on notes and accounts receivable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(6,811)</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(31,678)</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(6,015)</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payroll and incentives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(10,875)</w:t>
            </w: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profit sharing</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(14,640)</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(6,675)</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warranty</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(946)</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83,475</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to acquire patents and software</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to acquire property and equipment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(7,343)</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(3,695)</w:t>
            </w: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loans and notes payable</w:t>
            </w:r>
          </w:p>
        </w:tc>
        <w:tc>
          <w:tcPr>
            <w:tcW w:w="32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finance lease obligation</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notes and loans payable</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(135,000)</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options to acquire common stock</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employee withholding tax related to restricted stock units</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r>
      <w:tr>
        <w:trPr>
          <w:trHeight w:val="223"/>
        </w:trPr>
        <w:tc>
          <w:tcPr>
            <w:tcW w:w="772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(135,967)</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FF0FC"/>
          </w:tcPr>
          <w:p>
            <w:pPr>
              <w:spacing w:after="0"/>
              <w:rPr>
                <w:sz w:val="19"/>
                <w:szCs w:val="19"/>
                <w:color w:val="auto"/>
              </w:rPr>
            </w:pPr>
          </w:p>
        </w:tc>
      </w:tr>
      <w:tr>
        <w:trPr>
          <w:trHeight w:val="234"/>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r>
      <w:tr>
        <w:trPr>
          <w:trHeight w:val="643"/>
        </w:trPr>
        <w:tc>
          <w:tcPr>
            <w:tcW w:w="77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CONDENSED CONSOLIDATED STATEMENTS OF CASH FLOWS - (Continued) (Unaudited)</w:t>
      </w: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8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20" w:type="dxa"/>
            <w:vAlign w:val="bottom"/>
          </w:tcPr>
          <w:p>
            <w:pPr>
              <w:spacing w:after="0"/>
              <w:rPr>
                <w:sz w:val="13"/>
                <w:szCs w:val="13"/>
                <w:color w:val="auto"/>
              </w:rPr>
            </w:pPr>
          </w:p>
        </w:tc>
        <w:tc>
          <w:tcPr>
            <w:tcW w:w="1040" w:type="dxa"/>
            <w:vAlign w:val="bottom"/>
            <w:tcBorders>
              <w:bottom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gridSpan w:val="2"/>
          </w:tcPr>
          <w:p>
            <w:pPr>
              <w:jc w:val="center"/>
              <w:ind w:right="439"/>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1,051</w:t>
            </w:r>
          </w:p>
        </w:tc>
        <w:tc>
          <w:tcPr>
            <w:tcW w:w="118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exercise of options to acquire common stock</w:t>
            </w:r>
          </w:p>
        </w:tc>
        <w:tc>
          <w:tcPr>
            <w:tcW w:w="10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1,250</w:t>
            </w:r>
          </w:p>
        </w:tc>
        <w:tc>
          <w:tcPr>
            <w:tcW w:w="11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Adoption of ASU 2016-02:</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other assets for operating lease obligations</w:t>
            </w:r>
          </w:p>
        </w:tc>
        <w:tc>
          <w:tcPr>
            <w:tcW w:w="10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10,928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property and equipment</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finance lease liabilities</w:t>
            </w:r>
          </w:p>
        </w:tc>
        <w:tc>
          <w:tcPr>
            <w:tcW w:w="10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(4,245)</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lease liabilities for operating lease obligations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11,970</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are a leading manufacturer, designer, and provider of consumer products for the shooting, hunting, and rugged outdoor enthusiast. We are one of the largest manufacturers of handguns, modern sporting rifles, and handcuffs in the United States and an active participant in the hunting rifle and suppressor markets. We are also a leading provider of shooting, hunting, and rugged outdoor products and accessories, including knives and cutting tools, sighting lasers, shooting supplies, tree saws, and survival gear. We have two reporting segments: (1) Firearm and (2) Outdoor Products &amp; Accessories.</w:t>
      </w:r>
    </w:p>
    <w:p>
      <w:pPr>
        <w:spacing w:after="0" w:line="180"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our Firearm segment, we manufacture a wide array of handguns (including revolvers and pistols), long guns (including modern sporting rifles, bolt action rifles, and muzzleloaders), handcuffs, suppressors, and other firearm-related products for sale to a wide variety of customers, including gun enthusiasts, collectors, hunters, sportsmen, competitive shooters, individuals desiring home and personal protection, law enforcement and security agencies and officers, and military agencies in the United States and throughout the world. We sell our firearm products under the Smith &amp; Wesson, M&amp;P, Performance Center, Thompson/Center Arms, and Gemtech brands. We manufacture our firearm products at our facilities in Springfield, Massachusetts; Houlton, Maine; and Deep River, Connecticut. We also sell our manufacturing services to other businesses to level-load our factories. We sell those services under our Smith &amp; Wesson and Smith &amp; Wesson Precision Components brands.</w:t>
      </w:r>
    </w:p>
    <w:p>
      <w:pPr>
        <w:spacing w:after="0" w:line="22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our Outdoor Products &amp; Accessories segment, 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 parties located in Asia. We also manufacture some of our electro-optics products at our facility in Wilsonville, Oregon.</w:t>
      </w:r>
    </w:p>
    <w:p>
      <w:pPr>
        <w:spacing w:after="0" w:line="216"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 xml:space="preserve">On November 13, 2019, we announced that we were proceeding with a plan to spin-off our outdoor products and accessories business, or the Separation, and create an independent publicly traded company to conduct that business. On August 24, 2020, we completed the previously announced Separation. See also Note 12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Interim Financial Information – </w:t>
      </w:r>
      <w:r>
        <w:rPr>
          <w:rFonts w:ascii="Times New Roman" w:cs="Times New Roman" w:eastAsia="Times New Roman" w:hAnsi="Times New Roman"/>
          <w:sz w:val="18"/>
          <w:szCs w:val="18"/>
          <w:color w:val="auto"/>
        </w:rPr>
        <w:t>The condensed consolidated balance sheets as of July 31, 2020, the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income/(loss) and comprehensive income/(loss) for the three months ended July 31, 2020 and 2019, the condensed consolidated statements of changes in stockholders’ equity for the three months ended July 31, 2020 and 2019, and the condensed consolidated statements of cash flows for the three months ended July 31, 2020 and 2019 have been prepared by us without audit. In our opinion, all adjustments, which include only normal recurring adjustments necessary to fairly present the financial position, results of operations, changes in stockholders’ equity, and cash flows at July 31, 2020 and for the periods presented, have been included. All intercompany transactions have been eliminated in consolidation. The consolidated balance sheet as of April 30, 2020 has been derived from our audited consolidated financial statements.</w:t>
      </w:r>
    </w:p>
    <w:p>
      <w:pPr>
        <w:spacing w:after="0" w:line="18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Annual Report on Form 10-K for the fiscal year ended April 30, 2020. The results of operations for the three months ended July 31, 2020 may not be indicative of the results that may be expected for the year ending April 30, 2021, or any other period.</w:t>
      </w:r>
    </w:p>
    <w:p>
      <w:pPr>
        <w:spacing w:after="0" w:line="181" w:lineRule="exact"/>
        <w:rPr>
          <w:sz w:val="20"/>
          <w:szCs w:val="20"/>
          <w:color w:val="auto"/>
        </w:rPr>
      </w:pPr>
    </w:p>
    <w:p>
      <w:pPr>
        <w:ind w:right="2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 – </w:t>
      </w:r>
      <w:r>
        <w:rPr>
          <w:rFonts w:ascii="Times New Roman" w:cs="Times New Roman" w:eastAsia="Times New Roman" w:hAnsi="Times New Roman"/>
          <w:sz w:val="18"/>
          <w:szCs w:val="18"/>
          <w:color w:val="auto"/>
        </w:rPr>
        <w:t>We have corrected the accompanying consolidated balance sheet as of April 30, 2020 to appropriately present deferred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in the amount of $2.4 million as non-current assets that were previously included in current assets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89"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 </w:t>
      </w:r>
      <w:r>
        <w:rPr>
          <w:rFonts w:ascii="Times New Roman" w:cs="Times New Roman" w:eastAsia="Times New Roman" w:hAnsi="Times New Roman"/>
          <w:sz w:val="18"/>
          <w:szCs w:val="18"/>
          <w:color w:val="auto"/>
        </w:rPr>
        <w:t>In June 2016, the FASB issued ASU 2016-13, Financial Instruments — Credit Losses (Topic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Credit Losses on Financial Instruments. The new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We adopted the new standard on May 1, 2020 and the adoption of this ASU did not have a material impact on our condensed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certain of our real estate, machinery, photocopiers, and vehicles under non-cancelable operating lease agreements.</w:t>
      </w:r>
    </w:p>
    <w:p>
      <w:pPr>
        <w:spacing w:after="0" w:line="22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83"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can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July 31, 2020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370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700" w:type="dxa"/>
            <w:vAlign w:val="bottom"/>
          </w:tcPr>
          <w:p>
            <w:pPr>
              <w:spacing w:after="0"/>
              <w:rPr>
                <w:sz w:val="19"/>
                <w:szCs w:val="19"/>
                <w:color w:val="auto"/>
              </w:rPr>
            </w:pP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Right-of-use assets, net</w:t>
            </w: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7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700" w:type="dxa"/>
            <w:vAlign w:val="bottom"/>
          </w:tcPr>
          <w:p>
            <w:pPr>
              <w:spacing w:after="0"/>
              <w:rPr>
                <w:sz w:val="19"/>
                <w:szCs w:val="19"/>
                <w:color w:val="auto"/>
              </w:rPr>
            </w:pP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Right-of-use assets, net</w:t>
            </w:r>
          </w:p>
        </w:tc>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FF0FC"/>
          </w:tcPr>
          <w:p>
            <w:pPr>
              <w:spacing w:after="0"/>
              <w:rPr>
                <w:sz w:val="18"/>
                <w:szCs w:val="18"/>
                <w:color w:val="auto"/>
              </w:rPr>
            </w:pPr>
          </w:p>
        </w:tc>
        <w:tc>
          <w:tcPr>
            <w:tcW w:w="3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21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31, 2020, we recorded $809,000 of operating lease costs, of which $215,000 related to short-term leases and not recorded as right-of-use assets. We recorded $510,000 of financing lease amortization and $524,000 of financing lease interest expense during the three months ended July 31, 2020. During the three months ended July 31, 2019, we recorded $1.0 million of operating lease costs, of which $200,000 related to short-term leases, and not recorded as right-of-use assets. We recorded $535,000 of financing lease amortization and $520,000 of financing lease interest expense during the three months ended July 31, 2019. As of July 31, 2020, our weighted average lease term and weighted average discount rate for our operating leases was 4.0 years and 4.6%, respectively. As of July 31, 2020, our weighted average lease term and weighted average discount rate for our financing leases was 18.2 years and 5.0%, respectively, and consisted primarily of our national logistics facility located in Columbia, Missouri. The depreciable lives of right-of-use assets are limited by the lease term and are amortized on a straight-line basis over the life of the lease.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for all our operating and finance leases for succeeding fiscal years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30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63,484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73,955</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8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49,841</w:t>
            </w: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(3,587)</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2020 and 2019, the cash paid for amounts included in the measurement of the liabilities and the operating cash flows was $1.4 million in both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July 31, 2020 by reporting segment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Outdoor</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Products &amp;</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337"/>
              <w:spacing w:after="0" w:line="149" w:lineRule="exact"/>
              <w:rPr>
                <w:sz w:val="20"/>
                <w:szCs w:val="20"/>
                <w:color w:val="auto"/>
              </w:rPr>
            </w:pPr>
            <w:r>
              <w:rPr>
                <w:rFonts w:ascii="Times New Roman" w:cs="Times New Roman" w:eastAsia="Times New Roman" w:hAnsi="Times New Roman"/>
                <w:sz w:val="14"/>
                <w:szCs w:val="14"/>
                <w:b w:val="1"/>
                <w:bCs w:val="1"/>
                <w:color w:val="auto"/>
              </w:rPr>
              <w:t>Firearm</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Accessories</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2020</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9"/>
              </w:rPr>
              <w:t xml:space="preserve">See Note 11 — </w:t>
            </w:r>
            <w:r>
              <w:rPr>
                <w:rFonts w:ascii="Times New Roman" w:cs="Times New Roman" w:eastAsia="Times New Roman" w:hAnsi="Times New Roman"/>
                <w:sz w:val="18"/>
                <w:szCs w:val="18"/>
                <w:i w:val="1"/>
                <w:iCs w:val="1"/>
                <w:color w:val="auto"/>
                <w:w w:val="99"/>
              </w:rPr>
              <w:t>Segment Reporting</w:t>
            </w:r>
            <w:r>
              <w:rPr>
                <w:rFonts w:ascii="Times New Roman" w:cs="Times New Roman" w:eastAsia="Times New Roman" w:hAnsi="Times New Roman"/>
                <w:sz w:val="18"/>
                <w:szCs w:val="18"/>
                <w:color w:val="auto"/>
                <w:w w:val="99"/>
              </w:rPr>
              <w:t xml:space="preserve"> for more detail on segment financial information.</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intangible assets as of July 31, 2020 and April 30,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April 30,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(12,705)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00" w:type="dxa"/>
            <w:vAlign w:val="bottom"/>
          </w:tcPr>
          <w:p>
            <w:pPr>
              <w:spacing w:after="0"/>
              <w:rPr>
                <w:sz w:val="19"/>
                <w:szCs w:val="19"/>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and trade names</w:t>
            </w: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(35,682)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(34,320)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(105,359)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(101,156)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Patents in progress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(105,359)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174,480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(101,156)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9"/>
                <w:szCs w:val="19"/>
                <w:color w:val="auto"/>
              </w:rPr>
            </w:pPr>
          </w:p>
        </w:tc>
      </w:tr>
      <w:tr>
        <w:trPr>
          <w:trHeight w:val="223"/>
        </w:trPr>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(105,359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(101,156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excluding amortization of deferred financing costs, amounted to $4.2 million and $4.8 million for the three months ended July 31, 2020 and 2019,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amortization expense of intangible assets for the remainder of fiscal 2021 and succeeding fiscal years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5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900" w:type="dxa"/>
            <w:vAlign w:val="bottom"/>
            <w:vMerge w:val="restart"/>
          </w:tcPr>
          <w:p>
            <w:pPr>
              <w:jc w:val="right"/>
              <w:ind w:right="32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Loans Payable, and Financing Arrangements:</w:t>
      </w:r>
    </w:p>
    <w:p>
      <w:pPr>
        <w:spacing w:after="0" w:line="13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direct and indirect Domestic Subsidiaries entered into an amended and restated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the Amended and Restated Credit Agreement, with certain lenders;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8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89"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we had $25.0 million of borrowings outstanding on the Revolving Line, which bore interest at 1.67%, which is equal to the LIBOR rate plus an applicable margin.</w:t>
      </w:r>
    </w:p>
    <w:p>
      <w:pPr>
        <w:spacing w:after="0" w:line="162"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w:t>
      </w:r>
    </w:p>
    <w:p>
      <w:pPr>
        <w:spacing w:after="0" w:line="178" w:lineRule="exact"/>
        <w:rPr>
          <w:sz w:val="20"/>
          <w:szCs w:val="20"/>
          <w:color w:val="auto"/>
        </w:rPr>
      </w:pPr>
    </w:p>
    <w:p>
      <w:pPr>
        <w:ind w:right="22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July 31, 2020, we had outstanding letters of credit aggregating $2.7 million, which included a $1.5 million letter of credit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 our captive insurance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w:t>
      </w:r>
    </w:p>
    <w:p>
      <w:pPr>
        <w:spacing w:after="0" w:line="11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84"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condensed consolidated balance sheets are categorized based on the inputs to the valuation techniques as follows:</w:t>
      </w:r>
    </w:p>
    <w:p>
      <w:pPr>
        <w:spacing w:after="0" w:line="160" w:lineRule="exact"/>
        <w:rPr>
          <w:sz w:val="20"/>
          <w:szCs w:val="20"/>
          <w:color w:val="auto"/>
        </w:rPr>
      </w:pPr>
    </w:p>
    <w:p>
      <w:pPr>
        <w:ind w:right="2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$65.3 million and $125.4 million as of July 31, 2020 and April 30, 2020, respectively. We utilized Level 1 of the value hierarchy to determine the fair values of these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89" w:lineRule="exact"/>
        <w:rPr>
          <w:sz w:val="20"/>
          <w:szCs w:val="20"/>
          <w:color w:val="auto"/>
        </w:rPr>
      </w:pPr>
    </w:p>
    <w:p>
      <w:pPr>
        <w:ind w:right="14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880" w:right="98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880" w:right="4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right="2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do not have any Level 2 or Level 3 financial assets or liabilities as of July 31,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July 31, 2020 and April 30, 2020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164,191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740" w:hanging="368"/>
        <w:spacing w:after="0"/>
        <w:tabs>
          <w:tab w:leader="none" w:pos="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finished goods inventory relates to the Firearm segment.</w:t>
      </w:r>
    </w:p>
    <w:p>
      <w:pPr>
        <w:spacing w:after="0" w:line="32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July 31, 2020 and April 30,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2020</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 (a)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and promotions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10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distributor incentives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49,987</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20" w:firstLine="757"/>
        <w:spacing w:after="0" w:line="282" w:lineRule="auto"/>
        <w:tabs>
          <w:tab w:leader="none" w:pos="9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accrued taxes other than income is due to the deferral of federal excise tax payments allowed by the Tax and Trade Bureau as a result of the COVID-19 pandemic as of April 30,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income/(loss) amounts and weighted average number of common and common equivalent shares used to determine basic and diluted earnings/(loss) per share for the three months ended July 31, 2020 and 2019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0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0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3"/>
              <w:spacing w:after="0" w:line="145"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r>
      <w:tr>
        <w:trPr>
          <w:trHeight w:val="173"/>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48,385</w:t>
            </w: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55,494</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54,783</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48,385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56,277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54,783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All of our outstanding stock options and restricted stock units, or RSUs, were included in the computation of diluted earnings per share for the three months ended July 31, 2020. For the three months ended July 31, 2019, we excluded 3,340 shares of common stock from the computation of diluted earnings per share, because the effect would be antidilutive.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and Employee Stock Purchase Plans</w:t>
      </w:r>
    </w:p>
    <w:p>
      <w:pPr>
        <w:spacing w:after="0" w:line="11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have two incentive stock plans: the 2004 Incentive Stock Plan and the 2013 Incentive Stock Plan. New grants under the 2004 Incentive Stock Plan have not been made since the approval of the 2013 Incentive Stock Plan at our 2013 Annual Meeting of Stockholders. All new grants covering all participants are issued under the 2013 Incentive Stock Plan. Except in specific circumstances, grants vest over a period of four years, and stock options are exercisable for a period of 10 years from the date of grant. The 2013 Incentive Stock Plan also permits the grant of awards to non-employees, which our board of directors has authorized in the past.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shares and weighted average exercise prices of stock options for the three months ended July 31, 2020 and 2019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gridSpan w:val="3"/>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beginning of year</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(190,667)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years</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CFF0FC"/>
            </w:tcBorders>
          </w:tcPr>
          <w:p>
            <w:pPr>
              <w:spacing w:after="0"/>
              <w:rPr>
                <w:sz w:val="21"/>
                <w:szCs w:val="21"/>
                <w:color w:val="auto"/>
              </w:rPr>
            </w:pPr>
          </w:p>
        </w:tc>
        <w:tc>
          <w:tcPr>
            <w:tcW w:w="1040" w:type="dxa"/>
            <w:vAlign w:val="bottom"/>
            <w:tcBorders>
              <w:top w:val="single" w:sz="8" w:color="auto"/>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years</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CFF0FC"/>
            </w:tcBorders>
          </w:tcPr>
          <w:p>
            <w:pPr>
              <w:spacing w:after="0"/>
              <w:rPr>
                <w:sz w:val="21"/>
                <w:szCs w:val="21"/>
                <w:color w:val="auto"/>
              </w:rPr>
            </w:pPr>
          </w:p>
        </w:tc>
        <w:tc>
          <w:tcPr>
            <w:tcW w:w="1040" w:type="dxa"/>
            <w:vAlign w:val="bottom"/>
            <w:tcBorders>
              <w:top w:val="single" w:sz="8" w:color="auto"/>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267,761</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years</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years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outstanding and exercisable stock options as of July 31, 2020 and 2019 was $212,400 and $770,000, respectively. The aggregate intrinsic value of the stock options exercised in the three months ended July 31, 2020 was $2.8 million. There were no stock options exercised during the three months ended July 31, 2019. At July 31, 2020 and 2019, there was no unrecognized compensation expense relating to outstanding stock options.</w:t>
      </w:r>
    </w:p>
    <w:p>
      <w:pPr>
        <w:spacing w:after="0" w:line="180" w:lineRule="exact"/>
        <w:rPr>
          <w:sz w:val="20"/>
          <w:szCs w:val="20"/>
          <w:color w:val="auto"/>
        </w:rPr>
      </w:pPr>
    </w:p>
    <w:p>
      <w:pPr>
        <w:ind w:right="700" w:firstLine="510"/>
        <w:spacing w:after="0" w:line="282" w:lineRule="auto"/>
        <w:rPr>
          <w:sz w:val="20"/>
          <w:szCs w:val="20"/>
          <w:color w:val="auto"/>
        </w:rPr>
      </w:pPr>
      <w:r>
        <w:rPr>
          <w:rFonts w:ascii="Times New Roman" w:cs="Times New Roman" w:eastAsia="Times New Roman" w:hAnsi="Times New Roman"/>
          <w:sz w:val="18"/>
          <w:szCs w:val="18"/>
          <w:color w:val="auto"/>
        </w:rPr>
        <w:t>We have an Employee Stock Purchase Plan, or ESPP, in which each participant is granted an option to purchase our common stock on each subsequent exercise date during the offering period (as such terms are defined in the ESPP) in accordance with the terms of the ESPP.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91"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expense, including stock options, purchases under our ESPP, RSUs, and performance-based RSUs, or PSUs, was $1.0 million and $1.6 million for the three months ended July 31, 2020 and 2019, respectively. Stock-based compensation expense is included in cost of sales, sales and marketing, research and development, and general and administrative expenses.</w:t>
      </w:r>
    </w:p>
    <w:p>
      <w:pPr>
        <w:spacing w:after="0" w:line="176"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grant service-based RSUs to employees and directors. The awards are made at no cost to the recipient. An RSU represents the right to receive one share of our common stock and does not carry voting or dividend rights. Except in specific circumstances, RSU grants to employees vest over a period of four years with one-fourth of the units vesting on each anniversary of the grant date. We amortize the aggregate fair value of our RSU grants to compensation expense over the vesting period.</w:t>
      </w:r>
    </w:p>
    <w:p>
      <w:pPr>
        <w:spacing w:after="0" w:line="180"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and certain management employees who are not executive officers. The PSUs vest, and the fair value of such PSUs will be recognized, over the corresponding three-year performance period.</w:t>
      </w:r>
    </w:p>
    <w:p>
      <w:pPr>
        <w:spacing w:after="0" w:line="162"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2020, we granted an aggregate of 27,130 service-based RSUs to non-executive officer employees. Compensation expense related to grants of RSUs and PSUs was $766,000 for the three months ended July 31, 2020. During the three months ended July 31, 2020, we cancelled 63,700 PSUs as a result of the failure to satisfy the performance metric and 8,062 service-based RSUs as a result of the service condition not being met. In connection with the vesting of RSUs, during the three months ended July 31, 2020, we delivered common stock to our employees and directors, including our executive officers, with a total market value of $2.9 million.</w:t>
      </w:r>
    </w:p>
    <w:p>
      <w:pPr>
        <w:spacing w:after="0" w:line="183"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July 31, 2019, we granted an aggregate of 131,771 service-based RSUs to non-executive officer employees. Compensation expense related to grants of RSUs and PSUs was $1.4 million for the three months ended July 31, 2019. During the three months ended July 31, 2019, we cancelled 123,025 PSUs as a result of the failure to satisfy the performance metric and 15,805 service-based RSUs as a result of the failure to satisfy the service condition. In connection with the vesting of RSUs, during the three months ended July 31, 2019, we delivered common stock to our employees and directors, including our executive officers, with a total market value of $1.7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the three months ended July 31, 2020 and 2019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July 31,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840" w:type="dxa"/>
            <w:vAlign w:val="bottom"/>
          </w:tcPr>
          <w:p>
            <w:pPr>
              <w:spacing w:after="0"/>
              <w:rPr>
                <w:sz w:val="13"/>
                <w:szCs w:val="13"/>
                <w:color w:val="auto"/>
              </w:rPr>
            </w:pPr>
          </w:p>
        </w:tc>
        <w:tc>
          <w:tcPr>
            <w:tcW w:w="14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Borders>
              <w:bottom w:val="single" w:sz="8" w:color="auto"/>
            </w:tcBorders>
            <w:gridSpan w:val="4"/>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Total # of</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1,313,974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(212,232)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(182,900)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(71,762)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(138,830)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1,057,110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1,441,672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there was $3.6 million of unrecognized compensation expense related to unvested RSUs and PSUs. This expense is expected to be recognized over a weighted average remaining contractual term of 1.7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 xml:space="preserve">In January 2018, Gemini Technologies, Incorporated, or Gemini, commenced an action against us in the U.S. District Court for the District of Idaho, or the District Court. The complaint alleges, among other things, that the defendants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May 2018, the District Court dismissed the complaint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In June 2018, Gemini appealed the decision dismissing its complaint to the U.S. Court of Appeals for the Ninth Circuit, or the Ninth Circuit. On July 24, 2019, the Ninth Circuit reversed the dismissal, and remanded the case to the District Court to perform a traditional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analysis. On September 6, 2019, the parties stipulated that they do not contest that the venue is proper in the District of Idaho. On November 4, 2019, we filed an answer to Gemini’s complaint and a counterclaim against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2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Gemini and its stockholders at the time of the signing of the Asset Purchase Agreement. We believe the claims asserted in the complaint have no merit, and we intend to aggressively defend this action.</w:t>
      </w:r>
    </w:p>
    <w:p>
      <w:pPr>
        <w:spacing w:after="0" w:line="16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a defendant in six product liability cases and are aware of five other product liability claims, primarily alleging defective product design, defective manufacturing, or failure to provide adequate warnings. In addition, we are a co-defendant in a case filed on August 27, 1999 by the city of Gary, Indiana, or the City, against numerous firearm manufacturers, distributors, and dealers seeking to recover monetary damages, as well as injunctive relief, allegedly arising out of the misuse of firearms by third parties. In January 2018, the trial court granted defendants’ Motion for Judgment on the Pleadings, dismissing the case in its entirety. In February 2018, plaintiffs appealed the dismissal to the Indiana Court of Appeals. On May 23, 2019, the Indiana Court of Appeals issued a decision, which affirmed in part and reversed in part and remanded for further proceedings, the trial court’s dismissal of the City’s complaint. On July 8, 2019, defendants filed a Petition to Transfer jurisdiction to the Indiana Supreme Court. Briefing was completed in the Indiana Supreme Court on August 5, 2019. On November 26, 2019, the Indiana Supreme Court denied our petition to transfer. The case was returned to the trial court.</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August 2019, Primus Group, LLC filed an action in the U.S. District Court for the Southern District of Ohio Eastern Division against us and other firearm manufacturers, alleging Racketeer Influenced Corrupt Organizations Act (RICO) violations, racketeering enterprise, and intentional misrepresentation. Plaintiff, which operates as an “entertainment venue” in Columbus, Ohio, purports to bring this action on behalf of “all persons entitled to freely attend schools, shopping locations, churches, entertainment venues, and workplaces in the United States without the intrusion of individuals armed with assault weapons.” In addition to compensatory and punitive damages, plaintiff seeks preliminary and permanent injunctive relief enjoining the distribution and sale of “assault weapons.” On August 20, 2019, the court denied without prejudice plaintiff’s Motion for Temporary Restraining Order. On September 3, 2019, defendants moved to dismiss plaintiff’s complaint. On September 16, 2019, plaintiff filed an amended complaint, adding claims of public nuisance, negligent design, and failure to warn. On October 9, 2019, the U.S. District Court granted defendants’ motion, dismissing the case in its entirety. On October 11, 2019, plaintiff filed a notice of appeal with the U.S. Court of Appeals for the Sixth Circuit, or the Sixth Circuit. On November 1, 2019, the Sixth Circuit dismissed plaintiff’s appeal for failure to pay the required fee. On November 4, 2019, plaintiff-appellant filed, and the Sixth Circuit granted, a motion to reinstate the case. However, on March 13, 2020, at the request of the Appellant and based on the death of co-counsel, the Sixth Circuit held the case in abeyance and ordered that the Appellant file a status report every 30 days. On April 14, 2020, the Appellant filed a Status Report stating that it intended to reactivate the case or dismiss the appeal within 60 days. The Appellant has filed no further Status Reports.</w:t>
      </w:r>
    </w:p>
    <w:p>
      <w:pPr>
        <w:spacing w:after="0" w:line="214"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May 2018, we were named in an action related to the Parkland, Florida shooting, filed in the Circuit Court, Broward County, Florida, seeking a declaratory judgment that a Florida statute that provides firearm manufacturers and dealers immunity from liability when their legally manufactured and lawfully sold firearms are later used in criminal acts only applies to civil actions commenced by governmental agencies not private litigants. In August 2018, we moved to dismiss the complaint on the grounds that it seeks an impermissible advisory opinion. On December 6, 2018, the court granted defendants’ motion to dismiss without prejudice and granted plaintiffs leave to amend their complaint. On December 10, 2018, plaintiffs filed a Second Amended Complaint for Declaratory Relief. On December 13, 2018, defendants filed a Motion to Dismiss Plaintiffs’ Second Amended Complaint. On November 21, 2019, the court granted defendants’ motion to dismiss plaintiffs’ second amended complaint, with prejudice. On August 27, 2020, plaintiff filed a motion for entry of final and appealable order.</w:t>
      </w:r>
    </w:p>
    <w:p>
      <w:pPr>
        <w:spacing w:after="0" w:line="27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The action was filed on December 16, 2019. The action claims CAD$50 million in aggregate general damages, CAD$100 million in aggregate punitive damages, special damages in an unspecified amount, together with interest and legal costs. The named plaintiffs are two victims of a shooting that took place in Toronto on July 22, 2018, and their family members. One victim was shot and injured during the shooting. The other suffered unspecified injuries while fleeing the shooting. The plaintiffs are seeking to certify a claim on behalf of classes that include all persons who were killed or injured in the shooting and their immediate family members. The plaintiffs allege negligent design and public nuisance. The case has not been certified as a class action. On July 13, 2020, we filed a Notice of Motion for an order striking the claim and dismissing the action in its entirety.</w:t>
      </w:r>
    </w:p>
    <w:p>
      <w:pPr>
        <w:spacing w:after="0" w:line="216"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on April 27,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We intend to vigorously oppose the proceedings.</w:t>
      </w:r>
    </w:p>
    <w:p>
      <w:pPr>
        <w:spacing w:after="0" w:line="183"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left="380" w:right="200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9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On July 31, 2019, our competitor, Sturm, Ruger &amp; Co., Inc., filed a complaint and motion for preliminary injunction against us in the U.S. District Court, District of New Hampshire, seeking injunctive relief and damages. Plaintiff alleges trade dress infringement, involving our Thompson/Center brand T/CR22 rifle, as well as violation of the New Hampshire Consumer Protection Act. A hearing on plaintiff’s motion for preliminary injunction was held in November 2019. On December 2, 2019, plaintiff withdrew its motion for preliminary injunction.</w:t>
      </w:r>
    </w:p>
    <w:p>
      <w:pPr>
        <w:spacing w:after="0" w:line="22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John Pidcock, as trustee of the ASPC Creditor Trust (appointed under the plan of reorganization of AcuSport Corp., or AcuSport, as debtor in possession under chapter 11 of the U.S. Bankruptcy Code), is the plaintiff in two separate actions against us in the U.S. Bankruptcy Court for the Southern District of Ohio. The first seeks recovery of alleged preferential transfers received by us from AcuSport in the aggregate amount of $4.2 million. The second seeks turnover of goods allegedly owed to AcuSport by us under one or more of our promotional programs in the amount of $1.5 million. We have filed answers to both complaints denying all material allegations and asserting affirmative defenses. We believe we have strong defenses to these actions and intend to continue to vigorously defend them.</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various allegations as described above are unfounded.</w:t>
      </w:r>
    </w:p>
    <w:p>
      <w:pPr>
        <w:spacing w:after="0" w:line="225"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and employment matters, which arise in the ordinary course of business.</w:t>
      </w:r>
    </w:p>
    <w:p>
      <w:pPr>
        <w:spacing w:after="0" w:line="16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180"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an estimated range of reasonably possible additional losses relating to unfavorable outcomes cannot be made.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report our results of operations in two segments: (1) Firearm (which includes Firearm and Manufacturing Services divisions) and (2) Outdoor Products &amp; Accessories. Our two segments are defined based on the reporting and review process used by the chief operating decision maker, our Chief Executive Officer. The Firearm segment has been determined to be a single operating segment and reporting segment based on our reliance on production metrics, such as gross margin per unit produced, units produced per day, incoming orders per day, and revenue produced by trade channel, all of which are particular to the Firearm segment. The Outdoor Products &amp; Accessories segment is evaluated by a measurement of incoming orders per day and sales and gross margin by customer and brand.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39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Firearm segment includes our firearms, services, and other components, which we manufacture or provide at our facilities in Springfield, Massachusetts; Houlton, Maine; and Deep River, Connecticut, and our firearm products, which we develop, assemble, and market in our Springfield, Massachusetts facility. The Outdoor Products &amp; Accessories segment includes our accessories products, which we develop, source, market, and distribute at our facilities in Columbia, Missouri, and our electro-optics products, which we develop, market, and assemble in our Wilsonville, Oregon facility. We report operating costs based on the activities performed within each segment.</w:t>
      </w:r>
    </w:p>
    <w:p>
      <w:pPr>
        <w:spacing w:after="0" w:line="183"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Segment assets are those directly used in or clearly allocable to a reportable segment’s operations. Assets by business segment are presented in the following table as of July 31, 2020 and April 30, 2020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April 30, 2020</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Firearm</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Firearm</w:t>
            </w:r>
          </w:p>
        </w:tc>
        <w:tc>
          <w:tcPr>
            <w:tcW w:w="2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8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403,329</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254,840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658,169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467,978</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260,983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147,642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Results by business segment are presented in the following tables for the three months ended July 31, 2020 and 2019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 July 31, 2020 (a)</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Firearm</w:t>
            </w: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49,108</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revenue</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137,461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(12,336)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July 31, 2019 (a)</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Outdoor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Firearm</w:t>
            </w:r>
          </w:p>
        </w:tc>
        <w:tc>
          <w:tcPr>
            <w:tcW w:w="1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Products &amp;</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Accessories</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94,555</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revenue</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95,437</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60,039</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35,398</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(7,112)</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380" w:right="80" w:hanging="372"/>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allocate all of corporate overhead expenses except for interest and income taxes, such as general and administrative expenses and other corporate-level expenses, to both our Firearm and Outdoor Products &amp; Accessories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Spin-off of our outdoor products &amp; accessories business</w:t>
      </w:r>
    </w:p>
    <w:p>
      <w:pPr>
        <w:spacing w:after="0" w:line="13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On November 13, 2019, we announced that we were proceeding with a plan to spin-off our outdoor products and accessories business and create an independent publicly traded company to conduct that business. On August 24, 2020, or the Distribution Date, at 12:01 a.m. Eastern Time, the previously announced separation, or the Separation, of our wholly owned subsidiary, American Outdoor Brands, Inc., a Delaware corporation, or AOUT, from our company was completed. The Separation was achieved through the transfer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left="420" w:right="1960"/>
        <w:spacing w:after="0" w:line="268" w:lineRule="auto"/>
        <w:rPr>
          <w:sz w:val="20"/>
          <w:szCs w:val="20"/>
          <w:color w:val="auto"/>
        </w:rPr>
      </w:pPr>
      <w:r>
        <w:rPr>
          <w:rFonts w:ascii="Times New Roman" w:cs="Times New Roman" w:eastAsia="Times New Roman" w:hAnsi="Times New Roman"/>
          <w:sz w:val="18"/>
          <w:szCs w:val="18"/>
          <w:b w:val="1"/>
          <w:bCs w:val="1"/>
          <w:color w:val="auto"/>
        </w:rPr>
        <w:t>SMITH &amp; WESSON BRANDS, INC. AND SUBSIDIARIES NOTES TO CONDENSED CONSOLIDATED FINANCIAL STATEMENTS (UNAUDITED) For the Three Months Ended July 31, 2020 and 2019</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all the assets and legal entities, subject to any related liabilities, associated with our outdoor products and accessories business to AOUT, which we refer to as the Transfer, and the distribution of 100% of the AOUT outstanding capital stock to holders of our common stock as of the close of business on August 10, 2020, or the Record Date, which we refer to as the Distribution. In connection with the Distribution, our stockholders received one share of AOUT common stock for every four shares of our common stock held as of the close of business on the Record Date. Following the Distribution, AOUT became an independent, publicly traded company, and we retain no ownership interest in AOUT. During the three months ended July 31, 2020, we spent $3.6 million related to the Separation.</w:t>
      </w:r>
    </w:p>
    <w:p>
      <w:pPr>
        <w:spacing w:after="0" w:line="18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common stock continues to trade on the Nasdaq Global Select Market under the new ticker symbol “SWBI,” and AOUT is now trading shares of common stock listed on the Nasdaq Global Market under the ticker symbol “AOUT.” Beginning in our second quarter of fiscal 2020, the outdoor products and accessories business historical financial data will be recorded as discontinued operations. Please refer to our form 8-K filed on August 26, 2020 for more information regarding the Separation.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3"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On August 26, 2020, our Board of Directors authorized a regular quarterly dividend for shareholders of $0.05 per share. The dividend for the three months ended July 31, 2020 will be for shareholders of record as of market close on September 17, 2020 and is payable on October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0" w:name="page21"/>
    <w:bookmarkEnd w:id="20"/>
    <w:p>
      <w:pPr>
        <w:ind w:right="39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Please refer to the Management’s Discussion and Analysis of Financial Condition and Results of Operations in our Annual Report on Form 10-K for the fiscal year ended April 30, 2020 and our unaudited condensed consolidated financial statements included in Item 1 of this Quarterly Report on Form 10-Q. This section sets forth key objectives and performance indicators used by us as well as key industry data tracked by us.</w:t>
      </w:r>
    </w:p>
    <w:p>
      <w:pPr>
        <w:spacing w:after="0" w:line="176"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in two segments: (1) Firearm and (2) Outdoor Products &amp; Accessories. Subsequent to the spin-off of our outdoor products and accessories business on August 24, 2020, or the Separation, we will no longer report our operations in two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2021 Highlights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the three months ended July 31, 2020 included the following:</w:t>
      </w:r>
    </w:p>
    <w:p>
      <w:pPr>
        <w:spacing w:after="0" w:line="117" w:lineRule="exact"/>
        <w:rPr>
          <w:sz w:val="20"/>
          <w:szCs w:val="20"/>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were $278.0 million, an increase of $154.3 million, or 124.8%, over the comparable quarter last year.</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Firearm segment gross sales were $229.9 million, which included $1.0 million of inter-segment revenue, an increase of $134.4 million, or</w:t>
      </w:r>
    </w:p>
    <w:p>
      <w:pPr>
        <w:spacing w:after="0" w:line="27" w:lineRule="exact"/>
        <w:rPr>
          <w:rFonts w:ascii="Times New Roman" w:cs="Times New Roman" w:eastAsia="Times New Roman" w:hAnsi="Times New Roman"/>
          <w:sz w:val="18"/>
          <w:szCs w:val="18"/>
          <w:color w:val="auto"/>
        </w:rPr>
      </w:pPr>
    </w:p>
    <w:p>
      <w:pPr>
        <w:jc w:val="both"/>
        <w:ind w:left="880" w:righ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 over the comparable quarter last year, primarily because of increased consumer demand for the majority of our products driven by market share gains and increased consumer interest in firearms, which may be a result of recent events that have raised fears about personal protection and the upcoming political election.</w:t>
      </w:r>
    </w:p>
    <w:p>
      <w:pPr>
        <w:spacing w:after="0" w:line="77" w:lineRule="exact"/>
        <w:rPr>
          <w:rFonts w:ascii="Times New Roman" w:cs="Times New Roman" w:eastAsia="Times New Roman" w:hAnsi="Times New Roman"/>
          <w:sz w:val="18"/>
          <w:szCs w:val="18"/>
          <w:color w:val="auto"/>
        </w:rPr>
      </w:pPr>
    </w:p>
    <w:p>
      <w:pPr>
        <w:ind w:left="880" w:right="80" w:hanging="373"/>
        <w:spacing w:after="0" w:line="26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 Products &amp; Accessories segment gross sales were $50.6 million, which included $1.5 million of inter-segment revenue, an increase of $17.4 million, or 52.3%, over the comparable quarter last year, primarily because of several factors related to the COVID-19 pandemic, discussed below.</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margin was 42.0%, an increase of 330 basis points over the comparable quarter last year.</w:t>
      </w:r>
    </w:p>
    <w:p>
      <w:pPr>
        <w:spacing w:after="0" w:line="117"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was $48.4 million, or $0.86 per diluted share, compared with a net loss of $2.1 million, or ($0.04) per diluted share for the comparable quarter last year.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Sales and Gross Profit – For the Three Months Ended July 31, 2020</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sales and gross profit for the three months ended July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116,766</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68,912</w:t>
            </w:r>
          </w:p>
        </w:tc>
        <w:tc>
          <w:tcPr>
            <w:tcW w:w="2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Consolidated net sales increased $154.3 million, or 124.8%, primarily because of increased consumer demand for the majority of our products in our Firearm segment and increased revenue from our e-commerce channel in our Outdoor Products &amp; Accessories segment.</w:t>
      </w:r>
    </w:p>
    <w:p>
      <w:pPr>
        <w:spacing w:after="0" w:line="162"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Consolidated gross margin increased 330 basis points over the comparable quarter last year primarily because of lower promotional product spending in our Firearm segment because of the increased demand in the consumer market that eliminated the need for promotional programs in the quarter, and favorable manufacturing fixed cost absorption. Consolidated gross margin was also favorably impacted by customer mix, product mix, and favorable manufacturing fixed-cost absorption in our Outdoor Products &amp; Accessories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Firearm Segment Revenue and Gross Profit – For the Three Months Ended July 31, 2020</w:t>
      </w:r>
    </w:p>
    <w:p>
      <w:pPr>
        <w:spacing w:after="0" w:line="121"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Firearm revenue and gross profit for the three months ended July 31, 2020 and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580" w:type="dxa"/>
            <w:vAlign w:val="bottom"/>
            <w:tcBorders>
              <w:bottom w:val="single" w:sz="8" w:color="CFF0FC"/>
            </w:tcBorders>
          </w:tcPr>
          <w:p>
            <w:pPr>
              <w:spacing w:after="0"/>
              <w:rPr>
                <w:sz w:val="15"/>
                <w:szCs w:val="15"/>
                <w:color w:val="auto"/>
              </w:rPr>
            </w:pPr>
          </w:p>
        </w:tc>
        <w:tc>
          <w:tcPr>
            <w:tcW w:w="16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gridSpan w:val="2"/>
          </w:tcPr>
          <w:p>
            <w:pPr>
              <w:spacing w:after="0"/>
              <w:rPr>
                <w:sz w:val="15"/>
                <w:szCs w:val="15"/>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165,169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53,847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30"/>
        </w:trPr>
        <w:tc>
          <w:tcPr>
            <w:tcW w:w="40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10,868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40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Total Firearm Revenue</w:t>
            </w:r>
          </w:p>
        </w:tc>
        <w:tc>
          <w:tcPr>
            <w:tcW w:w="16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4"/>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9"/>
              </w:rPr>
              <w:t>229,884</w:t>
            </w:r>
          </w:p>
        </w:tc>
        <w:tc>
          <w:tcPr>
            <w:tcW w:w="2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30"/>
        </w:trPr>
        <w:tc>
          <w:tcPr>
            <w:tcW w:w="40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137,461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77,422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left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0"/>
        </w:trPr>
        <w:tc>
          <w:tcPr>
            <w:tcW w:w="4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4"/>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92,423</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35,398</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w:t>
            </w:r>
          </w:p>
        </w:tc>
        <w:tc>
          <w:tcPr>
            <w:tcW w:w="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30"/>
        </w:trPr>
        <w:tc>
          <w:tcPr>
            <w:tcW w:w="40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1240" w:type="dxa"/>
            <w:vAlign w:val="bottom"/>
            <w:gridSpan w:val="22"/>
          </w:tcPr>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firearm units shipped by trade channel for the three months ended July 31, 2020 and</w:t>
            </w: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2019 (units in thousands):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4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1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2800" w:type="dxa"/>
            <w:vAlign w:val="bottom"/>
            <w:tcBorders>
              <w:top w:val="single" w:sz="8" w:color="CFF0FC"/>
            </w:tcBorders>
            <w:gridSpan w:val="3"/>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6"/>
              </w:rPr>
              <w:t>472</w:t>
            </w: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6"/>
              </w:rPr>
              <w:t>225</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left w:val="single" w:sz="8" w:color="CFF0FC"/>
            </w:tcBorders>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7"/>
              </w:rPr>
              <w:t>109.8%</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6"/>
              </w:rPr>
              <w:t>112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86.7%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7"/>
        </w:trPr>
        <w:tc>
          <w:tcPr>
            <w:tcW w:w="402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6"/>
              </w:rPr>
              <w:t>441</w:t>
            </w: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6"/>
              </w:rPr>
              <w:t>199</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left w:val="single" w:sz="8" w:color="CFF0FC"/>
            </w:tcBorders>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7"/>
              </w:rPr>
              <w:t>121.6%</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6"/>
              </w:rPr>
              <w:t>108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800" w:type="dxa"/>
            <w:vAlign w:val="bottom"/>
            <w:gridSpan w:val="2"/>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6"/>
        </w:trPr>
        <w:tc>
          <w:tcPr>
            <w:tcW w:w="4020" w:type="dxa"/>
            <w:vAlign w:val="bottom"/>
            <w:tcBorders>
              <w:top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31</w:t>
            </w: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left w:val="single" w:sz="8" w:color="CFF0FC"/>
            </w:tcBorders>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8"/>
              </w:rPr>
              <w:t>19.2%</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8"/>
              </w:rPr>
              <w:t>33.3%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Revenue for our handguns increased $95.5 million, or 136.9%, over the comparable quarter last year. The increase in revenue was due to increased demand for all major product lines driven by an increased consumer interest in firearms, likely resulting from continued concerns regarding the COVID-19 pandemic, recent events that have raised fears about personal protection, and uncertainty regarding the possibility of increased firearm regulation in relation to the upcoming political election. Unit shipments into the sporting goods consumer channel increased 121.6% over the comparable quarter last year primarily due to increased consumer firearm demand, as indicated by a 141.3% increase over the comparable quarter last year in total adjusted handgun background checks as reported to the National Instant Criminal Background Check Systems, or NICS, which we believe is a proxy for overall consumer demand. We believe that our percentage increase in sales in handguns likely did not match the increase in NICS because of a significant decline of channel inventory during the quarter and capacity constraints related to the significant increase in consumer demand.</w:t>
      </w:r>
    </w:p>
    <w:p>
      <w:pPr>
        <w:spacing w:after="0" w:line="192"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Revenue for our long guns increased $37.2 million, or 224.4%, over the comparable quarter last year. The increase in revenue was primarily because of increased consumer demand for our M&amp;P modern sporting rifles. This was partially offset by a decrease in hunting rifle sales as a result of a bulk sale to clear discontinued products from the channel in the prior year.</w:t>
      </w:r>
    </w:p>
    <w:p>
      <w:pPr>
        <w:spacing w:after="0" w:line="176"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Other products and services revenue increased $1.7 million, or 19.1%, over the comparable quarter last year, primarily because of increased sales of component parts and handcuffs, partially offset by lower sales in specialty services.</w:t>
      </w:r>
    </w:p>
    <w:p>
      <w:pPr>
        <w:spacing w:after="0" w:line="162"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New products in our Firearm segment, defined as any new SKU not shipped in the comparable quarter last year, represented 11.8% of firearm revenue for the three months ended July 31, 2020 and included a new concealed carry M&amp;P branded polymer pistol, many new product line extensions, and promotional product bundle kits for our M&amp;P, Performance Center, and Thompson/Center Arms branded products.</w:t>
      </w:r>
    </w:p>
    <w:p>
      <w:pPr>
        <w:spacing w:after="0" w:line="176"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July 31, 2020 for our Firearm segment increased 310 basis points over the comparable quarter last year, primarily because of lower promotional product spending, favorable manufacturing fixed cost absorption, and favorable price increases. These increases were partially offset by unfavorable inventory valuation adjustments and increased manufacturing spending.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ind w:right="680" w:firstLine="510"/>
        <w:spacing w:after="0" w:line="282" w:lineRule="auto"/>
        <w:rPr>
          <w:sz w:val="20"/>
          <w:szCs w:val="20"/>
          <w:color w:val="auto"/>
        </w:rPr>
      </w:pPr>
      <w:r>
        <w:rPr>
          <w:rFonts w:ascii="Times New Roman" w:cs="Times New Roman" w:eastAsia="Times New Roman" w:hAnsi="Times New Roman"/>
          <w:sz w:val="18"/>
          <w:szCs w:val="18"/>
          <w:color w:val="auto"/>
        </w:rPr>
        <w:t>Firearm inventory balances decreased $23.8 million during the three months ended July 31, 2020 as a result of our ability to meet increased consumer demand.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Products &amp; Accessories Segment Revenue and Gross Profit – For the Three Months Ended July 31, 2020</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Outdoor Products &amp; Accessories segment revenue for the three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2019 (dollars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2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For the three months ended July 31, 2020, revenue for our Outdoor Products &amp; Accessories segment increased $17.4 million, or 52.3%, over the comparable quarter last year, primarily because of higher demand for the majority of our products, which we believe was driven by increased consumer interest in self-protection and outdoor activities. In addition, there were several factors we believe are related to the COVID-19 pandemic, such as increased participation in outdoor recreation activities that we believe was heightened due to state-mandated travel restrictions, increased foot traffic after the reopening of retail locations that were previously ordered to be closed, and our ability to replenish retailer inventory after non-essential product orders were halted in our fourth fiscal quarter that had a positive impact on our revenue for the three months ended July 31, 2020. Revenue in our e-commerce channel increased over the comparable quarter last year, that we believe resulted from a shift in consumer preference during the current period to online retailers and increases in our own direct-to-consumer business. Sales in our traditional channels, which include retailers with physical brick and mortar stores, increased over the comparable quarter last year primarily because of the reasons described above. In addition, feedback from certain of our large customers seems to indicate significant growth over the comparable quarter last year, reflecting strong consumer demand for our products in the channel. The increase in revenue was partially offset by $2.6 million lower inter-segment revenue and a previously communicated decline in sales of our branded camping accessory products due to one large retailer accelerating a strategy towards its own private label brand.</w:t>
      </w:r>
    </w:p>
    <w:p>
      <w:pPr>
        <w:spacing w:after="0" w:line="190" w:lineRule="exact"/>
        <w:rPr>
          <w:sz w:val="20"/>
          <w:szCs w:val="20"/>
          <w:color w:val="auto"/>
        </w:rPr>
      </w:pPr>
    </w:p>
    <w:p>
      <w:pPr>
        <w:ind w:right="640" w:firstLine="510"/>
        <w:spacing w:after="0" w:line="266" w:lineRule="auto"/>
        <w:rPr>
          <w:sz w:val="20"/>
          <w:szCs w:val="20"/>
          <w:color w:val="auto"/>
        </w:rPr>
      </w:pPr>
      <w:r>
        <w:rPr>
          <w:rFonts w:ascii="Times New Roman" w:cs="Times New Roman" w:eastAsia="Times New Roman" w:hAnsi="Times New Roman"/>
          <w:sz w:val="18"/>
          <w:szCs w:val="18"/>
          <w:color w:val="auto"/>
        </w:rPr>
        <w:t>New products in our Outdoor Products &amp; Accessories segment, defined as any new SKU not shipped in the comparable quarter last year, represented 10.2% of revenue for the three months ended July 31, 2020. Our Outdoor Products &amp; Accessories segment has a history of introducing approximately 250 to 350 new SKUs each year, the majority of which are introduced late in our third fiscal quarter.</w:t>
      </w:r>
    </w:p>
    <w:p>
      <w:pPr>
        <w:spacing w:after="0" w:line="176"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July 31, 2020 for our Outdoor Products &amp; Accessories segment increased 320 basis points over the comparable quarter last year, primarily because of channel mix, product mix, and lower promotion expenses from increased demand, partially offset by higher tariff costs.</w:t>
      </w:r>
    </w:p>
    <w:p>
      <w:pPr>
        <w:spacing w:after="0" w:line="17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Inventory in our Outdoor Products &amp; Accessories segment increased $9.1 million during the three months ended July 31, 2020. Items impacting our inventory included a planned inventory build to support increased demand leading up to the fall hunting and holiday shopping seasons, the resolution of COVID-19 related supply chain issues that resulted in increased order fulfillment of our inventory, additional planned purchases to help mitigate potential future supply chain disruptions, and an inventory build in anticipation of new product introductions later in the fiscal year. These increases were partially offset by increased sales and improved order cadence, which improved inventory turns. With regard to concerns surrounding COVID-19, and based on our understanding of the current situation, it is possible that worsening of conditions or increased fears relating to the pandemic could have a renewed and prolonged effect on manufacturing or employment in China, travel to and from China, or other restrictions on imports – all of which could have a longer-term effect on our sales and profitability in future periods.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2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three months ended July 31, 2020 and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51,314</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46,711</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4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Selling, marketing, and distribution expenses increased $2.5 million over the prior year comparable quarter, primarily because of increased co-op advertising expenses for strategic customers, increased compensation-related expenses, and increased freight-related expenses. This increased spending was partially offset by lower travel and entertainment expenses due to COVID-19 and decreased advertising expenses. General and administrative expenses increased $2.4 million because of $3.6 million of expenses related to the spin-off of our outdoor products and accessories business, $2.8 million of increased profit sharing expense, and increased other compensation-related expenses, partially offset by a reduction in our allowance for doubtful accounts and lower travel and entertainment expenses due to COVID-19. The increases in total operating expenses were also partially offset by lower employee medical costs, likely due to the deferral of elective procedures resulting from the COVID-19 pandemic.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three months ended January 31, 2020 and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64,309</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5626.3%</w:t>
            </w:r>
          </w:p>
        </w:tc>
      </w:tr>
      <w:tr>
        <w:trPr>
          <w:trHeight w:val="234"/>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0"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Operating income for the three months ended July 31, 2020 increased $64.3 million over the comparable quarter last year, primarily because increased revenue in both of our segments and the resulting improvements in gross margins. Consolidated operating income was also favorably impacted by lower travel and entertainment expenses due to COVID-19, decreased advertising costs, and a reduction of our allowance for doubtful accounts. These increases were partially offset by expenses related to the spin-off of our outdoor products and accessories business, unfavorable inventory valuation adjustments in our Firearm segment, increased manufacturing spending, increased co-op advertising expenses, and higher compensation-related costs.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Interest Expense</w:t>
      </w:r>
    </w:p>
    <w:p>
      <w:pPr>
        <w:spacing w:after="0" w:line="121"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three months ended July 31, 2020 and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r>
    </w:tbl>
    <w:p>
      <w:pPr>
        <w:spacing w:after="0" w:line="238"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2020, interest expense decreased by $1.3 million from the comparable quarter last year as a result of lower borrowings outstanding on our revolving line of credit.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Taxes</w:t>
      </w:r>
    </w:p>
    <w:p>
      <w:pPr>
        <w:spacing w:after="0" w:line="121" w:lineRule="exact"/>
        <w:rPr>
          <w:sz w:val="20"/>
          <w:szCs w:val="20"/>
          <w:color w:val="auto"/>
        </w:rPr>
      </w:pPr>
    </w:p>
    <w:p>
      <w:pPr>
        <w:ind w:right="7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three months ended July 31, 2020 and 2019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2428.1%</w:t>
            </w:r>
          </w:p>
        </w:tc>
      </w:tr>
      <w:tr>
        <w:trPr>
          <w:trHeight w:val="234"/>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of income from operations (effective tax rate)</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r>
      <w:tr>
        <w:trPr>
          <w:trHeight w:val="643"/>
        </w:trPr>
        <w:tc>
          <w:tcPr>
            <w:tcW w:w="4640" w:type="dxa"/>
            <w:vAlign w:val="bottom"/>
          </w:tcPr>
          <w:p>
            <w:pPr>
              <w:spacing w:after="0"/>
              <w:rPr>
                <w:sz w:val="24"/>
                <w:szCs w:val="24"/>
                <w:color w:val="auto"/>
              </w:rPr>
            </w:pPr>
          </w:p>
        </w:tc>
        <w:tc>
          <w:tcPr>
            <w:tcW w:w="12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Income tax expense increased $15.3 million over the comparable quarter last year as a result of higher operating income for the reasons mentioned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Income/(Loss)</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consolidated net income and the related per share data for the three months ended July 31, 2020 and 2019 (dollars 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76"/>
              </w:rPr>
              <w:t>-2395.3%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CFF"/>
          </w:tcPr>
          <w:p>
            <w:pPr>
              <w:spacing w:after="0"/>
              <w:rPr>
                <w:sz w:val="19"/>
                <w:szCs w:val="19"/>
                <w:color w:val="auto"/>
              </w:rPr>
            </w:pPr>
          </w:p>
        </w:tc>
        <w:tc>
          <w:tcPr>
            <w:tcW w:w="1460" w:type="dxa"/>
            <w:vAlign w:val="bottom"/>
            <w:gridSpan w:val="3"/>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-2275.0%</w:t>
            </w:r>
          </w:p>
        </w:tc>
      </w:tr>
      <w:tr>
        <w:trPr>
          <w:trHeight w:val="234"/>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0"/>
                <w:szCs w:val="20"/>
                <w:color w:val="auto"/>
              </w:rPr>
            </w:pPr>
          </w:p>
        </w:tc>
        <w:tc>
          <w:tcPr>
            <w:tcW w:w="14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-2250.0%</w:t>
            </w:r>
          </w:p>
        </w:tc>
      </w:tr>
    </w:tbl>
    <w:p>
      <w:pPr>
        <w:spacing w:after="0" w:line="233"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Net income for three months ended July 31, 2020 was $48.4 million compared to a net loss of $2.1 million in the comparable quarter last year primarily as a result of increased revenue in both of our segments.</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Our principal cash requirements are to (1) finance the growth of our operations, including working capital and capital expenditures, (2) service our existing debt, and (3) fund the spin-off of our outdoor products and accessories business. Capital expenditures for new product development and repair and replacement of equipment represent important cash needs.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three months ended July 31, 2020 and 2019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112,613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(3,818)</w:t>
            </w:r>
          </w:p>
        </w:tc>
        <w:tc>
          <w:tcPr>
            <w:tcW w:w="1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(135,967)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(158,640)</w:t>
            </w:r>
          </w:p>
        </w:tc>
        <w:tc>
          <w:tcPr>
            <w:tcW w:w="1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240" w:type="dxa"/>
            <w:vAlign w:val="bottom"/>
            <w:vMerge w:val="continue"/>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(49,844)</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annual basis, operating activities generally represent the principal source of our cash flow.</w:t>
      </w:r>
    </w:p>
    <w:p>
      <w:pPr>
        <w:spacing w:after="0" w:line="22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$83.5 million for the three months ended July 31, 2020 compared with a cash usage in the prior year comparable quarter due to an incremental $50.5 million increase in net income, an incremental $46.3 million decrease in inventory because of increased shipments to meet consumer demand, and an incremental $20.1 million increase in accounts payable due to increased manufacturing purchases and timing of payments. These favorable impacts were partially offset by an incremental $20.8 million increase in accounts receivable due to timing of shipments and an incremental $8.0 million decrease in accrued expenses primarily due to lower promotional product discount accruals. We expect firearm inventory balances to remain relatively flat throughout our next fiscal quarter.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increased $3.8 million for the three months ended July 31, 2020 over the prior year comparable period. We recorded capital expenditures of $7.3 million for the three months ended July 31, 2020, $3.6 million higher than the prior year comparable period. We currently expect to spend between $30.0 million and $35.0 million on capital expenditures in fiscal 2021, an increase of $16.1 million to $21.1 million, as compared with $13.9 million in capital expenditures in fiscal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$136.0 million for the three months ended July 31, 2020 compared with cash provided by financing activities of $22.7 million for the three months ended July 31, 2019. Cash used in financing activities during the three months ended July 31, 2020 was primarily a result of $135.0 million of payments on our credit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5" w:name="page26"/>
    <w:bookmarkEnd w:id="25"/>
    <w:p>
      <w:pPr>
        <w:ind w:right="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Finance Lease – </w:t>
      </w:r>
      <w:r>
        <w:rPr>
          <w:rFonts w:ascii="Times New Roman" w:cs="Times New Roman" w:eastAsia="Times New Roman" w:hAnsi="Times New Roman"/>
          <w:sz w:val="18"/>
          <w:szCs w:val="18"/>
          <w:color w:val="auto"/>
        </w:rPr>
        <w:t>We are a party to a $46.2 million lease for our national logistics facility in Boone County, Missouri, which has an effective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approximately 5.0% and is payable in 240 monthly installments through fiscal 2039. The building is pledged to secure the amounts outstanding. During the three months ending July 31, 2020, we paid $238,000 in principal payments relating to this finance lease. With the completion of the Separation on August 24, 2020, we entered into a sublease for 59.0% of this facility under the same terms as the master lease.</w:t>
      </w:r>
    </w:p>
    <w:p>
      <w:pPr>
        <w:spacing w:after="0" w:line="207"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 </w:t>
      </w:r>
      <w:r>
        <w:rPr>
          <w:rFonts w:ascii="Times New Roman" w:cs="Times New Roman" w:eastAsia="Times New Roman" w:hAnsi="Times New Roman"/>
          <w:sz w:val="18"/>
          <w:szCs w:val="18"/>
          <w:color w:val="auto"/>
        </w:rPr>
        <w:t>On August 24, 2020, we and certain of our direct and indirect Domestic Subsidiaries entered into an amended and restated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the Amended and Restated Credit Agreement, with certain lenders; TD Bank, N.A., as administrative agent; TD Securities (USA) LLC and Regions Bank, as joint lead arrangers and joint bookrunners; and Regions Bank, as syndication agent. The Amended and Restated Credit Agreement amended and restated that certain Credit Agreement, dated as of June 15, 2015, by and among us, certain of our direct and indirect Domestic Subsidiaries, the lenders party thereto, and TD Bank, N.A., as administrative agent and swingline lender, as previously amended. The Amended and Restated Credit Agreement is currently unsecured; however, should any Springing Lien Trigger Event occur, we and certain of our direct and indirect Domestic Subsidiaries would be required to enter into certain documents that create in favor of TD Bank, N.A., as administrative agent, and the lenders party to such documents a legal, valid, and enforceable first priority Lien on the Collateral described therein.</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Amended and Restated Credit Agreement provides for a revolving line of credit of $100.0 million at any one time, or the Revolving Line. The Revolving Line bears interest at either the Base Rate or LIBOR rate, plus an applicable margin based on our consolidated leverage ratio. The Amended and Restated Credit Agreement also provides a swingline facility in the maximum amount of $5.0 million at any one time (subject to availability under the Revolving Line). Each Swingline Loan bears interest at the Base Rate, plus an applicable margin based on our consolidated leverage ratio. Subject to the satisfaction of certain terms and conditions described in the Amended and Restated Credit Agreement, we have an option to increase the Revolving Line by an aggregate amount not exceeding $50.0 million. The Revolving Line matures on the earlier of August 24, 2025, or the date that is six months in advance of the earliest maturity of any Permitted Notes under the Amended and Restated Credit Agreement.</w:t>
      </w:r>
    </w:p>
    <w:p>
      <w:pPr>
        <w:spacing w:after="0" w:line="189"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we had $25.0 million of borrowings outstanding on the Revolving Line, which bore interest at 1.67%, which is equal to the LIBOR rate plus an applicable margin.</w:t>
      </w:r>
    </w:p>
    <w:p>
      <w:pPr>
        <w:spacing w:after="0" w:line="162"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We were in compliance with all debt covenants as of July 31, 2020.</w:t>
      </w:r>
    </w:p>
    <w:p>
      <w:pPr>
        <w:spacing w:after="0" w:line="222" w:lineRule="exact"/>
        <w:rPr>
          <w:sz w:val="20"/>
          <w:szCs w:val="20"/>
          <w:color w:val="auto"/>
        </w:rPr>
      </w:pPr>
    </w:p>
    <w:p>
      <w:pPr>
        <w:ind w:right="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On August 26, 2020, our Board of Directors authorized a regular quarterly dividend for shareholders of $0.05 per share. The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July 31, 2020 will be for shareholders of record as of market close on September 17, 2020 and is payable on October 1, 2020.</w:t>
      </w:r>
    </w:p>
    <w:p>
      <w:pPr>
        <w:spacing w:after="0" w:line="160"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the costs to ensure access to adequate manufacturing capacity, costs to enhance the equipment and software at our logistics facility.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 In addition to the operational needs described above, at the time of the Separation, we contributed $25.0 million in cash to the outdoor products and accessories business.</w:t>
      </w:r>
    </w:p>
    <w:p>
      <w:pPr>
        <w:spacing w:after="0" w:line="21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As of July 31, 2020, we had $65.3 million in cash and cash equivalents on hand. Based upon our current working capital position, current operating plans, and expected business conditions, we believe that our existing capital resources and credit facilities will be adequate to fund our operations, including our outstanding debt and other commitments, for the next 12 months.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3 of the Notes to the Consolidated Financial Statements in our Annual Report on Form 10-K for the fiscal year ended April 30, 2020. The most significant areas involving our judgments and estimates are described in Management’s Discussion and Analysis of Financial Condition and Results of Operations in our Annual Report on Form 10-K for the fiscal year ended April 30, 2020, to which there have been no material changes. Actual results could differ from our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40" w:firstLine="510"/>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if any, is discussed in Note </w:t>
      </w:r>
      <w:r>
        <w:rPr>
          <w:rFonts w:ascii="Times New Roman" w:cs="Times New Roman" w:eastAsia="Times New Roman" w:hAnsi="Times New Roman"/>
          <w:sz w:val="18"/>
          <w:szCs w:val="18"/>
          <w:i w:val="1"/>
          <w:iCs w:val="1"/>
          <w:color w:val="auto"/>
        </w:rPr>
        <w:t>2—Basis of Presentation</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40" w:firstLine="510"/>
        <w:spacing w:after="0" w:line="282" w:lineRule="auto"/>
        <w:rPr>
          <w:sz w:val="20"/>
          <w:szCs w:val="20"/>
          <w:color w:val="auto"/>
        </w:rPr>
      </w:pPr>
      <w:r>
        <w:rPr>
          <w:rFonts w:ascii="Times New Roman" w:cs="Times New Roman" w:eastAsia="Times New Roman" w:hAnsi="Times New Roman"/>
          <w:sz w:val="18"/>
          <w:szCs w:val="18"/>
          <w:color w:val="auto"/>
        </w:rPr>
        <w:t>During the period ended July 31, 2020, we did not enter into or transact any forward option contracts nor did we have any forward contracts outstanding.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or the Exchange Act). Based on this evaluation, our Chief Executive Officer and Chief Financial Officer concluded that, as of July 31, 2020,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have concluded that, as of July 31, 2020, our disclosure controls and procedures were effective at a reasonable assurance level in that they were reasonably designed to ensure that information required to be disclosed by us in the reports we file or submit under the Exchange Act (i) is recorded, processed, summarized, and reported within the time periods specified in the rules and forms of the SEC, and (ii) is accumulated and communicated to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period covered by this Quarterly Report on Form 10-Q that has materially affected, or is reasonably likely to materially affect, our internal control over financial reporting.</w:t>
      </w:r>
    </w:p>
    <w:p>
      <w:pPr>
        <w:spacing w:after="0" w:line="202"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April 30, 2020. In making this assessment, our management used the criteria set forth by the Committee of Sponsoring Organizations of the Treadway Commission (COSO) in Internal Control – Integrated Framework (2013).</w:t>
      </w:r>
    </w:p>
    <w:p>
      <w:pPr>
        <w:spacing w:after="0" w:line="216"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A material weakness, as defined in Exchange Act Rule 12b-2,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3"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the course of preparing the financial statements that are included in our Form 10-K dated April 30, 2020, management identified a material weakness in the internal control environment as we did not appropriately design and maintain controls related to the accounting for goodwill impairment. Control activities were not designed or maintained over the preparation and review of the goodwill impairment analysis, including our accounting for the related income tax treatment and review of third-party experts’ work product.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7" w:name="page28"/>
    <w:bookmarkEnd w:id="27"/>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material weakness resulted in audit adjustments to goodwill pertaining to our Outdoor Products &amp; Accessories reporting unit that were recorded in our consolidated financial statements as of and for the year ended April 30, 2020 prior to our issuance of those financial statements and could result in a reasonable possibility that a material misstatement to our annual or interim consolidated financial statements may not be prevented or detected on a timely basis by our internal controls.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Because of this material weakness, management concluded that we did not maintain effective internal control over financial reporting as of April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4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response to the material weaknesses described above, during the three months ended July 31, 2020, we began implementing, evaluating, and designing new internal controls and procedures related to the accounting for goodwill impairment. Though management is still evaluating the design of these new controls and procedures, we believe that our improved processes and procedures will assist in the remediation of our material weakness. Once placed in operation for a sufficient period of time, we will subject these controls and procedures to appropriate tests in order to determine whether they are operating effectively. Management, with oversight from the Audit Committee, is committed to the remediation of our known material weakness as expeditiously as possible.</w:t>
      </w:r>
    </w:p>
    <w:p>
      <w:pPr>
        <w:spacing w:after="0" w:line="187"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our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28" w:name="page29"/>
    <w:bookmarkEnd w:id="28"/>
    <w:p>
      <w:pPr>
        <w:ind w:left="41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100" w:firstLine="510"/>
        <w:spacing w:after="0" w:line="284" w:lineRule="auto"/>
        <w:rPr>
          <w:sz w:val="20"/>
          <w:szCs w:val="20"/>
          <w:color w:val="auto"/>
        </w:rPr>
      </w:pPr>
      <w:r>
        <w:rPr>
          <w:rFonts w:ascii="Times New Roman" w:cs="Times New Roman" w:eastAsia="Times New Roman" w:hAnsi="Times New Roman"/>
          <w:sz w:val="18"/>
          <w:szCs w:val="18"/>
          <w:color w:val="auto"/>
        </w:rPr>
        <w:t>The nature of legal proceedings against us is discussed in Note 10</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report,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2020, we had no authorized share repurchase programs.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(immediately preceding the signatures section of this Quarterly Report on Form 10-Q) are included herewith or incorporated herein by reference.</w:t>
      </w:r>
    </w:p>
    <w:p>
      <w:pPr>
        <w:spacing w:after="0" w:line="1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56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59"/>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Plan of Merger, dated May 29, 2020, by and between American Outdoor Brands and the Registrant (1)</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3.10</w:t>
            </w:r>
          </w:p>
        </w:tc>
        <w:tc>
          <w:tcPr>
            <w:tcW w:w="9560" w:type="dxa"/>
            <w:vAlign w:val="bottom"/>
          </w:tcPr>
          <w:p>
            <w:pPr>
              <w:ind w:left="2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u w:val="single" w:color="auto"/>
                  <w:color w:val="0000EE"/>
                </w:rPr>
                <w:t>Articles</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Merger (1)</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10.107(a)</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Executive Severance Pay Plan, amended as of June 4, 2020 (2)</w:t>
              </w:r>
            </w:hyperlink>
          </w:p>
        </w:tc>
      </w:tr>
      <w:tr>
        <w:trPr>
          <w:trHeight w:val="432"/>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Rule 13a-14(a)/15d-14(a) Certification of Principal Executive Officer</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Rule 13a-14(a)/15d-14(a) Certification of Principal Financial Officer</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Section 1350 Certification of Principal Executive Officer</w:t>
              </w:r>
            </w:hyperlink>
          </w:p>
        </w:tc>
      </w:tr>
      <w:tr>
        <w:trPr>
          <w:trHeight w:val="338"/>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Pr>
          <w:p>
            <w:pPr>
              <w:ind w:left="2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Section 1350 Certification of Principal Financial Officer</w:t>
              </w:r>
            </w:hyperlink>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1140" w:hanging="1132"/>
        <w:spacing w:after="0"/>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63"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June 1, 2020.</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June 9, 2020.</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5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SMITH &amp; WESSON BRANDS, INC.</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3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2020</w:t>
            </w:r>
          </w:p>
        </w:tc>
        <w:tc>
          <w:tcPr>
            <w:tcW w:w="34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3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3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2020</w:t>
            </w:r>
          </w:p>
        </w:tc>
        <w:tc>
          <w:tcPr>
            <w:tcW w:w="34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3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36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r>
      <w:tr>
        <w:trPr>
          <w:trHeight w:val="236"/>
        </w:trPr>
        <w:tc>
          <w:tcPr>
            <w:tcW w:w="36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tc>
      </w:tr>
      <w:tr>
        <w:trPr>
          <w:trHeight w:val="675"/>
        </w:trPr>
        <w:tc>
          <w:tcPr>
            <w:tcW w:w="3660" w:type="dxa"/>
            <w:vAlign w:val="bottom"/>
          </w:tcPr>
          <w:p>
            <w:pPr>
              <w:spacing w:after="0"/>
              <w:rPr>
                <w:sz w:val="24"/>
                <w:szCs w:val="24"/>
                <w:color w:val="auto"/>
              </w:rPr>
            </w:pPr>
          </w:p>
        </w:tc>
        <w:tc>
          <w:tcPr>
            <w:tcW w:w="3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31</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2"/>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6"/>
        <w:spacing w:after="0" w:line="282" w:lineRule="auto"/>
        <w:tabs>
          <w:tab w:leader="none" w:pos="125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6"/>
        <w:spacing w:after="0" w:line="282" w:lineRule="auto"/>
        <w:tabs>
          <w:tab w:leader="none" w:pos="126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ectPr>
          <w:pgSz w:w="11900" w:h="16838" w:orient="portrait"/>
          <w:cols w:equalWidth="0" w:num="1">
            <w:col w:w="11240"/>
          </w:cols>
          <w:pgMar w:left="320" w:top="36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Smith &amp; Wesson Brands, Inc.;</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6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60" w:firstLine="1026"/>
        <w:spacing w:after="0" w:line="282" w:lineRule="auto"/>
        <w:tabs>
          <w:tab w:leader="none" w:pos="126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6"/>
        <w:spacing w:after="0" w:line="282" w:lineRule="auto"/>
        <w:tabs>
          <w:tab w:leader="none" w:pos="12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6"/>
        <w:spacing w:after="0" w:line="282" w:lineRule="auto"/>
        <w:tabs>
          <w:tab w:leader="none" w:pos="126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left="340" w:right="19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July 31, 2020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ind w:left="340" w:right="194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Smith &amp; Wesson Brands, Inc. (the “Company”) for the quarterly period ended July 31, 2020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The Report fully complies with the requirements of Section 13(a) or 15(d), as applicable, of the Securities Exchange Act of 1934,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2"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Deana L.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18415</wp:posOffset>
            </wp:positionV>
            <wp:extent cx="2537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Deana L. McPherson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8"/>
    </w:lvl>
    <w:lvl w:ilvl="1">
      <w:lvlJc w:val="left"/>
      <w:lvlText w:val="%2"/>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04"/>
    </w:lvl>
    <w:lvl w:ilvl="1">
      <w:lvlJc w:val="left"/>
      <w:lvlText w:val="(%2)"/>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8" Type="http://schemas.openxmlformats.org/officeDocument/2006/relationships/hyperlink" Target="http://www.sec.gov/Archives/edgar/data/1092796/000119312520157220/d830363dex212.htm" TargetMode="External"/><Relationship Id="rId49" Type="http://schemas.openxmlformats.org/officeDocument/2006/relationships/hyperlink" Target="http://www.sec.gov/Archives/edgar/data/1092796/000119312520164633/d941186dex10107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2020-09-03T15:24:36Z</dcterms:created>
  <dcterms:modified xsi:type="dcterms:W3CDTF">2020-09-03T15:24:36Z</dcterms:modified>
</cp:coreProperties>
</file>