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12.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swbi-20260806.htm"/>
      <w:bookmarkStart w:id="1" w:name="ksswbi20260806"/>
      <w:bookmarkEnd w:id="0"/>
      <w:bookmarkEnd w:id="1"/>
      <w:r>
        <w:rPr/>
        <w:t> </w:t>
      </w:r>
    </w:p>
    <w:p>
      <w:pPr>
        <w:pStyle w:val="TextBody"/>
        <w:bidi w:val="0"/>
        <w:jc w:val="center"/>
        <w:rPr>
          <w:rFonts w:ascii="Arial" w:hAnsi="Arial"/>
          <w:b/>
          <w:color w:val="000000"/>
          <w:sz w:val="20"/>
        </w:rPr>
      </w:pPr>
      <w:r>
        <w:rPr>
          <w:rFonts w:ascii="Arial" w:hAnsi="Arial"/>
          <w:b/>
          <w:color w:val="000000"/>
          <w:sz w:val="20"/>
        </w:rPr>
        <w:t>UNITED STATES</w:t>
      </w:r>
    </w:p>
    <w:p>
      <w:pPr>
        <w:pStyle w:val="TextBody"/>
        <w:bidi w:val="0"/>
        <w:jc w:val="center"/>
        <w:rPr>
          <w:rFonts w:ascii="Arial" w:hAnsi="Arial"/>
          <w:b/>
          <w:color w:val="000000"/>
          <w:sz w:val="20"/>
        </w:rPr>
      </w:pPr>
      <w:r>
        <w:rPr>
          <w:rFonts w:ascii="Arial" w:hAnsi="Arial"/>
          <w:b/>
          <w:color w:val="000000"/>
          <w:sz w:val="20"/>
        </w:rPr>
        <w:t>SECURITIES AND EXCHANGE COMMISSION</w:t>
      </w:r>
    </w:p>
    <w:p>
      <w:pPr>
        <w:pStyle w:val="TextBody"/>
        <w:bidi w:val="0"/>
        <w:jc w:val="center"/>
        <w:rPr>
          <w:rFonts w:ascii="Arial" w:hAnsi="Arial"/>
          <w:b/>
          <w:color w:val="000000"/>
          <w:sz w:val="20"/>
        </w:rPr>
      </w:pPr>
      <w:r>
        <w:rPr>
          <w:rFonts w:ascii="Arial" w:hAnsi="Arial"/>
          <w:b/>
          <w:color w:val="000000"/>
          <w:sz w:val="20"/>
        </w:rPr>
        <w:t>Washington, D.C. 20549</w:t>
      </w:r>
    </w:p>
    <w:p>
      <w:pPr>
        <w:pStyle w:val="TextBody"/>
        <w:bidi w:val="0"/>
        <w:spacing w:before="0" w:after="120"/>
        <w:jc w:val="center"/>
        <w:rPr>
          <w:rFonts w:ascii="Arial" w:hAnsi="Arial"/>
          <w:b/>
          <w:color w:val="000000"/>
          <w:sz w:val="20"/>
        </w:rPr>
      </w:pPr>
      <w:r>
        <w:rPr>
          <w:rFonts w:ascii="Arial" w:hAnsi="Arial"/>
          <w:b/>
          <w:color w:val="000000"/>
          <w:sz w:val="20"/>
        </w:rPr>
        <w:t>SCHEDULE 14A</w:t>
      </w:r>
    </w:p>
    <w:p>
      <w:pPr>
        <w:pStyle w:val="TextBody"/>
        <w:bidi w:val="0"/>
        <w:spacing w:before="0" w:after="120"/>
        <w:jc w:val="center"/>
        <w:rPr>
          <w:rFonts w:ascii="Arial" w:hAnsi="Arial"/>
          <w:b/>
          <w:color w:val="000000"/>
          <w:sz w:val="20"/>
        </w:rPr>
      </w:pPr>
      <w:r>
        <w:rPr>
          <w:rFonts w:ascii="Arial" w:hAnsi="Arial"/>
          <w:b/>
          <w:color w:val="000000"/>
          <w:sz w:val="20"/>
        </w:rPr>
        <w:t>Proxy Statement Pursuant to Section 14(a) of the Securities</w:t>
        <w:br/>
        <w:t>Exchange Act of 1934 (Amendment No. )</w:t>
      </w:r>
    </w:p>
    <w:p>
      <w:pPr>
        <w:pStyle w:val="TextBody"/>
        <w:bidi w:val="0"/>
        <w:jc w:val="both"/>
        <w:rPr>
          <w:rFonts w:ascii="Times New Roman" w:hAnsi="Times New Roman"/>
          <w:sz w:val="20"/>
        </w:rPr>
      </w:pPr>
      <w:r>
        <w:rPr>
          <w:rFonts w:ascii="Arial" w:hAnsi="Arial"/>
          <w:color w:val="000000"/>
          <w:sz w:val="18"/>
        </w:rPr>
        <w:t xml:space="preserve">Filed by the Registrant </w:t>
      </w:r>
      <w:r>
        <w:rPr>
          <w:rFonts w:ascii="Times New Roman" w:hAnsi="Times New Roman"/>
          <w:color w:val="000000"/>
          <w:sz w:val="20"/>
        </w:rPr>
        <w:t>☒</w:t>
      </w:r>
    </w:p>
    <w:p>
      <w:pPr>
        <w:pStyle w:val="TextBody"/>
        <w:bidi w:val="0"/>
        <w:jc w:val="both"/>
        <w:rPr>
          <w:rFonts w:ascii="Times New Roman" w:hAnsi="Times New Roman"/>
          <w:sz w:val="20"/>
        </w:rPr>
      </w:pPr>
      <w:r>
        <w:rPr>
          <w:rFonts w:ascii="Arial" w:hAnsi="Arial"/>
          <w:color w:val="000000"/>
          <w:sz w:val="18"/>
        </w:rPr>
        <w:t xml:space="preserve">Filed by a Party other than the Registrant </w:t>
      </w:r>
      <w:r>
        <w:rPr>
          <w:rFonts w:ascii="Times New Roman" w:hAnsi="Times New Roman"/>
          <w:color w:val="000000"/>
          <w:sz w:val="20"/>
        </w:rPr>
        <w:t>☐</w:t>
      </w:r>
    </w:p>
    <w:p>
      <w:pPr>
        <w:pStyle w:val="TextBody"/>
        <w:bidi w:val="0"/>
        <w:jc w:val="both"/>
        <w:rPr>
          <w:rFonts w:ascii="Times New Roman" w:hAnsi="Times New Roman"/>
          <w:sz w:val="20"/>
        </w:rPr>
      </w:pPr>
      <w:r>
        <w:rPr>
          <w:rFonts w:ascii="Arial" w:hAnsi="Arial"/>
          <w:color w:val="000000"/>
          <w:sz w:val="18"/>
        </w:rPr>
        <w:t>Check the appropriate box:</w:t>
      </w:r>
      <w:r>
        <w:rPr>
          <w:rFonts w:ascii="Times New Roman" w:hAnsi="Times New Roman"/>
          <w:color w:val="000000"/>
          <w:sz w:val="20"/>
        </w:rPr>
        <w:t xml:space="preserve"> </w:t>
      </w:r>
    </w:p>
    <w:p>
      <w:pPr>
        <w:pStyle w:val="TextBody"/>
        <w:bidi w:val="0"/>
        <w:jc w:val="both"/>
        <w:rPr/>
      </w:pPr>
      <w:r>
        <w:rPr/>
        <w:t> </w:t>
      </w:r>
    </w:p>
    <w:tbl>
      <w:tblPr>
        <w:tblW w:w="7217" w:type="dxa"/>
        <w:jc w:val="left"/>
        <w:tblInd w:w="0" w:type="dxa"/>
        <w:tblLayout w:type="fixed"/>
        <w:tblCellMar>
          <w:top w:w="28" w:type="dxa"/>
          <w:left w:w="28" w:type="dxa"/>
          <w:bottom w:w="28" w:type="dxa"/>
          <w:right w:w="28" w:type="dxa"/>
        </w:tblCellMar>
      </w:tblPr>
      <w:tblGrid>
        <w:gridCol w:w="331"/>
        <w:gridCol w:w="6886"/>
      </w:tblGrid>
      <w:tr>
        <w:trPr/>
        <w:tc>
          <w:tcPr>
            <w:tcW w:w="331" w:type="dxa"/>
            <w:tcBorders/>
            <w:vAlign w:val="center"/>
          </w:tcPr>
          <w:p>
            <w:pPr>
              <w:pStyle w:val="TableContents"/>
              <w:bidi w:val="0"/>
              <w:spacing w:before="0" w:after="283"/>
              <w:jc w:val="left"/>
              <w:rPr>
                <w:sz w:val="4"/>
                <w:szCs w:val="4"/>
              </w:rPr>
            </w:pPr>
            <w:r>
              <w:rPr>
                <w:sz w:val="4"/>
                <w:szCs w:val="4"/>
              </w:rPr>
            </w:r>
          </w:p>
        </w:tc>
        <w:tc>
          <w:tcPr>
            <w:tcW w:w="688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6886"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18"/>
              </w:rPr>
            </w:pPr>
            <w:r>
              <w:rPr>
                <w:rFonts w:ascii="Arial" w:hAnsi="Arial"/>
                <w:color w:val="000000"/>
                <w:sz w:val="18"/>
              </w:rPr>
              <w:t>Preliminary Proxy Statement</w:t>
            </w:r>
          </w:p>
        </w:tc>
      </w:tr>
      <w:tr>
        <w:trPr/>
        <w:tc>
          <w:tcPr>
            <w:tcW w:w="331" w:type="dxa"/>
            <w:tcBorders/>
            <w:tcMar>
              <w:top w:w="0" w:type="dxa"/>
              <w:left w:w="0" w:type="dxa"/>
              <w:bottom w:w="0" w:type="dxa"/>
              <w:right w:w="0" w:type="dxa"/>
            </w:tcMar>
            <w:vAlign w:val="center"/>
          </w:tcPr>
          <w:p>
            <w:pPr>
              <w:pStyle w:val="TableContents"/>
              <w:bidi w:val="0"/>
              <w:spacing w:before="0" w:after="283"/>
              <w:jc w:val="both"/>
              <w:rPr/>
            </w:pPr>
            <w:r>
              <w:rPr/>
              <w:t> </w:t>
            </w:r>
          </w:p>
        </w:tc>
        <w:tc>
          <w:tcPr>
            <w:tcW w:w="6886"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6886" w:type="dxa"/>
            <w:tcBorders/>
            <w:tcMar>
              <w:top w:w="0" w:type="dxa"/>
              <w:left w:w="0" w:type="dxa"/>
              <w:bottom w:w="0" w:type="dxa"/>
              <w:right w:w="0" w:type="dxa"/>
            </w:tcMar>
            <w:vAlign w:val="center"/>
          </w:tcPr>
          <w:p>
            <w:pPr>
              <w:pStyle w:val="TableContents"/>
              <w:bidi w:val="0"/>
              <w:spacing w:before="0" w:after="283"/>
              <w:jc w:val="both"/>
              <w:rPr>
                <w:rFonts w:ascii="Arial" w:hAnsi="Arial"/>
                <w:b/>
                <w:color w:val="000000"/>
                <w:sz w:val="18"/>
              </w:rPr>
            </w:pPr>
            <w:r>
              <w:rPr>
                <w:rFonts w:ascii="Arial" w:hAnsi="Arial"/>
                <w:b/>
                <w:color w:val="000000"/>
                <w:sz w:val="18"/>
              </w:rPr>
              <w:t>Confidential, for Use of the Commission Only (as permitted by Rule 14a-6(e)(2))</w:t>
            </w:r>
          </w:p>
        </w:tc>
      </w:tr>
      <w:tr>
        <w:trPr/>
        <w:tc>
          <w:tcPr>
            <w:tcW w:w="331" w:type="dxa"/>
            <w:tcBorders/>
            <w:tcMar>
              <w:top w:w="0" w:type="dxa"/>
              <w:left w:w="0" w:type="dxa"/>
              <w:bottom w:w="0" w:type="dxa"/>
              <w:right w:w="0" w:type="dxa"/>
            </w:tcMar>
            <w:vAlign w:val="center"/>
          </w:tcPr>
          <w:p>
            <w:pPr>
              <w:pStyle w:val="TableContents"/>
              <w:bidi w:val="0"/>
              <w:spacing w:before="0" w:after="283"/>
              <w:jc w:val="both"/>
              <w:rPr/>
            </w:pPr>
            <w:r>
              <w:rPr/>
              <w:t> </w:t>
            </w:r>
          </w:p>
        </w:tc>
        <w:tc>
          <w:tcPr>
            <w:tcW w:w="6886"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6886"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18"/>
              </w:rPr>
            </w:pPr>
            <w:r>
              <w:rPr>
                <w:rFonts w:ascii="Arial" w:hAnsi="Arial"/>
                <w:color w:val="000000"/>
                <w:sz w:val="18"/>
              </w:rPr>
              <w:t>Definitive Proxy Statement</w:t>
            </w:r>
          </w:p>
        </w:tc>
      </w:tr>
      <w:tr>
        <w:trPr/>
        <w:tc>
          <w:tcPr>
            <w:tcW w:w="331" w:type="dxa"/>
            <w:tcBorders/>
            <w:tcMar>
              <w:top w:w="0" w:type="dxa"/>
              <w:left w:w="0" w:type="dxa"/>
              <w:bottom w:w="0" w:type="dxa"/>
              <w:right w:w="0" w:type="dxa"/>
            </w:tcMar>
            <w:vAlign w:val="center"/>
          </w:tcPr>
          <w:p>
            <w:pPr>
              <w:pStyle w:val="TableContents"/>
              <w:bidi w:val="0"/>
              <w:spacing w:before="0" w:after="283"/>
              <w:jc w:val="both"/>
              <w:rPr/>
            </w:pPr>
            <w:r>
              <w:rPr/>
              <w:t> </w:t>
            </w:r>
          </w:p>
        </w:tc>
        <w:tc>
          <w:tcPr>
            <w:tcW w:w="6886"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6886"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18"/>
              </w:rPr>
            </w:pPr>
            <w:r>
              <w:rPr>
                <w:rFonts w:ascii="Arial" w:hAnsi="Arial"/>
                <w:color w:val="000000"/>
                <w:sz w:val="18"/>
              </w:rPr>
              <w:t>Definitive Additional Materials</w:t>
            </w:r>
          </w:p>
        </w:tc>
      </w:tr>
      <w:tr>
        <w:trPr/>
        <w:tc>
          <w:tcPr>
            <w:tcW w:w="331" w:type="dxa"/>
            <w:tcBorders/>
            <w:tcMar>
              <w:top w:w="0" w:type="dxa"/>
              <w:left w:w="0" w:type="dxa"/>
              <w:bottom w:w="0" w:type="dxa"/>
              <w:right w:w="0" w:type="dxa"/>
            </w:tcMar>
            <w:vAlign w:val="center"/>
          </w:tcPr>
          <w:p>
            <w:pPr>
              <w:pStyle w:val="TableContents"/>
              <w:bidi w:val="0"/>
              <w:spacing w:before="0" w:after="283"/>
              <w:jc w:val="both"/>
              <w:rPr/>
            </w:pPr>
            <w:r>
              <w:rPr/>
              <w:t> </w:t>
            </w:r>
          </w:p>
        </w:tc>
        <w:tc>
          <w:tcPr>
            <w:tcW w:w="6886"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6886"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18"/>
              </w:rPr>
            </w:pPr>
            <w:r>
              <w:rPr>
                <w:rFonts w:ascii="Arial" w:hAnsi="Arial"/>
                <w:color w:val="000000"/>
                <w:sz w:val="18"/>
              </w:rPr>
              <w:t>Soliciting Material Pursuant to § 240.14a-12</w:t>
            </w:r>
          </w:p>
        </w:tc>
      </w:tr>
    </w:tbl>
    <w:p>
      <w:pPr>
        <w:pStyle w:val="TextBody"/>
        <w:bidi w:val="0"/>
        <w:jc w:val="both"/>
        <w:rPr/>
      </w:pPr>
      <w:r>
        <w:rPr/>
        <w:t> </w:t>
      </w:r>
    </w:p>
    <w:tbl>
      <w:tblPr>
        <w:tblW w:w="3991" w:type="dxa"/>
        <w:jc w:val="left"/>
        <w:tblInd w:w="0" w:type="dxa"/>
        <w:tblLayout w:type="fixed"/>
        <w:tblCellMar>
          <w:top w:w="28" w:type="dxa"/>
          <w:left w:w="28" w:type="dxa"/>
          <w:bottom w:w="28" w:type="dxa"/>
          <w:right w:w="28" w:type="dxa"/>
        </w:tblCellMar>
      </w:tblPr>
      <w:tblGrid>
        <w:gridCol w:w="3991"/>
      </w:tblGrid>
      <w:tr>
        <w:trPr/>
        <w:tc>
          <w:tcPr>
            <w:tcW w:w="3991" w:type="dxa"/>
            <w:tcBorders/>
            <w:vAlign w:val="center"/>
          </w:tcPr>
          <w:p>
            <w:pPr>
              <w:pStyle w:val="TableContents"/>
              <w:bidi w:val="0"/>
              <w:spacing w:before="0" w:after="283"/>
              <w:jc w:val="left"/>
              <w:rPr>
                <w:sz w:val="4"/>
                <w:szCs w:val="4"/>
              </w:rPr>
            </w:pPr>
            <w:r>
              <w:rPr>
                <w:sz w:val="4"/>
                <w:szCs w:val="4"/>
              </w:rPr>
            </w:r>
          </w:p>
        </w:tc>
      </w:tr>
      <w:tr>
        <w:trPr/>
        <w:tc>
          <w:tcPr>
            <w:tcW w:w="399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Smith &amp; Wesson Brands, Inc.</w:t>
            </w:r>
          </w:p>
        </w:tc>
      </w:tr>
      <w:tr>
        <w:trPr/>
        <w:tc>
          <w:tcPr>
            <w:tcW w:w="3991" w:type="dxa"/>
            <w:tcBorders/>
            <w:tcMar>
              <w:top w:w="0" w:type="dxa"/>
              <w:left w:w="0" w:type="dxa"/>
              <w:bottom w:w="0" w:type="dxa"/>
              <w:right w:w="0" w:type="dxa"/>
            </w:tcMar>
            <w:vAlign w:val="center"/>
          </w:tcPr>
          <w:p>
            <w:pPr>
              <w:pStyle w:val="TableContents"/>
              <w:bidi w:val="0"/>
              <w:spacing w:before="40" w:after="283"/>
              <w:jc w:val="center"/>
              <w:rPr>
                <w:rFonts w:ascii="Arial" w:hAnsi="Arial"/>
                <w:color w:val="000000"/>
                <w:sz w:val="18"/>
              </w:rPr>
            </w:pPr>
            <w:r>
              <w:rPr>
                <w:rFonts w:ascii="Arial" w:hAnsi="Arial"/>
                <w:color w:val="000000"/>
                <w:sz w:val="18"/>
              </w:rPr>
              <w:t>(Name of Registrant as Specified in its Charter)</w:t>
            </w:r>
          </w:p>
        </w:tc>
      </w:tr>
    </w:tbl>
    <w:p>
      <w:pPr>
        <w:pStyle w:val="TextBody"/>
        <w:bidi w:val="0"/>
        <w:jc w:val="both"/>
        <w:rPr/>
      </w:pPr>
      <w:r>
        <w:rPr/>
        <w:t> </w:t>
      </w:r>
    </w:p>
    <w:tbl>
      <w:tblPr>
        <w:tblW w:w="6016" w:type="dxa"/>
        <w:jc w:val="left"/>
        <w:tblInd w:w="0" w:type="dxa"/>
        <w:tblLayout w:type="fixed"/>
        <w:tblCellMar>
          <w:top w:w="28" w:type="dxa"/>
          <w:left w:w="28" w:type="dxa"/>
          <w:bottom w:w="28" w:type="dxa"/>
          <w:right w:w="28" w:type="dxa"/>
        </w:tblCellMar>
      </w:tblPr>
      <w:tblGrid>
        <w:gridCol w:w="6016"/>
      </w:tblGrid>
      <w:tr>
        <w:trPr/>
        <w:tc>
          <w:tcPr>
            <w:tcW w:w="6016" w:type="dxa"/>
            <w:tcBorders/>
            <w:vAlign w:val="center"/>
          </w:tcPr>
          <w:p>
            <w:pPr>
              <w:pStyle w:val="TableContents"/>
              <w:bidi w:val="0"/>
              <w:spacing w:before="0" w:after="283"/>
              <w:jc w:val="left"/>
              <w:rPr>
                <w:sz w:val="4"/>
                <w:szCs w:val="4"/>
              </w:rPr>
            </w:pPr>
            <w:r>
              <w:rPr>
                <w:sz w:val="4"/>
                <w:szCs w:val="4"/>
              </w:rPr>
            </w:r>
          </w:p>
        </w:tc>
      </w:tr>
      <w:tr>
        <w:trPr/>
        <w:tc>
          <w:tcPr>
            <w:tcW w:w="6016" w:type="dxa"/>
            <w:tcBorders>
              <w:bottom w:val="single" w:sz="4" w:space="0" w:color="000000"/>
            </w:tcBorders>
            <w:tcMar>
              <w:top w:w="0" w:type="dxa"/>
              <w:left w:w="0" w:type="dxa"/>
              <w:right w:w="0" w:type="dxa"/>
            </w:tcMar>
            <w:vAlign w:val="center"/>
          </w:tcPr>
          <w:p>
            <w:pPr>
              <w:pStyle w:val="TableContents"/>
              <w:bidi w:val="0"/>
              <w:spacing w:before="0" w:after="283"/>
              <w:jc w:val="both"/>
              <w:rPr/>
            </w:pPr>
            <w:r>
              <w:rPr/>
              <w:t> </w:t>
            </w:r>
          </w:p>
        </w:tc>
      </w:tr>
      <w:tr>
        <w:trPr/>
        <w:tc>
          <w:tcPr>
            <w:tcW w:w="6016" w:type="dxa"/>
            <w:tcBorders/>
            <w:tcMar>
              <w:top w:w="0" w:type="dxa"/>
              <w:left w:w="0" w:type="dxa"/>
              <w:bottom w:w="0" w:type="dxa"/>
              <w:right w:w="0" w:type="dxa"/>
            </w:tcMar>
            <w:vAlign w:val="center"/>
          </w:tcPr>
          <w:p>
            <w:pPr>
              <w:pStyle w:val="TableContents"/>
              <w:bidi w:val="0"/>
              <w:spacing w:before="40" w:after="283"/>
              <w:jc w:val="center"/>
              <w:rPr>
                <w:rFonts w:ascii="Arial" w:hAnsi="Arial"/>
                <w:color w:val="000000"/>
                <w:sz w:val="18"/>
              </w:rPr>
            </w:pPr>
            <w:r>
              <w:rPr>
                <w:rFonts w:ascii="Arial" w:hAnsi="Arial"/>
                <w:color w:val="000000"/>
                <w:sz w:val="18"/>
              </w:rPr>
              <w:t>(Name of Person(s) Filing Proxy Statement, if Other Than the Registrant)</w:t>
            </w:r>
          </w:p>
        </w:tc>
      </w:tr>
    </w:tbl>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18"/>
        </w:rPr>
        <w:t>Payment of Filing Fee (Check the appropriate box):</w:t>
      </w:r>
      <w:r>
        <w:rPr>
          <w:rFonts w:ascii="Times New Roman" w:hAnsi="Times New Roman"/>
          <w:color w:val="000000"/>
          <w:sz w:val="20"/>
        </w:rPr>
        <w:t xml:space="preserve"> </w:t>
      </w:r>
    </w:p>
    <w:p>
      <w:pPr>
        <w:pStyle w:val="TextBody"/>
        <w:bidi w:val="0"/>
        <w:jc w:val="both"/>
        <w:rPr/>
      </w:pPr>
      <w:r>
        <w:rPr/>
        <w:t> </w:t>
      </w:r>
    </w:p>
    <w:tbl>
      <w:tblPr>
        <w:tblW w:w="8686" w:type="dxa"/>
        <w:jc w:val="left"/>
        <w:tblInd w:w="0" w:type="dxa"/>
        <w:tblLayout w:type="fixed"/>
        <w:tblCellMar>
          <w:top w:w="28" w:type="dxa"/>
          <w:left w:w="28" w:type="dxa"/>
          <w:bottom w:w="28" w:type="dxa"/>
          <w:right w:w="28" w:type="dxa"/>
        </w:tblCellMar>
      </w:tblPr>
      <w:tblGrid>
        <w:gridCol w:w="331"/>
        <w:gridCol w:w="3610"/>
        <w:gridCol w:w="4745"/>
      </w:tblGrid>
      <w:tr>
        <w:trPr/>
        <w:tc>
          <w:tcPr>
            <w:tcW w:w="331" w:type="dxa"/>
            <w:tcBorders/>
            <w:vAlign w:val="center"/>
          </w:tcPr>
          <w:p>
            <w:pPr>
              <w:pStyle w:val="TableContents"/>
              <w:bidi w:val="0"/>
              <w:spacing w:before="0" w:after="283"/>
              <w:jc w:val="left"/>
              <w:rPr>
                <w:sz w:val="4"/>
                <w:szCs w:val="4"/>
              </w:rPr>
            </w:pPr>
            <w:r>
              <w:rPr>
                <w:sz w:val="4"/>
                <w:szCs w:val="4"/>
              </w:rPr>
            </w:r>
          </w:p>
        </w:tc>
        <w:tc>
          <w:tcPr>
            <w:tcW w:w="3610" w:type="dxa"/>
            <w:tcBorders/>
            <w:vAlign w:val="center"/>
          </w:tcPr>
          <w:p>
            <w:pPr>
              <w:pStyle w:val="TableContents"/>
              <w:bidi w:val="0"/>
              <w:spacing w:before="0" w:after="283"/>
              <w:jc w:val="left"/>
              <w:rPr>
                <w:sz w:val="4"/>
                <w:szCs w:val="4"/>
              </w:rPr>
            </w:pPr>
            <w:r>
              <w:rPr>
                <w:sz w:val="4"/>
                <w:szCs w:val="4"/>
              </w:rPr>
            </w:r>
          </w:p>
        </w:tc>
        <w:tc>
          <w:tcPr>
            <w:tcW w:w="4745"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8355" w:type="dxa"/>
            <w:gridSpan w:val="2"/>
            <w:tcBorders/>
            <w:tcMar>
              <w:top w:w="0" w:type="dxa"/>
              <w:left w:w="0" w:type="dxa"/>
              <w:bottom w:w="0" w:type="dxa"/>
              <w:right w:w="0" w:type="dxa"/>
            </w:tcMar>
            <w:vAlign w:val="center"/>
          </w:tcPr>
          <w:p>
            <w:pPr>
              <w:pStyle w:val="TableContents"/>
              <w:bidi w:val="0"/>
              <w:spacing w:before="0" w:after="283"/>
              <w:jc w:val="both"/>
              <w:rPr>
                <w:rFonts w:ascii="Arial" w:hAnsi="Arial"/>
                <w:color w:val="000000"/>
                <w:sz w:val="18"/>
              </w:rPr>
            </w:pPr>
            <w:r>
              <w:rPr>
                <w:rFonts w:ascii="Arial" w:hAnsi="Arial"/>
                <w:color w:val="000000"/>
                <w:sz w:val="18"/>
              </w:rPr>
              <w:t>No fee required.</w:t>
            </w:r>
          </w:p>
        </w:tc>
      </w:tr>
      <w:tr>
        <w:trPr/>
        <w:tc>
          <w:tcPr>
            <w:tcW w:w="331" w:type="dxa"/>
            <w:tcBorders/>
            <w:tcMar>
              <w:top w:w="0" w:type="dxa"/>
              <w:left w:w="0" w:type="dxa"/>
              <w:bottom w:w="0" w:type="dxa"/>
              <w:right w:w="0" w:type="dxa"/>
            </w:tcMar>
            <w:vAlign w:val="center"/>
          </w:tcPr>
          <w:p>
            <w:pPr>
              <w:pStyle w:val="TableContents"/>
              <w:bidi w:val="0"/>
              <w:spacing w:before="0" w:after="283"/>
              <w:jc w:val="both"/>
              <w:rPr/>
            </w:pPr>
            <w:r>
              <w:rPr/>
              <w:t> </w:t>
            </w:r>
          </w:p>
        </w:tc>
        <w:tc>
          <w:tcPr>
            <w:tcW w:w="8355" w:type="dxa"/>
            <w:gridSpan w:val="2"/>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8355" w:type="dxa"/>
            <w:gridSpan w:val="2"/>
            <w:tcBorders/>
            <w:tcMar>
              <w:top w:w="0" w:type="dxa"/>
              <w:left w:w="0" w:type="dxa"/>
              <w:bottom w:w="0" w:type="dxa"/>
              <w:right w:w="0" w:type="dxa"/>
            </w:tcMar>
            <w:vAlign w:val="center"/>
          </w:tcPr>
          <w:p>
            <w:pPr>
              <w:pStyle w:val="TableContents"/>
              <w:bidi w:val="0"/>
              <w:spacing w:before="0" w:after="283"/>
              <w:jc w:val="both"/>
              <w:rPr>
                <w:rFonts w:ascii="Arial" w:hAnsi="Arial"/>
                <w:color w:val="000000"/>
                <w:sz w:val="18"/>
              </w:rPr>
            </w:pPr>
            <w:r>
              <w:rPr>
                <w:rFonts w:ascii="Arial" w:hAnsi="Arial"/>
                <w:color w:val="000000"/>
                <w:sz w:val="18"/>
              </w:rPr>
              <w:t>Fee paid previously with preliminary materials.</w:t>
            </w:r>
          </w:p>
        </w:tc>
      </w:tr>
      <w:tr>
        <w:trPr/>
        <w:tc>
          <w:tcPr>
            <w:tcW w:w="331" w:type="dxa"/>
            <w:tcBorders/>
            <w:tcMar>
              <w:top w:w="0" w:type="dxa"/>
              <w:left w:w="0" w:type="dxa"/>
              <w:bottom w:w="0" w:type="dxa"/>
              <w:right w:w="0" w:type="dxa"/>
            </w:tcMar>
            <w:vAlign w:val="center"/>
          </w:tcPr>
          <w:p>
            <w:pPr>
              <w:pStyle w:val="TableContents"/>
              <w:bidi w:val="0"/>
              <w:spacing w:before="0" w:after="283"/>
              <w:jc w:val="both"/>
              <w:rPr/>
            </w:pPr>
            <w:r>
              <w:rPr/>
              <w:t> </w:t>
            </w:r>
          </w:p>
        </w:tc>
        <w:tc>
          <w:tcPr>
            <w:tcW w:w="8355" w:type="dxa"/>
            <w:gridSpan w:val="2"/>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8355" w:type="dxa"/>
            <w:gridSpan w:val="2"/>
            <w:tcBorders/>
            <w:tcMar>
              <w:top w:w="0" w:type="dxa"/>
              <w:left w:w="0" w:type="dxa"/>
              <w:bottom w:w="0" w:type="dxa"/>
              <w:right w:w="0" w:type="dxa"/>
            </w:tcMar>
            <w:vAlign w:val="center"/>
          </w:tcPr>
          <w:p>
            <w:pPr>
              <w:pStyle w:val="TableContents"/>
              <w:bidi w:val="0"/>
              <w:spacing w:before="0" w:after="283"/>
              <w:jc w:val="both"/>
              <w:rPr>
                <w:rFonts w:ascii="Arial" w:hAnsi="Arial"/>
                <w:color w:val="000000"/>
                <w:sz w:val="18"/>
              </w:rPr>
            </w:pPr>
            <w:r>
              <w:rPr>
                <w:rFonts w:ascii="Arial" w:hAnsi="Arial"/>
                <w:color w:val="000000"/>
                <w:sz w:val="18"/>
              </w:rPr>
              <w:t>Fee computed on table in exhibit required by Item 25(b) per Exchange Act Rules 14a-6(i)(1) and 0-11</w:t>
            </w:r>
          </w:p>
        </w:tc>
      </w:tr>
      <w:tr>
        <w:trPr/>
        <w:tc>
          <w:tcPr>
            <w:tcW w:w="331" w:type="dxa"/>
            <w:tcBorders/>
            <w:tcMar>
              <w:top w:w="0" w:type="dxa"/>
              <w:left w:w="0" w:type="dxa"/>
              <w:bottom w:w="0" w:type="dxa"/>
              <w:right w:w="0" w:type="dxa"/>
            </w:tcMar>
            <w:vAlign w:val="center"/>
          </w:tcPr>
          <w:p>
            <w:pPr>
              <w:pStyle w:val="TableContents"/>
              <w:bidi w:val="0"/>
              <w:spacing w:before="0" w:after="283"/>
              <w:jc w:val="both"/>
              <w:rPr/>
            </w:pPr>
            <w:r>
              <w:rPr/>
              <w:t> </w:t>
            </w:r>
          </w:p>
        </w:tc>
        <w:tc>
          <w:tcPr>
            <w:tcW w:w="3610" w:type="dxa"/>
            <w:tcBorders/>
            <w:tcMar>
              <w:top w:w="0" w:type="dxa"/>
              <w:left w:w="0" w:type="dxa"/>
              <w:bottom w:w="0" w:type="dxa"/>
              <w:right w:w="0" w:type="dxa"/>
            </w:tcMar>
            <w:vAlign w:val="center"/>
          </w:tcPr>
          <w:p>
            <w:pPr>
              <w:pStyle w:val="TableContents"/>
              <w:bidi w:val="0"/>
              <w:spacing w:before="0" w:after="283"/>
              <w:jc w:val="both"/>
              <w:rPr/>
            </w:pPr>
            <w:r>
              <w:rPr/>
              <w:t> </w:t>
            </w:r>
          </w:p>
        </w:tc>
        <w:tc>
          <w:tcPr>
            <w:tcW w:w="4745" w:type="dxa"/>
            <w:tcBorders/>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jc w:val="both"/>
        <w:rPr/>
      </w:pPr>
      <w:r>
        <w:rPr/>
        <w:t> </w:t>
      </w:r>
    </w:p>
    <w:p>
      <w:pPr>
        <w:pStyle w:val="TextBody"/>
        <w:bidi w:val="0"/>
        <w:jc w:val="both"/>
        <w:rPr/>
      </w:pPr>
      <w:r>
        <w:rPr/>
        <w:t> </w:t>
      </w:r>
    </w:p>
    <w:p>
      <w:pPr>
        <w:pStyle w:val="TextBody"/>
        <w:bidi w:val="0"/>
        <w:jc w:val="left"/>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5943600" cy="76390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943600" cy="7639050"/>
                    </a:xfrm>
                    <a:prstGeom prst="rect">
                      <a:avLst/>
                    </a:prstGeom>
                  </pic:spPr>
                </pic:pic>
              </a:graphicData>
            </a:graphic>
          </wp:inline>
        </w:drawing>
      </w:r>
    </w:p>
    <w:p>
      <w:pPr>
        <w:pStyle w:val="TextBody"/>
        <w:bidi w:val="0"/>
        <w:jc w:val="center"/>
        <w:rPr/>
      </w:pPr>
      <w:r>
        <w:rPr/>
        <w:t> </w:t>
      </w:r>
    </w:p>
    <w:p>
      <w:pPr>
        <w:pStyle w:val="TextBody"/>
        <w:bidi w:val="0"/>
        <w:jc w:val="center"/>
        <w:rPr/>
      </w:pPr>
      <w:r>
        <w:rPr/>
        <w:t> </w:t>
      </w:r>
    </w:p>
    <w:p>
      <w:pPr>
        <w:pStyle w:val="TextBody"/>
        <w:bidi w:val="0"/>
        <w:jc w:val="left"/>
        <w:rPr>
          <w:rFonts w:ascii="Arial" w:hAnsi="Arial"/>
          <w:color w:val="FFFFFF"/>
          <w:sz w:val="2"/>
        </w:rPr>
      </w:pPr>
      <w:r>
        <w:rPr>
          <w:rFonts w:ascii="Arial" w:hAnsi="Arial"/>
          <w:color w:val="FFFFFF"/>
          <w:sz w:val="2"/>
        </w:rPr>
        <w:t>MEETING AND PROXY STATEMENT 2022 NOTICE OF ANNUAL STOCKHOLDER MEETING AND PROXY STATEMENT</w:t>
      </w:r>
    </w:p>
    <w:p>
      <w:pPr>
        <w:pStyle w:val="TextBody"/>
        <w:bidi w:val="0"/>
        <w:jc w:val="left"/>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color w:val="002668"/>
          <w:sz w:val="44"/>
        </w:rPr>
      </w:pPr>
      <w:r>
        <w:rPr>
          <w:rFonts w:ascii="Arial" w:hAnsi="Arial"/>
          <w:b/>
          <w:color w:val="002668"/>
          <w:sz w:val="44"/>
        </w:rPr>
        <w:t>NOTICE OF ANNUAL MEETING OF STOCKHOLDERS</w:t>
      </w:r>
    </w:p>
    <w:p>
      <w:pPr>
        <w:pStyle w:val="TextBody"/>
        <w:bidi w:val="0"/>
        <w:jc w:val="both"/>
        <w:rPr/>
      </w:pPr>
      <w:r>
        <w:rPr/>
        <w:t> </w:t>
      </w:r>
    </w:p>
    <w:tbl>
      <w:tblPr>
        <w:tblW w:w="8293" w:type="dxa"/>
        <w:jc w:val="left"/>
        <w:tblInd w:w="0" w:type="dxa"/>
        <w:tblLayout w:type="fixed"/>
        <w:tblCellMar>
          <w:top w:w="28" w:type="dxa"/>
          <w:left w:w="28" w:type="dxa"/>
          <w:bottom w:w="28" w:type="dxa"/>
          <w:right w:w="28" w:type="dxa"/>
        </w:tblCellMar>
      </w:tblPr>
      <w:tblGrid>
        <w:gridCol w:w="746"/>
        <w:gridCol w:w="1771"/>
        <w:gridCol w:w="146"/>
        <w:gridCol w:w="701"/>
        <w:gridCol w:w="1831"/>
        <w:gridCol w:w="146"/>
        <w:gridCol w:w="836"/>
        <w:gridCol w:w="2116"/>
      </w:tblGrid>
      <w:tr>
        <w:trPr/>
        <w:tc>
          <w:tcPr>
            <w:tcW w:w="746"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r>
      <w:tr>
        <w:trPr/>
        <w:tc>
          <w:tcPr>
            <w:tcW w:w="746" w:type="dxa"/>
            <w:tcBorders/>
            <w:tcMar>
              <w:top w:w="0" w:type="dxa"/>
              <w:left w:w="0" w:type="dxa"/>
              <w:bottom w:w="0" w:type="dxa"/>
              <w:right w:w="0" w:type="dxa"/>
            </w:tcMar>
            <w:vAlign w:val="center"/>
          </w:tcPr>
          <w:p>
            <w:pPr>
              <w:pStyle w:val="TableContents"/>
              <w:bidi w:val="0"/>
              <w:spacing w:before="0" w:after="283"/>
              <w:jc w:val="both"/>
              <w:rPr/>
            </w:pPr>
            <w:r>
              <w:rPr/>
              <w:drawing>
                <wp:inline distT="0" distB="0" distL="0" distR="0">
                  <wp:extent cx="409575" cy="3714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09575" cy="371475"/>
                          </a:xfrm>
                          <a:prstGeom prst="rect">
                            <a:avLst/>
                          </a:prstGeom>
                        </pic:spPr>
                      </pic:pic>
                    </a:graphicData>
                  </a:graphic>
                </wp:inline>
              </w:drawing>
            </w:r>
          </w:p>
        </w:tc>
        <w:tc>
          <w:tcPr>
            <w:tcW w:w="1771" w:type="dxa"/>
            <w:tcBorders/>
            <w:tcMar>
              <w:top w:w="0" w:type="dxa"/>
              <w:left w:w="0" w:type="dxa"/>
              <w:bottom w:w="0" w:type="dxa"/>
              <w:right w:w="0" w:type="dxa"/>
            </w:tcMar>
            <w:vAlign w:val="center"/>
          </w:tcPr>
          <w:p>
            <w:pPr>
              <w:pStyle w:val="TableContents"/>
              <w:bidi w:val="0"/>
              <w:jc w:val="both"/>
              <w:rPr>
                <w:rFonts w:ascii="Arial" w:hAnsi="Arial"/>
                <w:b/>
                <w:color w:val="000000"/>
                <w:sz w:val="20"/>
              </w:rPr>
            </w:pPr>
            <w:r>
              <w:rPr>
                <w:rFonts w:ascii="Arial" w:hAnsi="Arial"/>
                <w:b/>
                <w:color w:val="000000"/>
                <w:sz w:val="20"/>
              </w:rPr>
              <w:t>Date:</w:t>
            </w:r>
          </w:p>
          <w:p>
            <w:pPr>
              <w:pStyle w:val="TableContents"/>
              <w:bidi w:val="0"/>
              <w:jc w:val="both"/>
              <w:rPr>
                <w:rFonts w:ascii="Arial" w:hAnsi="Arial"/>
                <w:color w:val="000000"/>
                <w:sz w:val="18"/>
              </w:rPr>
            </w:pPr>
            <w:r>
              <w:rPr>
                <w:rFonts w:ascii="Arial" w:hAnsi="Arial"/>
                <w:color w:val="000000"/>
                <w:sz w:val="18"/>
              </w:rPr>
              <w:t>Tuesday,</w:t>
            </w:r>
          </w:p>
          <w:p>
            <w:pPr>
              <w:pStyle w:val="TableContents"/>
              <w:bidi w:val="0"/>
              <w:spacing w:before="0" w:after="283"/>
              <w:jc w:val="both"/>
              <w:rPr>
                <w:rFonts w:ascii="Arial" w:hAnsi="Arial"/>
                <w:color w:val="000000"/>
                <w:sz w:val="18"/>
              </w:rPr>
            </w:pPr>
            <w:r>
              <w:rPr>
                <w:rFonts w:ascii="Arial" w:hAnsi="Arial"/>
                <w:color w:val="000000"/>
                <w:sz w:val="18"/>
              </w:rPr>
              <w:t>September 15, 2026</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701" w:type="dxa"/>
            <w:tcBorders/>
            <w:tcMar>
              <w:top w:w="0" w:type="dxa"/>
              <w:left w:w="0" w:type="dxa"/>
              <w:bottom w:w="0" w:type="dxa"/>
              <w:right w:w="0" w:type="dxa"/>
            </w:tcMar>
            <w:vAlign w:val="center"/>
          </w:tcPr>
          <w:p>
            <w:pPr>
              <w:pStyle w:val="TableContents"/>
              <w:bidi w:val="0"/>
              <w:spacing w:before="0" w:after="283"/>
              <w:jc w:val="both"/>
              <w:rPr/>
            </w:pPr>
            <w:r>
              <w:rPr/>
              <w:drawing>
                <wp:inline distT="0" distB="0" distL="0" distR="0">
                  <wp:extent cx="390525" cy="3905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390525" cy="390525"/>
                          </a:xfrm>
                          <a:prstGeom prst="rect">
                            <a:avLst/>
                          </a:prstGeom>
                        </pic:spPr>
                      </pic:pic>
                    </a:graphicData>
                  </a:graphic>
                </wp:inline>
              </w:drawing>
            </w:r>
          </w:p>
        </w:tc>
        <w:tc>
          <w:tcPr>
            <w:tcW w:w="1831" w:type="dxa"/>
            <w:tcBorders/>
            <w:tcMar>
              <w:top w:w="0" w:type="dxa"/>
              <w:left w:w="0" w:type="dxa"/>
              <w:bottom w:w="0" w:type="dxa"/>
              <w:right w:w="0" w:type="dxa"/>
            </w:tcMar>
            <w:vAlign w:val="center"/>
          </w:tcPr>
          <w:p>
            <w:pPr>
              <w:pStyle w:val="TableContents"/>
              <w:bidi w:val="0"/>
              <w:jc w:val="both"/>
              <w:rPr>
                <w:rFonts w:ascii="Arial" w:hAnsi="Arial"/>
                <w:b/>
                <w:color w:val="000000"/>
                <w:sz w:val="20"/>
              </w:rPr>
            </w:pPr>
            <w:r>
              <w:rPr>
                <w:rFonts w:ascii="Arial" w:hAnsi="Arial"/>
                <w:b/>
                <w:color w:val="000000"/>
                <w:sz w:val="20"/>
              </w:rPr>
              <w:t>Time:</w:t>
            </w:r>
          </w:p>
          <w:p>
            <w:pPr>
              <w:pStyle w:val="TableContents"/>
              <w:bidi w:val="0"/>
              <w:spacing w:before="0" w:after="283"/>
              <w:jc w:val="both"/>
              <w:rPr>
                <w:rFonts w:ascii="Arial" w:hAnsi="Arial"/>
                <w:color w:val="000000"/>
                <w:sz w:val="18"/>
              </w:rPr>
            </w:pPr>
            <w:r>
              <w:rPr>
                <w:rFonts w:ascii="Arial" w:hAnsi="Arial"/>
                <w:color w:val="000000"/>
                <w:sz w:val="18"/>
              </w:rPr>
              <w:t>10 a.m. Eastern Time</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836" w:type="dxa"/>
            <w:tcBorders/>
            <w:tcMar>
              <w:top w:w="0" w:type="dxa"/>
              <w:left w:w="0" w:type="dxa"/>
              <w:bottom w:w="0" w:type="dxa"/>
              <w:right w:w="0" w:type="dxa"/>
            </w:tcMar>
            <w:vAlign w:val="center"/>
          </w:tcPr>
          <w:p>
            <w:pPr>
              <w:pStyle w:val="TableContents"/>
              <w:bidi w:val="0"/>
              <w:spacing w:before="0" w:after="283"/>
              <w:jc w:val="both"/>
              <w:rPr/>
            </w:pPr>
            <w:r>
              <w:rPr/>
              <w:drawing>
                <wp:inline distT="0" distB="0" distL="0" distR="0">
                  <wp:extent cx="476250" cy="3810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76250" cy="381000"/>
                          </a:xfrm>
                          <a:prstGeom prst="rect">
                            <a:avLst/>
                          </a:prstGeom>
                        </pic:spPr>
                      </pic:pic>
                    </a:graphicData>
                  </a:graphic>
                </wp:inline>
              </w:drawing>
            </w:r>
          </w:p>
        </w:tc>
        <w:tc>
          <w:tcPr>
            <w:tcW w:w="2116" w:type="dxa"/>
            <w:tcBorders/>
            <w:tcMar>
              <w:top w:w="0" w:type="dxa"/>
              <w:left w:w="0" w:type="dxa"/>
              <w:bottom w:w="0" w:type="dxa"/>
              <w:right w:w="0" w:type="dxa"/>
            </w:tcMar>
            <w:vAlign w:val="center"/>
          </w:tcPr>
          <w:p>
            <w:pPr>
              <w:pStyle w:val="TableContents"/>
              <w:bidi w:val="0"/>
              <w:jc w:val="both"/>
              <w:rPr>
                <w:rFonts w:ascii="Arial" w:hAnsi="Arial"/>
                <w:b/>
                <w:color w:val="000000"/>
                <w:sz w:val="20"/>
              </w:rPr>
            </w:pPr>
            <w:r>
              <w:rPr>
                <w:rFonts w:ascii="Arial" w:hAnsi="Arial"/>
                <w:b/>
                <w:color w:val="000000"/>
                <w:sz w:val="20"/>
              </w:rPr>
              <w:t>Location:</w:t>
            </w:r>
          </w:p>
          <w:p>
            <w:pPr>
              <w:pStyle w:val="TableContents"/>
              <w:bidi w:val="0"/>
              <w:jc w:val="both"/>
              <w:rPr>
                <w:rFonts w:ascii="Arial" w:hAnsi="Arial"/>
                <w:sz w:val="18"/>
              </w:rPr>
            </w:pPr>
            <w:r>
              <w:rPr>
                <w:rFonts w:ascii="Arial" w:hAnsi="Arial"/>
                <w:sz w:val="18"/>
              </w:rPr>
              <w:t>www.virtualshareholder</w:t>
            </w:r>
          </w:p>
          <w:p>
            <w:pPr>
              <w:pStyle w:val="TableContents"/>
              <w:bidi w:val="0"/>
              <w:spacing w:before="0" w:after="283"/>
              <w:jc w:val="both"/>
              <w:rPr>
                <w:rFonts w:ascii="Arial" w:hAnsi="Arial"/>
                <w:sz w:val="18"/>
              </w:rPr>
            </w:pPr>
            <w:r>
              <w:rPr>
                <w:rFonts w:ascii="Arial" w:hAnsi="Arial"/>
                <w:sz w:val="18"/>
              </w:rPr>
              <w:t>meeting.com/SWBI2026</w:t>
            </w:r>
          </w:p>
        </w:tc>
      </w:tr>
    </w:tbl>
    <w:p>
      <w:pPr>
        <w:pStyle w:val="TextBody"/>
        <w:bidi w:val="0"/>
        <w:jc w:val="both"/>
        <w:rPr/>
      </w:pPr>
      <w:r>
        <w:rPr/>
        <w:t> </w:t>
      </w:r>
    </w:p>
    <w:p>
      <w:pPr>
        <w:pStyle w:val="TextBody"/>
        <w:bidi w:val="0"/>
        <w:spacing w:before="40" w:after="283"/>
        <w:jc w:val="both"/>
        <w:rPr>
          <w:rFonts w:ascii="Times New Roman" w:hAnsi="Times New Roman"/>
          <w:sz w:val="20"/>
        </w:rPr>
      </w:pPr>
      <w:r>
        <w:rPr>
          <w:rFonts w:ascii="Arial" w:hAnsi="Arial"/>
          <w:color w:val="000000"/>
          <w:sz w:val="20"/>
        </w:rPr>
        <w:t xml:space="preserve">The Annual Meeting of Stockholders of Smith &amp; Wesson Brands, Inc., a Nevada corporation, will be held at 10:00 a.m., Eastern Time, on Tuesday, September 15, 2026 (the “2026 Annual Meeting”). The 2026 Annual Meeting will be a virtual meeting of stockholders. You will be able to attend the 2026 Annual Meeting, vote, and submit your questions during the live webcast of the meeting by visiting </w:t>
      </w:r>
      <w:r>
        <w:rPr>
          <w:rFonts w:ascii="Arial" w:hAnsi="Arial"/>
          <w:i/>
          <w:color w:val="000000"/>
          <w:sz w:val="20"/>
        </w:rPr>
        <w:t>www.virtualshareholdermeeting.com/SWBI2026</w:t>
      </w:r>
      <w:r>
        <w:rPr>
          <w:rFonts w:ascii="Times New Roman" w:hAnsi="Times New Roman"/>
          <w:color w:val="000000"/>
          <w:sz w:val="20"/>
        </w:rPr>
        <w:t xml:space="preserve"> </w:t>
      </w:r>
      <w:r>
        <w:rPr>
          <w:rFonts w:ascii="Arial" w:hAnsi="Arial"/>
          <w:color w:val="000000"/>
          <w:sz w:val="20"/>
        </w:rPr>
        <w:t>and entering the 16-digit control number included on your proxy card or in the instructions that accompanied your proxy materials.</w:t>
      </w:r>
      <w:r>
        <w:rPr>
          <w:rFonts w:ascii="Times New Roman" w:hAnsi="Times New Roman"/>
          <w:color w:val="000000"/>
          <w:sz w:val="20"/>
        </w:rPr>
        <w:t xml:space="preserve"> </w:t>
      </w:r>
    </w:p>
    <w:p>
      <w:pPr>
        <w:pStyle w:val="TextBody"/>
        <w:bidi w:val="0"/>
        <w:jc w:val="both"/>
        <w:rPr/>
      </w:pPr>
      <w:r>
        <w:rPr/>
        <w:t> </w:t>
      </w:r>
    </w:p>
    <w:p>
      <w:pPr>
        <w:pStyle w:val="TextBody"/>
        <w:bidi w:val="0"/>
        <w:spacing w:before="40" w:after="283"/>
        <w:jc w:val="both"/>
        <w:rPr>
          <w:rFonts w:ascii="Times New Roman" w:hAnsi="Times New Roman"/>
          <w:sz w:val="20"/>
        </w:rPr>
      </w:pPr>
      <w:r>
        <w:rPr>
          <w:rFonts w:ascii="Arial" w:hAnsi="Arial"/>
          <w:color w:val="000000"/>
          <w:sz w:val="20"/>
        </w:rPr>
        <w:t>The 2026 Annual Meeting will be held for the following purposes:</w:t>
      </w:r>
      <w:r>
        <w:rPr>
          <w:rFonts w:ascii="Times New Roman" w:hAnsi="Times New Roman"/>
          <w:color w:val="000000"/>
          <w:sz w:val="20"/>
        </w:rPr>
        <w:t xml:space="preserve">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530"/>
        <w:gridCol w:w="9675"/>
      </w:tblGrid>
      <w:tr>
        <w:trPr/>
        <w:tc>
          <w:tcPr>
            <w:tcW w:w="530" w:type="dxa"/>
            <w:tcBorders/>
            <w:vAlign w:val="center"/>
          </w:tcPr>
          <w:p>
            <w:pPr>
              <w:pStyle w:val="TableContents"/>
              <w:bidi w:val="0"/>
              <w:spacing w:before="0" w:after="283"/>
              <w:jc w:val="left"/>
              <w:rPr>
                <w:sz w:val="4"/>
                <w:szCs w:val="4"/>
              </w:rPr>
            </w:pPr>
            <w:r>
              <w:rPr>
                <w:sz w:val="4"/>
                <w:szCs w:val="4"/>
              </w:rPr>
            </w:r>
          </w:p>
        </w:tc>
        <w:tc>
          <w:tcPr>
            <w:tcW w:w="9675" w:type="dxa"/>
            <w:tcBorders/>
            <w:vAlign w:val="center"/>
          </w:tcPr>
          <w:p>
            <w:pPr>
              <w:pStyle w:val="TableContents"/>
              <w:bidi w:val="0"/>
              <w:spacing w:before="0" w:after="283"/>
              <w:ind w:left="0" w:right="0" w:firstLine="144"/>
              <w:jc w:val="left"/>
              <w:rPr>
                <w:sz w:val="4"/>
                <w:szCs w:val="4"/>
              </w:rPr>
            </w:pPr>
            <w:r>
              <w:rPr>
                <w:sz w:val="4"/>
                <w:szCs w:val="4"/>
              </w:rPr>
            </w:r>
          </w:p>
        </w:tc>
      </w:tr>
      <w:tr>
        <w:trPr/>
        <w:tc>
          <w:tcPr>
            <w:tcW w:w="10205" w:type="dxa"/>
            <w:gridSpan w:val="2"/>
            <w:tcBorders/>
            <w:shd w:fill="00205C" w:val="clear"/>
            <w:tcMar>
              <w:top w:w="0" w:type="dxa"/>
              <w:left w:w="0" w:type="dxa"/>
              <w:bottom w:w="0" w:type="dxa"/>
              <w:right w:w="0" w:type="dxa"/>
            </w:tcMar>
            <w:vAlign w:val="center"/>
          </w:tcPr>
          <w:p>
            <w:pPr>
              <w:pStyle w:val="TableContents"/>
              <w:bidi w:val="0"/>
              <w:spacing w:before="78" w:after="283"/>
              <w:ind w:left="0" w:right="0" w:firstLine="144"/>
              <w:jc w:val="both"/>
              <w:rPr>
                <w:rFonts w:ascii="Arial" w:hAnsi="Arial"/>
                <w:b/>
                <w:color w:val="FFFFFF"/>
                <w:sz w:val="20"/>
              </w:rPr>
            </w:pPr>
            <w:r>
              <w:rPr>
                <w:rFonts w:ascii="Arial" w:hAnsi="Arial"/>
                <w:b/>
                <w:color w:val="FFFFFF"/>
                <w:sz w:val="20"/>
              </w:rPr>
              <w:t>ITEMS OF BUSINESS</w:t>
            </w:r>
          </w:p>
        </w:tc>
      </w:tr>
      <w:tr>
        <w:trPr/>
        <w:tc>
          <w:tcPr>
            <w:tcW w:w="530" w:type="dxa"/>
            <w:tcBorders>
              <w:bottom w:val="single" w:sz="8" w:space="0" w:color="000000"/>
            </w:tcBorders>
            <w:tcMar>
              <w:top w:w="0" w:type="dxa"/>
              <w:left w:w="0" w:type="dxa"/>
              <w:right w:w="0" w:type="dxa"/>
            </w:tcMar>
            <w:vAlign w:val="center"/>
          </w:tcPr>
          <w:p>
            <w:pPr>
              <w:pStyle w:val="TableContents"/>
              <w:bidi w:val="0"/>
              <w:spacing w:before="40" w:after="40"/>
              <w:ind w:left="0" w:right="0" w:firstLine="120"/>
              <w:jc w:val="both"/>
              <w:rPr>
                <w:rFonts w:ascii="Arial" w:hAnsi="Arial"/>
                <w:color w:val="000000"/>
                <w:sz w:val="18"/>
              </w:rPr>
            </w:pPr>
            <w:r>
              <w:rPr>
                <w:rFonts w:ascii="Arial" w:hAnsi="Arial"/>
                <w:color w:val="000000"/>
                <w:sz w:val="18"/>
              </w:rPr>
              <w:t>1</w:t>
            </w:r>
          </w:p>
        </w:tc>
        <w:tc>
          <w:tcPr>
            <w:tcW w:w="9675" w:type="dxa"/>
            <w:tcBorders>
              <w:bottom w:val="single" w:sz="8" w:space="0" w:color="000000"/>
            </w:tcBorders>
            <w:tcMar>
              <w:top w:w="0" w:type="dxa"/>
              <w:left w:w="0" w:type="dxa"/>
              <w:right w:w="0" w:type="dxa"/>
            </w:tcMar>
            <w:vAlign w:val="center"/>
          </w:tcPr>
          <w:p>
            <w:pPr>
              <w:pStyle w:val="TableContents"/>
              <w:bidi w:val="0"/>
              <w:spacing w:before="40" w:after="40"/>
              <w:ind w:left="0" w:right="0" w:firstLine="144"/>
              <w:jc w:val="both"/>
              <w:rPr>
                <w:rFonts w:ascii="Arial" w:hAnsi="Arial"/>
                <w:color w:val="000000"/>
                <w:sz w:val="18"/>
              </w:rPr>
            </w:pPr>
            <w:r>
              <w:rPr>
                <w:rFonts w:ascii="Arial" w:hAnsi="Arial"/>
                <w:color w:val="000000"/>
                <w:sz w:val="18"/>
              </w:rPr>
              <w:t>Election of directors</w:t>
            </w:r>
          </w:p>
        </w:tc>
      </w:tr>
      <w:tr>
        <w:trPr/>
        <w:tc>
          <w:tcPr>
            <w:tcW w:w="530" w:type="dxa"/>
            <w:tcBorders>
              <w:bottom w:val="single" w:sz="8" w:space="0" w:color="000000"/>
            </w:tcBorders>
            <w:tcMar>
              <w:top w:w="0" w:type="dxa"/>
              <w:left w:w="0" w:type="dxa"/>
              <w:right w:w="0" w:type="dxa"/>
            </w:tcMar>
            <w:vAlign w:val="center"/>
          </w:tcPr>
          <w:p>
            <w:pPr>
              <w:pStyle w:val="TableContents"/>
              <w:bidi w:val="0"/>
              <w:spacing w:before="40" w:after="40"/>
              <w:ind w:left="0" w:right="0" w:firstLine="120"/>
              <w:jc w:val="both"/>
              <w:rPr>
                <w:rFonts w:ascii="Arial" w:hAnsi="Arial"/>
                <w:color w:val="000000"/>
                <w:sz w:val="18"/>
              </w:rPr>
            </w:pPr>
            <w:r>
              <w:rPr>
                <w:rFonts w:ascii="Arial" w:hAnsi="Arial"/>
                <w:color w:val="000000"/>
                <w:sz w:val="18"/>
              </w:rPr>
              <w:t>2</w:t>
            </w:r>
          </w:p>
        </w:tc>
        <w:tc>
          <w:tcPr>
            <w:tcW w:w="9675" w:type="dxa"/>
            <w:tcBorders>
              <w:bottom w:val="single" w:sz="8" w:space="0" w:color="000000"/>
            </w:tcBorders>
            <w:tcMar>
              <w:top w:w="0" w:type="dxa"/>
              <w:left w:w="0" w:type="dxa"/>
              <w:right w:w="0" w:type="dxa"/>
            </w:tcMar>
            <w:vAlign w:val="center"/>
          </w:tcPr>
          <w:p>
            <w:pPr>
              <w:pStyle w:val="TableContents"/>
              <w:bidi w:val="0"/>
              <w:spacing w:before="40" w:after="40"/>
              <w:ind w:left="0" w:right="0" w:firstLine="143"/>
              <w:jc w:val="both"/>
              <w:rPr>
                <w:rFonts w:ascii="Arial" w:hAnsi="Arial"/>
                <w:color w:val="000000"/>
                <w:sz w:val="18"/>
              </w:rPr>
            </w:pPr>
            <w:r>
              <w:rPr>
                <w:rFonts w:ascii="Arial" w:hAnsi="Arial"/>
                <w:color w:val="000000"/>
                <w:sz w:val="18"/>
              </w:rPr>
              <w:t>Advisory vote on executive compensation ("say-on-pay")</w:t>
            </w:r>
          </w:p>
        </w:tc>
      </w:tr>
      <w:tr>
        <w:trPr/>
        <w:tc>
          <w:tcPr>
            <w:tcW w:w="530" w:type="dxa"/>
            <w:tcBorders>
              <w:bottom w:val="single" w:sz="8" w:space="0" w:color="000000"/>
            </w:tcBorders>
            <w:tcMar>
              <w:top w:w="0" w:type="dxa"/>
              <w:left w:w="0" w:type="dxa"/>
              <w:right w:w="0" w:type="dxa"/>
            </w:tcMar>
            <w:vAlign w:val="center"/>
          </w:tcPr>
          <w:p>
            <w:pPr>
              <w:pStyle w:val="TableContents"/>
              <w:bidi w:val="0"/>
              <w:spacing w:before="40" w:after="40"/>
              <w:ind w:left="0" w:right="0" w:firstLine="120"/>
              <w:jc w:val="both"/>
              <w:rPr>
                <w:rFonts w:ascii="Arial" w:hAnsi="Arial"/>
                <w:color w:val="000000"/>
                <w:sz w:val="18"/>
              </w:rPr>
            </w:pPr>
            <w:r>
              <w:rPr>
                <w:rFonts w:ascii="Arial" w:hAnsi="Arial"/>
                <w:color w:val="000000"/>
                <w:sz w:val="18"/>
              </w:rPr>
              <w:t>3</w:t>
            </w:r>
          </w:p>
        </w:tc>
        <w:tc>
          <w:tcPr>
            <w:tcW w:w="9675" w:type="dxa"/>
            <w:tcBorders>
              <w:bottom w:val="single" w:sz="8" w:space="0" w:color="000000"/>
            </w:tcBorders>
            <w:tcMar>
              <w:top w:w="0" w:type="dxa"/>
              <w:left w:w="0" w:type="dxa"/>
              <w:right w:w="0" w:type="dxa"/>
            </w:tcMar>
            <w:vAlign w:val="center"/>
          </w:tcPr>
          <w:p>
            <w:pPr>
              <w:pStyle w:val="TableContents"/>
              <w:bidi w:val="0"/>
              <w:spacing w:before="40" w:after="40"/>
              <w:ind w:left="0" w:right="0" w:firstLine="120"/>
              <w:jc w:val="both"/>
              <w:rPr>
                <w:rFonts w:ascii="Arial" w:hAnsi="Arial"/>
                <w:color w:val="000000"/>
                <w:sz w:val="18"/>
              </w:rPr>
            </w:pPr>
            <w:r>
              <w:rPr>
                <w:rFonts w:ascii="Arial" w:hAnsi="Arial"/>
                <w:color w:val="000000"/>
                <w:sz w:val="18"/>
              </w:rPr>
              <w:t>Ratification of appointment of independent registered public accounting firm</w:t>
            </w:r>
          </w:p>
        </w:tc>
      </w:tr>
      <w:tr>
        <w:trPr/>
        <w:tc>
          <w:tcPr>
            <w:tcW w:w="10205" w:type="dxa"/>
            <w:gridSpan w:val="2"/>
            <w:tcBorders>
              <w:bottom w:val="single" w:sz="8" w:space="0" w:color="000000"/>
            </w:tcBorders>
            <w:tcMar>
              <w:top w:w="0" w:type="dxa"/>
              <w:left w:w="0" w:type="dxa"/>
              <w:right w:w="0" w:type="dxa"/>
            </w:tcMar>
            <w:vAlign w:val="center"/>
          </w:tcPr>
          <w:p>
            <w:pPr>
              <w:pStyle w:val="TableContents"/>
              <w:bidi w:val="0"/>
              <w:spacing w:before="40" w:after="40"/>
              <w:ind w:left="0" w:right="0" w:firstLine="120"/>
              <w:jc w:val="both"/>
              <w:rPr>
                <w:rFonts w:ascii="Arial" w:hAnsi="Arial"/>
                <w:color w:val="000000"/>
                <w:sz w:val="18"/>
              </w:rPr>
            </w:pPr>
            <w:r>
              <w:rPr>
                <w:rFonts w:ascii="Arial" w:hAnsi="Arial"/>
                <w:color w:val="000000"/>
                <w:sz w:val="18"/>
              </w:rPr>
              <w:t>And such other business as may properly come before the 2026 Annual Meeting or any adjournment or postponement thereof.</w:t>
            </w:r>
          </w:p>
        </w:tc>
      </w:tr>
    </w:tbl>
    <w:p>
      <w:pPr>
        <w:pStyle w:val="TextBody"/>
        <w:bidi w:val="0"/>
        <w:jc w:val="both"/>
        <w:rPr/>
      </w:pPr>
      <w:r>
        <w:rPr/>
        <w:t> </w:t>
      </w:r>
    </w:p>
    <w:p>
      <w:pPr>
        <w:pStyle w:val="TextBody"/>
        <w:bidi w:val="0"/>
        <w:spacing w:before="40" w:after="283"/>
        <w:jc w:val="both"/>
        <w:rPr>
          <w:rFonts w:ascii="Arial" w:hAnsi="Arial"/>
          <w:color w:val="000000"/>
          <w:sz w:val="20"/>
        </w:rPr>
      </w:pPr>
      <w:r>
        <w:rPr>
          <w:rFonts w:ascii="Arial" w:hAnsi="Arial"/>
          <w:color w:val="000000"/>
          <w:sz w:val="20"/>
        </w:rPr>
        <w:t>Stockholders of record at the close of business on July 24, 2026 may vote at the 2026 Annual Meeting.</w:t>
      </w:r>
    </w:p>
    <w:p>
      <w:pPr>
        <w:pStyle w:val="TextBody"/>
        <w:bidi w:val="0"/>
        <w:jc w:val="both"/>
        <w:rPr/>
      </w:pPr>
      <w:r>
        <w:rPr/>
        <w:t> </w:t>
      </w:r>
    </w:p>
    <w:p>
      <w:pPr>
        <w:pStyle w:val="TextBody"/>
        <w:bidi w:val="0"/>
        <w:spacing w:before="40" w:after="283"/>
        <w:jc w:val="both"/>
        <w:rPr>
          <w:rFonts w:ascii="Arial" w:hAnsi="Arial"/>
          <w:color w:val="000000"/>
          <w:sz w:val="20"/>
        </w:rPr>
      </w:pPr>
      <w:r>
        <w:rPr>
          <w:rFonts w:ascii="Arial" w:hAnsi="Arial"/>
          <w:color w:val="000000"/>
          <w:sz w:val="20"/>
        </w:rPr>
        <w:t>These proxy materials were first made available to our stockholders on the internet on August 6, 2026.</w:t>
      </w:r>
    </w:p>
    <w:p>
      <w:pPr>
        <w:pStyle w:val="TextBody"/>
        <w:bidi w:val="0"/>
        <w:jc w:val="both"/>
        <w:rPr/>
      </w:pPr>
      <w:r>
        <w:rPr/>
        <w:t> </w:t>
      </w:r>
    </w:p>
    <w:p>
      <w:pPr>
        <w:pStyle w:val="TextBody"/>
        <w:bidi w:val="0"/>
        <w:spacing w:before="40" w:after="283"/>
        <w:jc w:val="both"/>
        <w:rPr>
          <w:rFonts w:ascii="Arial" w:hAnsi="Arial"/>
          <w:color w:val="000000"/>
          <w:sz w:val="20"/>
        </w:rPr>
      </w:pPr>
      <w:r>
        <w:rPr>
          <w:rFonts w:ascii="Arial" w:hAnsi="Arial"/>
          <w:color w:val="000000"/>
          <w:sz w:val="20"/>
        </w:rPr>
        <w:t>Sincerely,</w:t>
      </w:r>
    </w:p>
    <w:p>
      <w:pPr>
        <w:pStyle w:val="TextBody"/>
        <w:bidi w:val="0"/>
        <w:jc w:val="left"/>
        <w:rPr/>
      </w:pPr>
      <w:r>
        <w:rPr/>
        <w:t> </w:t>
      </w:r>
    </w:p>
    <w:p>
      <w:pPr>
        <w:pStyle w:val="TextBody"/>
        <w:bidi w:val="0"/>
        <w:jc w:val="left"/>
        <w:rPr/>
      </w:pPr>
      <w:r>
        <w:rPr/>
        <w:drawing>
          <wp:inline distT="0" distB="0" distL="0" distR="0">
            <wp:extent cx="1428750" cy="4667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428750" cy="466725"/>
                    </a:xfrm>
                    <a:prstGeom prst="rect">
                      <a:avLst/>
                    </a:prstGeom>
                  </pic:spPr>
                </pic:pic>
              </a:graphicData>
            </a:graphic>
          </wp:inline>
        </w:drawing>
      </w:r>
    </w:p>
    <w:p>
      <w:pPr>
        <w:pStyle w:val="TextBody"/>
        <w:bidi w:val="0"/>
        <w:jc w:val="left"/>
        <w:rPr/>
      </w:pPr>
      <w:r>
        <w:rPr/>
        <w:t> </w:t>
      </w:r>
    </w:p>
    <w:p>
      <w:pPr>
        <w:pStyle w:val="TextBody"/>
        <w:bidi w:val="0"/>
        <w:spacing w:before="40" w:after="283"/>
        <w:jc w:val="both"/>
        <w:rPr>
          <w:rFonts w:ascii="Arial" w:hAnsi="Arial"/>
          <w:color w:val="000000"/>
          <w:sz w:val="20"/>
        </w:rPr>
      </w:pPr>
      <w:r>
        <w:rPr>
          <w:rFonts w:ascii="Arial" w:hAnsi="Arial"/>
          <w:color w:val="000000"/>
          <w:sz w:val="20"/>
        </w:rPr>
        <w:t>Kevin A. Maxwell</w:t>
      </w:r>
    </w:p>
    <w:p>
      <w:pPr>
        <w:pStyle w:val="TextBody"/>
        <w:bidi w:val="0"/>
        <w:jc w:val="both"/>
        <w:rPr>
          <w:rFonts w:ascii="Arial" w:hAnsi="Arial"/>
          <w:i/>
          <w:color w:val="000000"/>
          <w:sz w:val="20"/>
        </w:rPr>
      </w:pPr>
      <w:r>
        <w:rPr>
          <w:rFonts w:ascii="Arial" w:hAnsi="Arial"/>
          <w:i/>
          <w:color w:val="000000"/>
          <w:sz w:val="20"/>
        </w:rPr>
        <w:t>Senior Vice President,</w:t>
      </w:r>
    </w:p>
    <w:p>
      <w:pPr>
        <w:pStyle w:val="TextBody"/>
        <w:bidi w:val="0"/>
        <w:jc w:val="both"/>
        <w:rPr>
          <w:rFonts w:ascii="Arial" w:hAnsi="Arial"/>
          <w:i/>
          <w:color w:val="000000"/>
          <w:sz w:val="20"/>
        </w:rPr>
      </w:pPr>
      <w:r>
        <w:rPr>
          <w:rFonts w:ascii="Arial" w:hAnsi="Arial"/>
          <w:i/>
          <w:color w:val="000000"/>
          <w:sz w:val="20"/>
        </w:rPr>
        <w:t>General Counsel, Chief Compliance Officer, and Secretary</w:t>
      </w:r>
    </w:p>
    <w:p>
      <w:pPr>
        <w:pStyle w:val="TextBody"/>
        <w:bidi w:val="0"/>
        <w:jc w:val="both"/>
        <w:rPr>
          <w:rFonts w:ascii="Arial" w:hAnsi="Arial"/>
          <w:color w:val="000000"/>
          <w:sz w:val="20"/>
        </w:rPr>
      </w:pPr>
      <w:r>
        <w:rPr>
          <w:rFonts w:ascii="Arial" w:hAnsi="Arial"/>
          <w:color w:val="000000"/>
          <w:sz w:val="20"/>
        </w:rPr>
        <w:t>August 6, 2026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spacing w:before="0" w:after="240"/>
        <w:jc w:val="both"/>
        <w:rPr>
          <w:rFonts w:ascii="Arial" w:hAnsi="Arial"/>
          <w:b/>
          <w:caps/>
          <w:color w:val="002668"/>
          <w:sz w:val="44"/>
        </w:rPr>
      </w:pPr>
      <w:r>
        <w:rPr>
          <w:rFonts w:ascii="Arial" w:hAnsi="Arial"/>
          <w:b/>
          <w:caps/>
          <w:color w:val="002668"/>
          <w:sz w:val="44"/>
        </w:rPr>
        <w:t>Table of Contents</w:t>
      </w:r>
    </w:p>
    <w:p>
      <w:pPr>
        <w:pStyle w:val="TextBody"/>
        <w:bidi w:val="0"/>
        <w:jc w:val="both"/>
        <w:rPr/>
      </w:pPr>
      <w:r>
        <w:rPr/>
        <w:t> </w:t>
      </w:r>
    </w:p>
    <w:tbl>
      <w:tblPr>
        <w:tblW w:w="8777" w:type="dxa"/>
        <w:jc w:val="left"/>
        <w:tblInd w:w="0" w:type="dxa"/>
        <w:tblLayout w:type="fixed"/>
        <w:tblCellMar>
          <w:top w:w="28" w:type="dxa"/>
          <w:left w:w="28" w:type="dxa"/>
          <w:bottom w:w="28" w:type="dxa"/>
          <w:right w:w="28" w:type="dxa"/>
        </w:tblCellMar>
      </w:tblPr>
      <w:tblGrid>
        <w:gridCol w:w="8416"/>
        <w:gridCol w:w="361"/>
      </w:tblGrid>
      <w:tr>
        <w:trPr/>
        <w:tc>
          <w:tcPr>
            <w:tcW w:w="841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8416" w:type="dxa"/>
            <w:tcBorders/>
            <w:tcMar>
              <w:top w:w="0" w:type="dxa"/>
              <w:left w:w="0" w:type="dxa"/>
              <w:bottom w:w="0" w:type="dxa"/>
              <w:right w:w="0" w:type="dxa"/>
            </w:tcMar>
            <w:vAlign w:val="center"/>
          </w:tcPr>
          <w:p>
            <w:pPr>
              <w:pStyle w:val="TableContents"/>
              <w:bidi w:val="0"/>
              <w:spacing w:before="0" w:after="283"/>
              <w:jc w:val="left"/>
              <w:rPr/>
            </w:pPr>
            <w:hyperlink w:anchor="proxy_statement_summary">
              <w:r>
                <w:rPr>
                  <w:rStyle w:val="InternetLink"/>
                  <w:rFonts w:ascii="Arial" w:hAnsi="Arial"/>
                  <w:color w:val="000000"/>
                  <w:sz w:val="20"/>
                </w:rPr>
                <w:t>Proxy Statement Summary</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r>
      <w:tr>
        <w:trPr/>
        <w:tc>
          <w:tcPr>
            <w:tcW w:w="8416" w:type="dxa"/>
            <w:tcBorders/>
            <w:tcMar>
              <w:top w:w="0" w:type="dxa"/>
              <w:left w:w="0" w:type="dxa"/>
              <w:bottom w:w="0" w:type="dxa"/>
              <w:right w:w="0" w:type="dxa"/>
            </w:tcMar>
            <w:vAlign w:val="center"/>
          </w:tcPr>
          <w:p>
            <w:pPr>
              <w:pStyle w:val="TableContents"/>
              <w:bidi w:val="0"/>
              <w:spacing w:before="120" w:after="283"/>
              <w:jc w:val="left"/>
              <w:rPr/>
            </w:pPr>
            <w:hyperlink w:anchor="board_and_governance_matters">
              <w:r>
                <w:rPr>
                  <w:rStyle w:val="InternetLink"/>
                  <w:rFonts w:ascii="Arial" w:hAnsi="Arial"/>
                  <w:color w:val="000000"/>
                  <w:sz w:val="20"/>
                </w:rPr>
                <w:t>Board And Governance Matters</w:t>
              </w:r>
            </w:hyperlink>
          </w:p>
        </w:tc>
        <w:tc>
          <w:tcPr>
            <w:tcW w:w="361" w:type="dxa"/>
            <w:tcBorders/>
            <w:tcMar>
              <w:top w:w="0" w:type="dxa"/>
              <w:left w:w="0" w:type="dxa"/>
              <w:bottom w:w="0" w:type="dxa"/>
              <w:right w:w="0" w:type="dxa"/>
            </w:tcMar>
            <w:vAlign w:val="center"/>
          </w:tcPr>
          <w:p>
            <w:pPr>
              <w:pStyle w:val="TableContents"/>
              <w:bidi w:val="0"/>
              <w:spacing w:before="120" w:after="283"/>
              <w:jc w:val="right"/>
              <w:rPr>
                <w:rFonts w:ascii="Arial" w:hAnsi="Arial"/>
                <w:color w:val="000000"/>
                <w:sz w:val="20"/>
              </w:rPr>
            </w:pPr>
            <w:r>
              <w:rPr>
                <w:rFonts w:ascii="Arial" w:hAnsi="Arial"/>
                <w:color w:val="000000"/>
                <w:sz w:val="20"/>
              </w:rPr>
              <w:t>3</w:t>
            </w:r>
          </w:p>
        </w:tc>
      </w:tr>
      <w:tr>
        <w:trPr/>
        <w:tc>
          <w:tcPr>
            <w:tcW w:w="8416" w:type="dxa"/>
            <w:tcBorders/>
            <w:tcMar>
              <w:top w:w="0" w:type="dxa"/>
              <w:left w:w="0" w:type="dxa"/>
              <w:bottom w:w="0" w:type="dxa"/>
              <w:right w:w="0" w:type="dxa"/>
            </w:tcMar>
            <w:vAlign w:val="center"/>
          </w:tcPr>
          <w:p>
            <w:pPr>
              <w:pStyle w:val="TableContents"/>
              <w:bidi w:val="0"/>
              <w:spacing w:before="120" w:after="283"/>
              <w:jc w:val="both"/>
              <w:rPr/>
            </w:pPr>
            <w:hyperlink w:anchor="board_and_governance_matters">
              <w:r>
                <w:rPr>
                  <w:rStyle w:val="InternetLink"/>
                  <w:rFonts w:ascii="Arial" w:hAnsi="Arial"/>
                  <w:color w:val="002668"/>
                  <w:sz w:val="20"/>
                </w:rPr>
                <w:t>Proposal One – Election of Directors</w:t>
              </w:r>
            </w:hyperlink>
          </w:p>
        </w:tc>
        <w:tc>
          <w:tcPr>
            <w:tcW w:w="361" w:type="dxa"/>
            <w:tcBorders/>
            <w:tcMar>
              <w:top w:w="0" w:type="dxa"/>
              <w:left w:w="0" w:type="dxa"/>
              <w:bottom w:w="0" w:type="dxa"/>
              <w:right w:w="0" w:type="dxa"/>
            </w:tcMar>
            <w:vAlign w:val="center"/>
          </w:tcPr>
          <w:p>
            <w:pPr>
              <w:pStyle w:val="TableContents"/>
              <w:bidi w:val="0"/>
              <w:spacing w:before="120" w:after="283"/>
              <w:jc w:val="right"/>
              <w:rPr>
                <w:rFonts w:ascii="Arial" w:hAnsi="Arial"/>
                <w:color w:val="000000"/>
                <w:sz w:val="20"/>
              </w:rPr>
            </w:pPr>
            <w:r>
              <w:rPr>
                <w:rFonts w:ascii="Arial" w:hAnsi="Arial"/>
                <w:color w:val="000000"/>
                <w:sz w:val="20"/>
              </w:rPr>
              <w:t>3</w:t>
            </w:r>
          </w:p>
        </w:tc>
      </w:tr>
      <w:tr>
        <w:trPr/>
        <w:tc>
          <w:tcPr>
            <w:tcW w:w="8416" w:type="dxa"/>
            <w:tcBorders/>
            <w:tcMar>
              <w:top w:w="0" w:type="dxa"/>
              <w:left w:w="0" w:type="dxa"/>
              <w:bottom w:w="0" w:type="dxa"/>
              <w:right w:w="0" w:type="dxa"/>
            </w:tcMar>
            <w:vAlign w:val="center"/>
          </w:tcPr>
          <w:p>
            <w:pPr>
              <w:pStyle w:val="TableContents"/>
              <w:bidi w:val="0"/>
              <w:spacing w:before="120" w:after="283"/>
              <w:jc w:val="left"/>
              <w:rPr/>
            </w:pPr>
            <w:hyperlink w:anchor="compensation_matters">
              <w:r>
                <w:rPr>
                  <w:rStyle w:val="InternetLink"/>
                  <w:rFonts w:ascii="Arial" w:hAnsi="Arial"/>
                  <w:color w:val="000000"/>
                  <w:sz w:val="20"/>
                </w:rPr>
                <w:t>Compensation Matters</w:t>
              </w:r>
            </w:hyperlink>
          </w:p>
        </w:tc>
        <w:tc>
          <w:tcPr>
            <w:tcW w:w="361" w:type="dxa"/>
            <w:tcBorders/>
            <w:tcMar>
              <w:top w:w="0" w:type="dxa"/>
              <w:left w:w="0" w:type="dxa"/>
              <w:bottom w:w="0" w:type="dxa"/>
              <w:right w:w="0" w:type="dxa"/>
            </w:tcMar>
            <w:vAlign w:val="center"/>
          </w:tcPr>
          <w:p>
            <w:pPr>
              <w:pStyle w:val="TableContents"/>
              <w:bidi w:val="0"/>
              <w:spacing w:before="120" w:after="283"/>
              <w:jc w:val="right"/>
              <w:rPr>
                <w:rFonts w:ascii="Arial" w:hAnsi="Arial"/>
                <w:color w:val="000000"/>
                <w:sz w:val="20"/>
              </w:rPr>
            </w:pPr>
            <w:r>
              <w:rPr>
                <w:rFonts w:ascii="Arial" w:hAnsi="Arial"/>
                <w:color w:val="000000"/>
                <w:sz w:val="20"/>
              </w:rPr>
              <w:t>16</w:t>
            </w:r>
          </w:p>
        </w:tc>
      </w:tr>
      <w:tr>
        <w:trPr/>
        <w:tc>
          <w:tcPr>
            <w:tcW w:w="8416" w:type="dxa"/>
            <w:tcBorders/>
            <w:tcMar>
              <w:top w:w="0" w:type="dxa"/>
              <w:left w:w="0" w:type="dxa"/>
              <w:bottom w:w="0" w:type="dxa"/>
              <w:right w:w="0" w:type="dxa"/>
            </w:tcMar>
            <w:vAlign w:val="center"/>
          </w:tcPr>
          <w:p>
            <w:pPr>
              <w:pStyle w:val="TableContents"/>
              <w:bidi w:val="0"/>
              <w:spacing w:before="120" w:after="283"/>
              <w:jc w:val="both"/>
              <w:rPr/>
            </w:pPr>
            <w:hyperlink w:anchor="praposal_2">
              <w:r>
                <w:rPr>
                  <w:rStyle w:val="InternetLink"/>
                  <w:rFonts w:ascii="Arial" w:hAnsi="Arial"/>
                  <w:color w:val="002668"/>
                  <w:sz w:val="20"/>
                </w:rPr>
                <w:t>Proposal Two – Advisory Vote on Executive Compensation</w:t>
              </w:r>
            </w:hyperlink>
          </w:p>
        </w:tc>
        <w:tc>
          <w:tcPr>
            <w:tcW w:w="361" w:type="dxa"/>
            <w:tcBorders/>
            <w:tcMar>
              <w:top w:w="0" w:type="dxa"/>
              <w:left w:w="0" w:type="dxa"/>
              <w:bottom w:w="0" w:type="dxa"/>
              <w:right w:w="0" w:type="dxa"/>
            </w:tcMar>
            <w:vAlign w:val="center"/>
          </w:tcPr>
          <w:p>
            <w:pPr>
              <w:pStyle w:val="TableContents"/>
              <w:bidi w:val="0"/>
              <w:spacing w:before="120" w:after="283"/>
              <w:jc w:val="right"/>
              <w:rPr>
                <w:rFonts w:ascii="Arial" w:hAnsi="Arial"/>
                <w:color w:val="000000"/>
                <w:sz w:val="20"/>
              </w:rPr>
            </w:pPr>
            <w:r>
              <w:rPr>
                <w:rFonts w:ascii="Arial" w:hAnsi="Arial"/>
                <w:color w:val="000000"/>
                <w:sz w:val="20"/>
              </w:rPr>
              <w:t>16</w:t>
            </w:r>
          </w:p>
        </w:tc>
      </w:tr>
      <w:tr>
        <w:trPr/>
        <w:tc>
          <w:tcPr>
            <w:tcW w:w="8416" w:type="dxa"/>
            <w:tcBorders/>
            <w:tcMar>
              <w:top w:w="0" w:type="dxa"/>
              <w:left w:w="0" w:type="dxa"/>
              <w:bottom w:w="0" w:type="dxa"/>
              <w:right w:w="0" w:type="dxa"/>
            </w:tcMar>
            <w:vAlign w:val="center"/>
          </w:tcPr>
          <w:p>
            <w:pPr>
              <w:pStyle w:val="TableContents"/>
              <w:bidi w:val="0"/>
              <w:spacing w:before="120" w:after="283"/>
              <w:jc w:val="both"/>
              <w:rPr/>
            </w:pPr>
            <w:hyperlink w:anchor="compensation_discussion_analysis">
              <w:r>
                <w:rPr>
                  <w:rStyle w:val="InternetLink"/>
                  <w:rFonts w:ascii="Arial" w:hAnsi="Arial"/>
                  <w:color w:val="000000"/>
                  <w:sz w:val="20"/>
                </w:rPr>
                <w:t>Compensation Discussion And Analysis</w:t>
              </w:r>
            </w:hyperlink>
          </w:p>
        </w:tc>
        <w:tc>
          <w:tcPr>
            <w:tcW w:w="361" w:type="dxa"/>
            <w:tcBorders/>
            <w:tcMar>
              <w:top w:w="0" w:type="dxa"/>
              <w:left w:w="0" w:type="dxa"/>
              <w:bottom w:w="0" w:type="dxa"/>
              <w:right w:w="0" w:type="dxa"/>
            </w:tcMar>
            <w:vAlign w:val="center"/>
          </w:tcPr>
          <w:p>
            <w:pPr>
              <w:pStyle w:val="TableContents"/>
              <w:bidi w:val="0"/>
              <w:spacing w:before="120" w:after="283"/>
              <w:jc w:val="right"/>
              <w:rPr>
                <w:rFonts w:ascii="Arial" w:hAnsi="Arial"/>
                <w:color w:val="000000"/>
                <w:sz w:val="20"/>
              </w:rPr>
            </w:pPr>
            <w:r>
              <w:rPr>
                <w:rFonts w:ascii="Arial" w:hAnsi="Arial"/>
                <w:color w:val="000000"/>
                <w:sz w:val="20"/>
              </w:rPr>
              <w:t>17</w:t>
            </w:r>
          </w:p>
        </w:tc>
      </w:tr>
      <w:tr>
        <w:trPr/>
        <w:tc>
          <w:tcPr>
            <w:tcW w:w="8416" w:type="dxa"/>
            <w:tcBorders/>
            <w:tcMar>
              <w:top w:w="0" w:type="dxa"/>
              <w:left w:w="0" w:type="dxa"/>
              <w:bottom w:w="0" w:type="dxa"/>
              <w:right w:w="0" w:type="dxa"/>
            </w:tcMar>
            <w:vAlign w:val="center"/>
          </w:tcPr>
          <w:p>
            <w:pPr>
              <w:pStyle w:val="TableContents"/>
              <w:bidi w:val="0"/>
              <w:spacing w:before="120" w:after="283"/>
              <w:jc w:val="both"/>
              <w:rPr/>
            </w:pPr>
            <w:hyperlink w:anchor="executive_compensation">
              <w:r>
                <w:rPr>
                  <w:rStyle w:val="InternetLink"/>
                  <w:rFonts w:ascii="Arial" w:hAnsi="Arial"/>
                  <w:color w:val="000000"/>
                  <w:sz w:val="20"/>
                </w:rPr>
                <w:t>Executive Compensation</w:t>
              </w:r>
            </w:hyperlink>
          </w:p>
        </w:tc>
        <w:tc>
          <w:tcPr>
            <w:tcW w:w="361" w:type="dxa"/>
            <w:tcBorders/>
            <w:tcMar>
              <w:top w:w="0" w:type="dxa"/>
              <w:left w:w="0" w:type="dxa"/>
              <w:bottom w:w="0" w:type="dxa"/>
              <w:right w:w="0" w:type="dxa"/>
            </w:tcMar>
            <w:vAlign w:val="center"/>
          </w:tcPr>
          <w:p>
            <w:pPr>
              <w:pStyle w:val="TableContents"/>
              <w:bidi w:val="0"/>
              <w:spacing w:before="120" w:after="283"/>
              <w:jc w:val="right"/>
              <w:rPr>
                <w:rFonts w:ascii="Arial" w:hAnsi="Arial"/>
                <w:color w:val="000000"/>
                <w:sz w:val="20"/>
              </w:rPr>
            </w:pPr>
            <w:r>
              <w:rPr>
                <w:rFonts w:ascii="Arial" w:hAnsi="Arial"/>
                <w:color w:val="000000"/>
                <w:sz w:val="20"/>
              </w:rPr>
              <w:t>31</w:t>
            </w:r>
          </w:p>
        </w:tc>
      </w:tr>
      <w:tr>
        <w:trPr/>
        <w:tc>
          <w:tcPr>
            <w:tcW w:w="8416" w:type="dxa"/>
            <w:tcBorders/>
            <w:tcMar>
              <w:top w:w="0" w:type="dxa"/>
              <w:left w:w="0" w:type="dxa"/>
              <w:bottom w:w="0" w:type="dxa"/>
              <w:right w:w="0" w:type="dxa"/>
            </w:tcMar>
            <w:vAlign w:val="center"/>
          </w:tcPr>
          <w:p>
            <w:pPr>
              <w:pStyle w:val="TableContents"/>
              <w:bidi w:val="0"/>
              <w:spacing w:before="120" w:after="283"/>
              <w:jc w:val="both"/>
              <w:rPr/>
            </w:pPr>
            <w:hyperlink w:anchor="audit_matters">
              <w:r>
                <w:rPr>
                  <w:rStyle w:val="InternetLink"/>
                  <w:rFonts w:ascii="Arial" w:hAnsi="Arial"/>
                  <w:color w:val="000000"/>
                  <w:sz w:val="20"/>
                </w:rPr>
                <w:t>Audit Matters</w:t>
              </w:r>
            </w:hyperlink>
          </w:p>
        </w:tc>
        <w:tc>
          <w:tcPr>
            <w:tcW w:w="361" w:type="dxa"/>
            <w:tcBorders/>
            <w:tcMar>
              <w:top w:w="0" w:type="dxa"/>
              <w:left w:w="0" w:type="dxa"/>
              <w:bottom w:w="0" w:type="dxa"/>
              <w:right w:w="0" w:type="dxa"/>
            </w:tcMar>
            <w:vAlign w:val="center"/>
          </w:tcPr>
          <w:p>
            <w:pPr>
              <w:pStyle w:val="TableContents"/>
              <w:bidi w:val="0"/>
              <w:spacing w:before="120" w:after="283"/>
              <w:jc w:val="right"/>
              <w:rPr>
                <w:rFonts w:ascii="Arial" w:hAnsi="Arial"/>
                <w:color w:val="000000"/>
                <w:sz w:val="20"/>
              </w:rPr>
            </w:pPr>
            <w:r>
              <w:rPr>
                <w:rFonts w:ascii="Arial" w:hAnsi="Arial"/>
                <w:color w:val="000000"/>
                <w:sz w:val="20"/>
              </w:rPr>
              <w:t>43</w:t>
            </w:r>
          </w:p>
        </w:tc>
      </w:tr>
      <w:tr>
        <w:trPr/>
        <w:tc>
          <w:tcPr>
            <w:tcW w:w="8416" w:type="dxa"/>
            <w:tcBorders/>
            <w:tcMar>
              <w:top w:w="0" w:type="dxa"/>
              <w:left w:w="0" w:type="dxa"/>
              <w:bottom w:w="0" w:type="dxa"/>
              <w:right w:w="0" w:type="dxa"/>
            </w:tcMar>
            <w:vAlign w:val="center"/>
          </w:tcPr>
          <w:p>
            <w:pPr>
              <w:pStyle w:val="TableContents"/>
              <w:bidi w:val="0"/>
              <w:spacing w:before="120" w:after="283"/>
              <w:jc w:val="both"/>
              <w:rPr/>
            </w:pPr>
            <w:hyperlink w:anchor="proposal_3">
              <w:r>
                <w:rPr>
                  <w:rStyle w:val="InternetLink"/>
                  <w:rFonts w:ascii="Arial" w:hAnsi="Arial"/>
                  <w:color w:val="002668"/>
                  <w:sz w:val="20"/>
                </w:rPr>
                <w:t>Proposal Three</w:t>
              </w:r>
            </w:hyperlink>
            <w:hyperlink w:anchor="proposal_3">
              <w:r>
                <w:rPr>
                  <w:rStyle w:val="InternetLink"/>
                  <w:rFonts w:ascii="Times New Roman" w:hAnsi="Times New Roman"/>
                  <w:color w:val="002668"/>
                  <w:sz w:val="20"/>
                </w:rPr>
                <w:t xml:space="preserve"> </w:t>
              </w:r>
            </w:hyperlink>
            <w:r>
              <w:rPr>
                <w:rFonts w:ascii="Times New Roman" w:hAnsi="Times New Roman"/>
                <w:color w:val="002668"/>
                <w:sz w:val="20"/>
              </w:rPr>
              <w:t xml:space="preserve">– </w:t>
            </w:r>
            <w:hyperlink w:anchor="proposal_3">
              <w:r>
                <w:rPr>
                  <w:rStyle w:val="InternetLink"/>
                  <w:rFonts w:ascii="Arial" w:hAnsi="Arial"/>
                  <w:color w:val="002668"/>
                  <w:sz w:val="20"/>
                </w:rPr>
                <w:t>Ratification of Appointment of Independent Registered Public Accounting Firm</w:t>
              </w:r>
            </w:hyperlink>
          </w:p>
        </w:tc>
        <w:tc>
          <w:tcPr>
            <w:tcW w:w="361" w:type="dxa"/>
            <w:tcBorders/>
            <w:tcMar>
              <w:top w:w="0" w:type="dxa"/>
              <w:left w:w="0" w:type="dxa"/>
              <w:bottom w:w="0" w:type="dxa"/>
              <w:right w:w="0" w:type="dxa"/>
            </w:tcMar>
            <w:vAlign w:val="center"/>
          </w:tcPr>
          <w:p>
            <w:pPr>
              <w:pStyle w:val="TableContents"/>
              <w:bidi w:val="0"/>
              <w:spacing w:before="120" w:after="283"/>
              <w:jc w:val="right"/>
              <w:rPr>
                <w:rFonts w:ascii="Arial" w:hAnsi="Arial"/>
                <w:color w:val="000000"/>
                <w:sz w:val="20"/>
              </w:rPr>
            </w:pPr>
            <w:r>
              <w:rPr>
                <w:rFonts w:ascii="Arial" w:hAnsi="Arial"/>
                <w:color w:val="000000"/>
                <w:sz w:val="20"/>
              </w:rPr>
              <w:t>43</w:t>
            </w:r>
          </w:p>
        </w:tc>
      </w:tr>
      <w:tr>
        <w:trPr/>
        <w:tc>
          <w:tcPr>
            <w:tcW w:w="8416" w:type="dxa"/>
            <w:tcBorders/>
            <w:tcMar>
              <w:top w:w="0" w:type="dxa"/>
              <w:left w:w="0" w:type="dxa"/>
              <w:bottom w:w="0" w:type="dxa"/>
              <w:right w:w="0" w:type="dxa"/>
            </w:tcMar>
            <w:vAlign w:val="center"/>
          </w:tcPr>
          <w:p>
            <w:pPr>
              <w:pStyle w:val="TableContents"/>
              <w:bidi w:val="0"/>
              <w:spacing w:before="120" w:after="283"/>
              <w:jc w:val="both"/>
              <w:rPr/>
            </w:pPr>
            <w:hyperlink w:anchor="or_important_information">
              <w:r>
                <w:rPr>
                  <w:rStyle w:val="InternetLink"/>
                  <w:rFonts w:ascii="Arial" w:hAnsi="Arial"/>
                  <w:color w:val="000000"/>
                  <w:sz w:val="20"/>
                </w:rPr>
                <w:t>Other Important Information</w:t>
              </w:r>
            </w:hyperlink>
          </w:p>
        </w:tc>
        <w:tc>
          <w:tcPr>
            <w:tcW w:w="361" w:type="dxa"/>
            <w:tcBorders/>
            <w:tcMar>
              <w:top w:w="0" w:type="dxa"/>
              <w:left w:w="0" w:type="dxa"/>
              <w:bottom w:w="0" w:type="dxa"/>
              <w:right w:w="0" w:type="dxa"/>
            </w:tcMar>
            <w:vAlign w:val="center"/>
          </w:tcPr>
          <w:p>
            <w:pPr>
              <w:pStyle w:val="TableContents"/>
              <w:bidi w:val="0"/>
              <w:spacing w:before="120" w:after="283"/>
              <w:jc w:val="right"/>
              <w:rPr>
                <w:rFonts w:ascii="Arial" w:hAnsi="Arial"/>
                <w:color w:val="000000"/>
                <w:sz w:val="20"/>
              </w:rPr>
            </w:pPr>
            <w:r>
              <w:rPr>
                <w:rFonts w:ascii="Arial" w:hAnsi="Arial"/>
                <w:color w:val="000000"/>
                <w:sz w:val="20"/>
              </w:rPr>
              <w:t>45</w:t>
            </w:r>
          </w:p>
        </w:tc>
      </w:tr>
      <w:tr>
        <w:trPr/>
        <w:tc>
          <w:tcPr>
            <w:tcW w:w="8416" w:type="dxa"/>
            <w:tcBorders/>
            <w:tcMar>
              <w:top w:w="0" w:type="dxa"/>
              <w:left w:w="0" w:type="dxa"/>
              <w:bottom w:w="0" w:type="dxa"/>
              <w:right w:w="0" w:type="dxa"/>
            </w:tcMar>
            <w:vAlign w:val="center"/>
          </w:tcPr>
          <w:p>
            <w:pPr>
              <w:pStyle w:val="TableContents"/>
              <w:bidi w:val="0"/>
              <w:spacing w:before="120" w:after="283"/>
              <w:jc w:val="both"/>
              <w:rPr/>
            </w:pPr>
            <w:hyperlink w:anchor="beneficial_ownership_of_common_stock">
              <w:r>
                <w:rPr>
                  <w:rStyle w:val="InternetLink"/>
                  <w:rFonts w:ascii="Arial" w:hAnsi="Arial"/>
                  <w:color w:val="000000"/>
                  <w:sz w:val="20"/>
                </w:rPr>
                <w:t>Beneficial Ownership of Common Stock</w:t>
              </w:r>
            </w:hyperlink>
          </w:p>
        </w:tc>
        <w:tc>
          <w:tcPr>
            <w:tcW w:w="361" w:type="dxa"/>
            <w:tcBorders/>
            <w:tcMar>
              <w:top w:w="0" w:type="dxa"/>
              <w:left w:w="0" w:type="dxa"/>
              <w:bottom w:w="0" w:type="dxa"/>
              <w:right w:w="0" w:type="dxa"/>
            </w:tcMar>
            <w:vAlign w:val="center"/>
          </w:tcPr>
          <w:p>
            <w:pPr>
              <w:pStyle w:val="TableContents"/>
              <w:bidi w:val="0"/>
              <w:spacing w:before="120" w:after="283"/>
              <w:jc w:val="right"/>
              <w:rPr>
                <w:rFonts w:ascii="Arial" w:hAnsi="Arial"/>
                <w:color w:val="000000"/>
                <w:sz w:val="20"/>
              </w:rPr>
            </w:pPr>
            <w:r>
              <w:rPr>
                <w:rFonts w:ascii="Arial" w:hAnsi="Arial"/>
                <w:color w:val="000000"/>
                <w:sz w:val="20"/>
              </w:rPr>
              <w:t>45</w:t>
            </w:r>
          </w:p>
        </w:tc>
      </w:tr>
      <w:tr>
        <w:trPr/>
        <w:tc>
          <w:tcPr>
            <w:tcW w:w="8416" w:type="dxa"/>
            <w:tcBorders/>
            <w:tcMar>
              <w:top w:w="0" w:type="dxa"/>
              <w:left w:w="0" w:type="dxa"/>
              <w:bottom w:w="0" w:type="dxa"/>
              <w:right w:w="0" w:type="dxa"/>
            </w:tcMar>
            <w:vAlign w:val="center"/>
          </w:tcPr>
          <w:p>
            <w:pPr>
              <w:pStyle w:val="TableContents"/>
              <w:bidi w:val="0"/>
              <w:spacing w:before="120" w:after="283"/>
              <w:jc w:val="both"/>
              <w:rPr/>
            </w:pPr>
            <w:hyperlink w:anchor="annual_report_on_form_10k">
              <w:r>
                <w:rPr>
                  <w:rStyle w:val="InternetLink"/>
                  <w:rFonts w:ascii="Arial" w:hAnsi="Arial"/>
                  <w:color w:val="000000"/>
                  <w:sz w:val="20"/>
                </w:rPr>
                <w:t>Annual Report on Form 10-K</w:t>
              </w:r>
            </w:hyperlink>
          </w:p>
        </w:tc>
        <w:tc>
          <w:tcPr>
            <w:tcW w:w="361" w:type="dxa"/>
            <w:tcBorders/>
            <w:tcMar>
              <w:top w:w="0" w:type="dxa"/>
              <w:left w:w="0" w:type="dxa"/>
              <w:bottom w:w="0" w:type="dxa"/>
              <w:right w:w="0" w:type="dxa"/>
            </w:tcMar>
            <w:vAlign w:val="center"/>
          </w:tcPr>
          <w:p>
            <w:pPr>
              <w:pStyle w:val="TableContents"/>
              <w:bidi w:val="0"/>
              <w:spacing w:before="120" w:after="283"/>
              <w:jc w:val="right"/>
              <w:rPr>
                <w:rFonts w:ascii="Arial" w:hAnsi="Arial"/>
                <w:color w:val="000000"/>
                <w:sz w:val="20"/>
              </w:rPr>
            </w:pPr>
            <w:r>
              <w:rPr>
                <w:rFonts w:ascii="Arial" w:hAnsi="Arial"/>
                <w:color w:val="000000"/>
                <w:sz w:val="20"/>
              </w:rPr>
              <w:t>46</w:t>
            </w:r>
          </w:p>
        </w:tc>
      </w:tr>
      <w:tr>
        <w:trPr/>
        <w:tc>
          <w:tcPr>
            <w:tcW w:w="8416" w:type="dxa"/>
            <w:tcBorders/>
            <w:tcMar>
              <w:top w:w="0" w:type="dxa"/>
              <w:left w:w="0" w:type="dxa"/>
              <w:bottom w:w="0" w:type="dxa"/>
              <w:right w:w="0" w:type="dxa"/>
            </w:tcMar>
            <w:vAlign w:val="center"/>
          </w:tcPr>
          <w:p>
            <w:pPr>
              <w:pStyle w:val="TableContents"/>
              <w:bidi w:val="0"/>
              <w:spacing w:before="120" w:after="283"/>
              <w:jc w:val="both"/>
              <w:rPr/>
            </w:pPr>
            <w:hyperlink w:anchor="delinquent_section_16a_reports">
              <w:r>
                <w:rPr>
                  <w:rStyle w:val="InternetLink"/>
                  <w:rFonts w:ascii="Arial" w:hAnsi="Arial"/>
                  <w:color w:val="000000"/>
                  <w:sz w:val="20"/>
                </w:rPr>
                <w:t>Delinquent Section 16(a) Reports</w:t>
              </w:r>
            </w:hyperlink>
          </w:p>
        </w:tc>
        <w:tc>
          <w:tcPr>
            <w:tcW w:w="361" w:type="dxa"/>
            <w:tcBorders/>
            <w:tcMar>
              <w:top w:w="0" w:type="dxa"/>
              <w:left w:w="0" w:type="dxa"/>
              <w:bottom w:w="0" w:type="dxa"/>
              <w:right w:w="0" w:type="dxa"/>
            </w:tcMar>
            <w:vAlign w:val="center"/>
          </w:tcPr>
          <w:p>
            <w:pPr>
              <w:pStyle w:val="TableContents"/>
              <w:bidi w:val="0"/>
              <w:spacing w:before="120" w:after="283"/>
              <w:jc w:val="right"/>
              <w:rPr>
                <w:rFonts w:ascii="Arial" w:hAnsi="Arial"/>
                <w:color w:val="000000"/>
                <w:sz w:val="20"/>
              </w:rPr>
            </w:pPr>
            <w:r>
              <w:rPr>
                <w:rFonts w:ascii="Arial" w:hAnsi="Arial"/>
                <w:color w:val="000000"/>
                <w:sz w:val="20"/>
              </w:rPr>
              <w:t>46</w:t>
            </w:r>
          </w:p>
        </w:tc>
      </w:tr>
      <w:tr>
        <w:trPr/>
        <w:tc>
          <w:tcPr>
            <w:tcW w:w="8416" w:type="dxa"/>
            <w:tcBorders/>
            <w:tcMar>
              <w:top w:w="0" w:type="dxa"/>
              <w:left w:w="0" w:type="dxa"/>
              <w:bottom w:w="0" w:type="dxa"/>
              <w:right w:w="0" w:type="dxa"/>
            </w:tcMar>
            <w:vAlign w:val="center"/>
          </w:tcPr>
          <w:p>
            <w:pPr>
              <w:pStyle w:val="TableContents"/>
              <w:bidi w:val="0"/>
              <w:spacing w:before="120" w:after="283"/>
              <w:jc w:val="both"/>
              <w:rPr/>
            </w:pPr>
            <w:hyperlink w:anchor="frequently_asked_questions">
              <w:r>
                <w:rPr>
                  <w:rStyle w:val="InternetLink"/>
                  <w:rFonts w:ascii="Arial" w:hAnsi="Arial"/>
                  <w:color w:val="000000"/>
                  <w:sz w:val="20"/>
                </w:rPr>
                <w:t>Frequently Asked Questions Regarding the 2026 Annual Meeting and Voting</w:t>
              </w:r>
            </w:hyperlink>
          </w:p>
        </w:tc>
        <w:tc>
          <w:tcPr>
            <w:tcW w:w="361" w:type="dxa"/>
            <w:tcBorders/>
            <w:tcMar>
              <w:top w:w="0" w:type="dxa"/>
              <w:left w:w="0" w:type="dxa"/>
              <w:bottom w:w="0" w:type="dxa"/>
              <w:right w:w="0" w:type="dxa"/>
            </w:tcMar>
            <w:vAlign w:val="center"/>
          </w:tcPr>
          <w:p>
            <w:pPr>
              <w:pStyle w:val="TableContents"/>
              <w:bidi w:val="0"/>
              <w:spacing w:before="120" w:after="283"/>
              <w:jc w:val="right"/>
              <w:rPr>
                <w:rFonts w:ascii="Arial" w:hAnsi="Arial"/>
                <w:color w:val="000000"/>
                <w:sz w:val="20"/>
              </w:rPr>
            </w:pPr>
            <w:r>
              <w:rPr>
                <w:rFonts w:ascii="Arial" w:hAnsi="Arial"/>
                <w:color w:val="000000"/>
                <w:sz w:val="20"/>
              </w:rPr>
              <w:t>46</w:t>
            </w:r>
          </w:p>
        </w:tc>
      </w:tr>
      <w:tr>
        <w:trPr/>
        <w:tc>
          <w:tcPr>
            <w:tcW w:w="8416"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sz w:val="20"/>
              </w:rPr>
            </w:pPr>
            <w:r>
              <w:rPr>
                <w:rFonts w:ascii="Arial" w:hAnsi="Arial"/>
                <w:color w:val="000000"/>
                <w:sz w:val="20"/>
              </w:rPr>
              <w:t>Stockholder Proposals or Director Nominations for 2027 Annual Meeting</w:t>
            </w:r>
            <w:r>
              <w:rPr>
                <w:rFonts w:ascii="Times New Roman" w:hAnsi="Times New Roman"/>
                <w:color w:val="000000"/>
                <w:sz w:val="20"/>
              </w:rPr>
              <w:t xml:space="preserve"> </w:t>
            </w:r>
          </w:p>
        </w:tc>
        <w:tc>
          <w:tcPr>
            <w:tcW w:w="361" w:type="dxa"/>
            <w:tcBorders/>
            <w:tcMar>
              <w:top w:w="0" w:type="dxa"/>
              <w:left w:w="0" w:type="dxa"/>
              <w:bottom w:w="0" w:type="dxa"/>
              <w:right w:w="0" w:type="dxa"/>
            </w:tcMar>
            <w:vAlign w:val="center"/>
          </w:tcPr>
          <w:p>
            <w:pPr>
              <w:pStyle w:val="TableContents"/>
              <w:bidi w:val="0"/>
              <w:spacing w:before="120" w:after="283"/>
              <w:jc w:val="right"/>
              <w:rPr>
                <w:rFonts w:ascii="Arial" w:hAnsi="Arial"/>
                <w:color w:val="000000"/>
                <w:sz w:val="20"/>
              </w:rPr>
            </w:pPr>
            <w:r>
              <w:rPr>
                <w:rFonts w:ascii="Arial" w:hAnsi="Arial"/>
                <w:color w:val="000000"/>
                <w:sz w:val="20"/>
              </w:rPr>
              <w:t>49</w:t>
            </w:r>
          </w:p>
        </w:tc>
      </w:tr>
    </w:tbl>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Arial" w:hAnsi="Arial"/>
          <w:b/>
          <w:caps/>
          <w:color w:val="002668"/>
          <w:sz w:val="44"/>
        </w:rPr>
      </w:pPr>
      <w:bookmarkStart w:id="2" w:name="proxy_statement_summary"/>
      <w:bookmarkEnd w:id="2"/>
      <w:r>
        <w:rPr>
          <w:rFonts w:ascii="Arial" w:hAnsi="Arial"/>
          <w:b/>
          <w:caps/>
          <w:color w:val="002668"/>
          <w:sz w:val="44"/>
        </w:rPr>
        <w:t>PROXY STATEMENT SUMMARY</w:t>
      </w:r>
    </w:p>
    <w:p>
      <w:pPr>
        <w:pStyle w:val="TextBody"/>
        <w:bidi w:val="0"/>
        <w:spacing w:before="0" w:after="240"/>
        <w:jc w:val="both"/>
        <w:rPr>
          <w:rFonts w:ascii="Arial" w:hAnsi="Arial"/>
          <w:color w:val="000000"/>
          <w:sz w:val="20"/>
        </w:rPr>
      </w:pPr>
      <w:r>
        <w:rPr>
          <w:rFonts w:ascii="Arial" w:hAnsi="Arial"/>
          <w:color w:val="000000"/>
          <w:sz w:val="20"/>
        </w:rPr>
        <w:t>This summary highlights information contained elsewhere in this Proxy Statement. You should read this entire Proxy Statement carefully before voting. In this Proxy Statement, Smith &amp; Wesson Brands, Inc. (together with its subsidiaries) is referred to as "the Company," "we," "us," or "our."</w:t>
      </w:r>
    </w:p>
    <w:tbl>
      <w:tblPr>
        <w:tblW w:w="8175" w:type="dxa"/>
        <w:jc w:val="left"/>
        <w:tblInd w:w="0" w:type="dxa"/>
        <w:tblLayout w:type="fixed"/>
        <w:tblCellMar>
          <w:top w:w="28" w:type="dxa"/>
          <w:left w:w="28" w:type="dxa"/>
          <w:bottom w:w="28" w:type="dxa"/>
          <w:right w:w="28" w:type="dxa"/>
        </w:tblCellMar>
      </w:tblPr>
      <w:tblGrid>
        <w:gridCol w:w="2182"/>
        <w:gridCol w:w="161"/>
        <w:gridCol w:w="750"/>
        <w:gridCol w:w="750"/>
        <w:gridCol w:w="1005"/>
        <w:gridCol w:w="1005"/>
        <w:gridCol w:w="1005"/>
        <w:gridCol w:w="1317"/>
      </w:tblGrid>
      <w:tr>
        <w:trPr/>
        <w:tc>
          <w:tcPr>
            <w:tcW w:w="218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r>
      <w:tr>
        <w:trPr/>
        <w:tc>
          <w:tcPr>
            <w:tcW w:w="2182" w:type="dxa"/>
            <w:tcBorders/>
            <w:tcMar>
              <w:top w:w="0" w:type="dxa"/>
              <w:left w:w="0" w:type="dxa"/>
              <w:bottom w:w="0" w:type="dxa"/>
              <w:right w:w="0" w:type="dxa"/>
            </w:tcMar>
            <w:vAlign w:val="center"/>
          </w:tcPr>
          <w:p>
            <w:pPr>
              <w:pStyle w:val="TableContents"/>
              <w:bidi w:val="0"/>
              <w:spacing w:before="0" w:after="283"/>
              <w:jc w:val="both"/>
              <w:rPr/>
            </w:pPr>
            <w:r>
              <w:rPr/>
              <w:t> </w:t>
            </w:r>
          </w:p>
        </w:tc>
        <w:tc>
          <w:tcPr>
            <w:tcW w:w="911"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5082" w:type="dxa"/>
            <w:gridSpan w:val="5"/>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8175" w:type="dxa"/>
            <w:gridSpan w:val="8"/>
            <w:tcBorders/>
            <w:tcMar>
              <w:top w:w="0" w:type="dxa"/>
              <w:left w:w="0" w:type="dxa"/>
              <w:bottom w:w="0" w:type="dxa"/>
              <w:right w:w="0" w:type="dxa"/>
            </w:tcMar>
            <w:vAlign w:val="center"/>
          </w:tcPr>
          <w:p>
            <w:pPr>
              <w:pStyle w:val="TableContents"/>
              <w:bidi w:val="0"/>
              <w:spacing w:before="0" w:after="283"/>
              <w:jc w:val="both"/>
              <w:rPr>
                <w:rFonts w:ascii="Arial" w:hAnsi="Arial"/>
                <w:b/>
                <w:color w:val="002668"/>
                <w:sz w:val="28"/>
              </w:rPr>
            </w:pPr>
            <w:r>
              <w:rPr>
                <w:rFonts w:ascii="Arial" w:hAnsi="Arial"/>
                <w:b/>
                <w:color w:val="002668"/>
                <w:sz w:val="28"/>
              </w:rPr>
              <w:t>MEETING INFORMATION</w:t>
            </w:r>
          </w:p>
        </w:tc>
      </w:tr>
      <w:tr>
        <w:trPr/>
        <w:tc>
          <w:tcPr>
            <w:tcW w:w="2182" w:type="dxa"/>
            <w:tcBorders/>
            <w:tcMar>
              <w:top w:w="0" w:type="dxa"/>
              <w:left w:w="0" w:type="dxa"/>
              <w:bottom w:w="0" w:type="dxa"/>
              <w:right w:w="0" w:type="dxa"/>
            </w:tcMar>
            <w:vAlign w:val="center"/>
          </w:tcPr>
          <w:p>
            <w:pPr>
              <w:pStyle w:val="TableContents"/>
              <w:bidi w:val="0"/>
              <w:spacing w:before="0" w:after="283"/>
              <w:jc w:val="both"/>
              <w:rPr/>
            </w:pPr>
            <w:r>
              <w:rPr/>
              <w:t> </w:t>
            </w:r>
          </w:p>
        </w:tc>
        <w:tc>
          <w:tcPr>
            <w:tcW w:w="5993" w:type="dxa"/>
            <w:gridSpan w:val="7"/>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2182" w:type="dxa"/>
            <w:tcBorders/>
            <w:tcMar>
              <w:top w:w="0" w:type="dxa"/>
              <w:left w:w="0" w:type="dxa"/>
              <w:bottom w:w="0" w:type="dxa"/>
              <w:right w:w="0" w:type="dxa"/>
            </w:tcMar>
            <w:vAlign w:val="center"/>
          </w:tcPr>
          <w:p>
            <w:pPr>
              <w:pStyle w:val="TableContents"/>
              <w:bidi w:val="0"/>
              <w:spacing w:before="0" w:after="283"/>
              <w:jc w:val="both"/>
              <w:rPr>
                <w:color w:val="002668"/>
              </w:rPr>
            </w:pPr>
            <w:r>
              <w:rPr>
                <w:color w:val="002668"/>
              </w:rPr>
              <w:t>  </w:t>
            </w:r>
            <w:r>
              <w:rPr>
                <w:rFonts w:ascii="Arial" w:hAnsi="Arial"/>
                <w:b/>
                <w:color w:val="002668"/>
                <w:sz w:val="18"/>
              </w:rPr>
              <w:t>Time and Date</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2" w:type="dxa"/>
            <w:gridSpan w:val="6"/>
            <w:tcBorders/>
            <w:tcMar>
              <w:top w:w="0" w:type="dxa"/>
              <w:left w:w="0" w:type="dxa"/>
              <w:bottom w:w="0" w:type="dxa"/>
              <w:right w:w="0" w:type="dxa"/>
            </w:tcMar>
            <w:vAlign w:val="center"/>
          </w:tcPr>
          <w:p>
            <w:pPr>
              <w:pStyle w:val="TableContents"/>
              <w:bidi w:val="0"/>
              <w:spacing w:before="0" w:after="283"/>
              <w:jc w:val="both"/>
              <w:rPr>
                <w:rFonts w:ascii="Arial" w:hAnsi="Arial"/>
                <w:color w:val="000000"/>
                <w:sz w:val="18"/>
              </w:rPr>
            </w:pPr>
            <w:r>
              <w:rPr>
                <w:rFonts w:ascii="Arial" w:hAnsi="Arial"/>
                <w:color w:val="000000"/>
                <w:sz w:val="18"/>
              </w:rPr>
              <w:t>10:00 a.m., Eastern Time, on Tuesday, September 15, 2026</w:t>
            </w:r>
          </w:p>
        </w:tc>
      </w:tr>
      <w:tr>
        <w:trPr/>
        <w:tc>
          <w:tcPr>
            <w:tcW w:w="2182" w:type="dxa"/>
            <w:tcBorders/>
            <w:tcMar>
              <w:top w:w="0" w:type="dxa"/>
              <w:left w:w="0" w:type="dxa"/>
              <w:bottom w:w="0" w:type="dxa"/>
              <w:right w:w="0" w:type="dxa"/>
            </w:tcMar>
            <w:vAlign w:val="center"/>
          </w:tcPr>
          <w:p>
            <w:pPr>
              <w:pStyle w:val="TableContents"/>
              <w:bidi w:val="0"/>
              <w:spacing w:before="0" w:after="283"/>
              <w:jc w:val="both"/>
              <w:rPr/>
            </w:pPr>
            <w:r>
              <w:rPr/>
              <w:t> </w:t>
            </w:r>
          </w:p>
        </w:tc>
        <w:tc>
          <w:tcPr>
            <w:tcW w:w="5993" w:type="dxa"/>
            <w:gridSpan w:val="7"/>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2182" w:type="dxa"/>
            <w:tcBorders/>
            <w:tcMar>
              <w:top w:w="0" w:type="dxa"/>
              <w:left w:w="0" w:type="dxa"/>
              <w:bottom w:w="0" w:type="dxa"/>
              <w:right w:w="0" w:type="dxa"/>
            </w:tcMar>
            <w:vAlign w:val="center"/>
          </w:tcPr>
          <w:p>
            <w:pPr>
              <w:pStyle w:val="TableContents"/>
              <w:bidi w:val="0"/>
              <w:spacing w:before="0" w:after="283"/>
              <w:jc w:val="both"/>
              <w:rPr>
                <w:color w:val="002668"/>
              </w:rPr>
            </w:pPr>
            <w:r>
              <w:rPr>
                <w:color w:val="002668"/>
              </w:rPr>
              <w:t>  </w:t>
            </w:r>
            <w:r>
              <w:rPr>
                <w:rFonts w:ascii="Arial" w:hAnsi="Arial"/>
                <w:b/>
                <w:color w:val="002668"/>
                <w:sz w:val="18"/>
              </w:rPr>
              <w:t>Location</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2" w:type="dxa"/>
            <w:gridSpan w:val="6"/>
            <w:tcBorders/>
            <w:tcMar>
              <w:top w:w="0" w:type="dxa"/>
              <w:left w:w="0" w:type="dxa"/>
              <w:bottom w:w="0" w:type="dxa"/>
              <w:right w:w="0" w:type="dxa"/>
            </w:tcMar>
            <w:vAlign w:val="center"/>
          </w:tcPr>
          <w:p>
            <w:pPr>
              <w:pStyle w:val="TableContents"/>
              <w:bidi w:val="0"/>
              <w:spacing w:before="0" w:after="283"/>
              <w:jc w:val="both"/>
              <w:rPr>
                <w:rFonts w:ascii="Arial" w:hAnsi="Arial"/>
                <w:color w:val="000000"/>
                <w:sz w:val="18"/>
              </w:rPr>
            </w:pPr>
            <w:r>
              <w:rPr>
                <w:rFonts w:ascii="Arial" w:hAnsi="Arial"/>
                <w:color w:val="000000"/>
                <w:sz w:val="18"/>
              </w:rPr>
              <w:t>Online via webcast at www.virtualshareholdermeeting.com/SWBI2026</w:t>
            </w:r>
          </w:p>
        </w:tc>
      </w:tr>
      <w:tr>
        <w:trPr/>
        <w:tc>
          <w:tcPr>
            <w:tcW w:w="2182" w:type="dxa"/>
            <w:tcBorders/>
            <w:tcMar>
              <w:top w:w="0" w:type="dxa"/>
              <w:left w:w="0" w:type="dxa"/>
              <w:bottom w:w="0" w:type="dxa"/>
              <w:right w:w="0" w:type="dxa"/>
            </w:tcMar>
            <w:vAlign w:val="center"/>
          </w:tcPr>
          <w:p>
            <w:pPr>
              <w:pStyle w:val="TableContents"/>
              <w:bidi w:val="0"/>
              <w:spacing w:before="0" w:after="283"/>
              <w:jc w:val="both"/>
              <w:rPr/>
            </w:pPr>
            <w:r>
              <w:rPr/>
              <w:t> </w:t>
            </w:r>
          </w:p>
        </w:tc>
        <w:tc>
          <w:tcPr>
            <w:tcW w:w="5993" w:type="dxa"/>
            <w:gridSpan w:val="7"/>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2182" w:type="dxa"/>
            <w:tcBorders/>
            <w:tcMar>
              <w:top w:w="0" w:type="dxa"/>
              <w:left w:w="0" w:type="dxa"/>
              <w:bottom w:w="0" w:type="dxa"/>
              <w:right w:w="0" w:type="dxa"/>
            </w:tcMar>
            <w:vAlign w:val="center"/>
          </w:tcPr>
          <w:p>
            <w:pPr>
              <w:pStyle w:val="TableContents"/>
              <w:bidi w:val="0"/>
              <w:spacing w:before="0" w:after="283"/>
              <w:jc w:val="both"/>
              <w:rPr>
                <w:color w:val="002668"/>
              </w:rPr>
            </w:pPr>
            <w:r>
              <w:rPr>
                <w:color w:val="002668"/>
              </w:rPr>
              <w:t>  </w:t>
            </w:r>
            <w:r>
              <w:rPr>
                <w:rFonts w:ascii="Arial" w:hAnsi="Arial"/>
                <w:b/>
                <w:color w:val="002668"/>
                <w:sz w:val="18"/>
              </w:rPr>
              <w:t>Record Date</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2" w:type="dxa"/>
            <w:gridSpan w:val="6"/>
            <w:tcBorders/>
            <w:tcMar>
              <w:top w:w="0" w:type="dxa"/>
              <w:left w:w="0" w:type="dxa"/>
              <w:bottom w:w="0" w:type="dxa"/>
              <w:right w:w="0" w:type="dxa"/>
            </w:tcMar>
            <w:vAlign w:val="center"/>
          </w:tcPr>
          <w:p>
            <w:pPr>
              <w:pStyle w:val="TableContents"/>
              <w:bidi w:val="0"/>
              <w:spacing w:before="0" w:after="283"/>
              <w:jc w:val="both"/>
              <w:rPr>
                <w:rFonts w:ascii="Arial" w:hAnsi="Arial"/>
                <w:color w:val="000000"/>
                <w:sz w:val="18"/>
              </w:rPr>
            </w:pPr>
            <w:r>
              <w:rPr>
                <w:rFonts w:ascii="Arial" w:hAnsi="Arial"/>
                <w:color w:val="000000"/>
                <w:sz w:val="18"/>
              </w:rPr>
              <w:t>July 24, 2026</w:t>
            </w:r>
          </w:p>
        </w:tc>
      </w:tr>
      <w:tr>
        <w:trPr/>
        <w:tc>
          <w:tcPr>
            <w:tcW w:w="3843" w:type="dxa"/>
            <w:gridSpan w:val="4"/>
            <w:tcBorders/>
            <w:tcMar>
              <w:top w:w="0" w:type="dxa"/>
              <w:left w:w="0" w:type="dxa"/>
              <w:bottom w:w="0" w:type="dxa"/>
              <w:right w:w="0" w:type="dxa"/>
            </w:tcMar>
            <w:vAlign w:val="center"/>
          </w:tcPr>
          <w:p>
            <w:pPr>
              <w:pStyle w:val="TableContents"/>
              <w:bidi w:val="0"/>
              <w:spacing w:before="0" w:after="283"/>
              <w:jc w:val="both"/>
              <w:rPr/>
            </w:pPr>
            <w:r>
              <w:rPr/>
              <w:t> </w:t>
            </w:r>
          </w:p>
        </w:tc>
        <w:tc>
          <w:tcPr>
            <w:tcW w:w="1005" w:type="dxa"/>
            <w:tcBorders/>
            <w:tcMar>
              <w:top w:w="0" w:type="dxa"/>
              <w:left w:w="0" w:type="dxa"/>
              <w:bottom w:w="0" w:type="dxa"/>
              <w:right w:w="0" w:type="dxa"/>
            </w:tcMar>
            <w:vAlign w:val="center"/>
          </w:tcPr>
          <w:p>
            <w:pPr>
              <w:pStyle w:val="TableContents"/>
              <w:bidi w:val="0"/>
              <w:spacing w:before="0" w:after="283"/>
              <w:jc w:val="both"/>
              <w:rPr/>
            </w:pPr>
            <w:r>
              <w:rPr/>
              <w:t> </w:t>
            </w:r>
          </w:p>
        </w:tc>
        <w:tc>
          <w:tcPr>
            <w:tcW w:w="1005" w:type="dxa"/>
            <w:tcBorders/>
            <w:tcMar>
              <w:top w:w="0" w:type="dxa"/>
              <w:left w:w="0" w:type="dxa"/>
              <w:bottom w:w="0" w:type="dxa"/>
              <w:right w:w="0" w:type="dxa"/>
            </w:tcMar>
            <w:vAlign w:val="center"/>
          </w:tcPr>
          <w:p>
            <w:pPr>
              <w:pStyle w:val="TableContents"/>
              <w:bidi w:val="0"/>
              <w:spacing w:before="0" w:after="283"/>
              <w:jc w:val="both"/>
              <w:rPr/>
            </w:pPr>
            <w:r>
              <w:rPr/>
              <w:t> </w:t>
            </w:r>
          </w:p>
        </w:tc>
        <w:tc>
          <w:tcPr>
            <w:tcW w:w="1005" w:type="dxa"/>
            <w:tcBorders/>
            <w:tcMar>
              <w:top w:w="0" w:type="dxa"/>
              <w:left w:w="0" w:type="dxa"/>
              <w:bottom w:w="0" w:type="dxa"/>
              <w:right w:w="0" w:type="dxa"/>
            </w:tcMar>
            <w:vAlign w:val="center"/>
          </w:tcPr>
          <w:p>
            <w:pPr>
              <w:pStyle w:val="TableContents"/>
              <w:bidi w:val="0"/>
              <w:spacing w:before="0" w:after="283"/>
              <w:jc w:val="both"/>
              <w:rPr/>
            </w:pPr>
            <w:r>
              <w:rPr/>
              <w:t> </w:t>
            </w:r>
          </w:p>
        </w:tc>
        <w:tc>
          <w:tcPr>
            <w:tcW w:w="1317"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3843" w:type="dxa"/>
            <w:gridSpan w:val="4"/>
            <w:tcBorders/>
            <w:tcMar>
              <w:top w:w="0" w:type="dxa"/>
              <w:left w:w="0" w:type="dxa"/>
              <w:bottom w:w="0" w:type="dxa"/>
              <w:right w:w="0" w:type="dxa"/>
            </w:tcMar>
            <w:vAlign w:val="center"/>
          </w:tcPr>
          <w:p>
            <w:pPr>
              <w:pStyle w:val="TableContents"/>
              <w:bidi w:val="0"/>
              <w:spacing w:before="0" w:after="283"/>
              <w:jc w:val="both"/>
              <w:rPr>
                <w:rFonts w:ascii="Arial" w:hAnsi="Arial"/>
                <w:b/>
                <w:color w:val="002668"/>
                <w:sz w:val="28"/>
              </w:rPr>
            </w:pPr>
            <w:r>
              <w:rPr>
                <w:rFonts w:ascii="Arial" w:hAnsi="Arial"/>
                <w:b/>
                <w:color w:val="002668"/>
                <w:sz w:val="28"/>
              </w:rPr>
              <w:t>MEETING AGENDA</w:t>
            </w:r>
          </w:p>
        </w:tc>
        <w:tc>
          <w:tcPr>
            <w:tcW w:w="10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tcBorders/>
            <w:tcMar>
              <w:top w:w="0" w:type="dxa"/>
              <w:left w:w="0" w:type="dxa"/>
              <w:bottom w:w="0" w:type="dxa"/>
              <w:right w:w="0" w:type="dxa"/>
            </w:tcMar>
            <w:vAlign w:val="center"/>
          </w:tcPr>
          <w:p>
            <w:pPr>
              <w:pStyle w:val="TableContents"/>
              <w:bidi w:val="0"/>
              <w:spacing w:before="0" w:after="283"/>
              <w:jc w:val="both"/>
              <w:rPr/>
            </w:pPr>
            <w:r>
              <w:rPr/>
              <w:t> </w:t>
            </w:r>
          </w:p>
        </w:tc>
        <w:tc>
          <w:tcPr>
            <w:tcW w:w="10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tcBorders/>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79"/>
        <w:gridCol w:w="6242"/>
        <w:gridCol w:w="146"/>
        <w:gridCol w:w="1780"/>
        <w:gridCol w:w="196"/>
        <w:gridCol w:w="962"/>
      </w:tblGrid>
      <w:tr>
        <w:trPr/>
        <w:tc>
          <w:tcPr>
            <w:tcW w:w="879" w:type="dxa"/>
            <w:tcBorders/>
            <w:vAlign w:val="center"/>
          </w:tcPr>
          <w:p>
            <w:pPr>
              <w:pStyle w:val="TableContents"/>
              <w:bidi w:val="0"/>
              <w:spacing w:before="0" w:after="283"/>
              <w:jc w:val="left"/>
              <w:rPr>
                <w:sz w:val="4"/>
                <w:szCs w:val="4"/>
              </w:rPr>
            </w:pPr>
            <w:r>
              <w:rPr>
                <w:sz w:val="4"/>
                <w:szCs w:val="4"/>
              </w:rPr>
            </w:r>
          </w:p>
        </w:tc>
        <w:tc>
          <w:tcPr>
            <w:tcW w:w="62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r>
      <w:tr>
        <w:trPr/>
        <w:tc>
          <w:tcPr>
            <w:tcW w:w="7121" w:type="dxa"/>
            <w:gridSpan w:val="2"/>
            <w:tcBorders/>
            <w:tcMar>
              <w:top w:w="0" w:type="dxa"/>
              <w:left w:w="0" w:type="dxa"/>
              <w:bottom w:w="0" w:type="dxa"/>
              <w:right w:w="0" w:type="dxa"/>
            </w:tcMar>
            <w:vAlign w:val="center"/>
          </w:tcPr>
          <w:p>
            <w:pPr>
              <w:pStyle w:val="TableContents"/>
              <w:bidi w:val="0"/>
              <w:spacing w:before="0" w:after="283"/>
              <w:jc w:val="left"/>
              <w:rPr>
                <w:rFonts w:ascii="Arial" w:hAnsi="Arial"/>
                <w:b/>
                <w:color w:val="002668"/>
                <w:sz w:val="20"/>
              </w:rPr>
            </w:pPr>
            <w:r>
              <w:rPr>
                <w:rFonts w:ascii="Arial" w:hAnsi="Arial"/>
                <w:b/>
                <w:color w:val="002668"/>
                <w:sz w:val="20"/>
              </w:rPr>
              <w:t>Proposals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0" w:type="dxa"/>
            <w:tcBorders/>
            <w:tcMar>
              <w:top w:w="0" w:type="dxa"/>
              <w:left w:w="0" w:type="dxa"/>
              <w:bottom w:w="0" w:type="dxa"/>
              <w:right w:w="0" w:type="dxa"/>
            </w:tcMar>
            <w:vAlign w:val="center"/>
          </w:tcPr>
          <w:p>
            <w:pPr>
              <w:pStyle w:val="TableContents"/>
              <w:bidi w:val="0"/>
              <w:jc w:val="both"/>
              <w:rPr>
                <w:rFonts w:ascii="Arial" w:hAnsi="Arial"/>
                <w:b/>
                <w:color w:val="000000"/>
                <w:sz w:val="20"/>
              </w:rPr>
            </w:pPr>
            <w:r>
              <w:rPr>
                <w:rFonts w:ascii="Arial" w:hAnsi="Arial"/>
                <w:b/>
                <w:color w:val="000000"/>
                <w:sz w:val="20"/>
              </w:rPr>
              <w:t>Board</w:t>
            </w:r>
          </w:p>
          <w:p>
            <w:pPr>
              <w:pStyle w:val="TableContents"/>
              <w:bidi w:val="0"/>
              <w:spacing w:before="0" w:after="283"/>
              <w:jc w:val="both"/>
              <w:rPr>
                <w:rFonts w:ascii="Arial" w:hAnsi="Arial"/>
                <w:b/>
                <w:color w:val="000000"/>
                <w:sz w:val="20"/>
              </w:rPr>
            </w:pPr>
            <w:r>
              <w:rPr>
                <w:rFonts w:ascii="Arial" w:hAnsi="Arial"/>
                <w:b/>
                <w:color w:val="000000"/>
                <w:sz w:val="20"/>
              </w:rPr>
              <w:t>Recommendation</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tcBorders/>
            <w:tcMar>
              <w:top w:w="0" w:type="dxa"/>
              <w:left w:w="0" w:type="dxa"/>
              <w:bottom w:w="0" w:type="dxa"/>
              <w:right w:w="0" w:type="dxa"/>
            </w:tcMar>
            <w:vAlign w:val="center"/>
          </w:tcPr>
          <w:p>
            <w:pPr>
              <w:pStyle w:val="TableContents"/>
              <w:bidi w:val="0"/>
              <w:spacing w:before="0" w:after="283"/>
              <w:jc w:val="both"/>
              <w:rPr>
                <w:rFonts w:ascii="Arial" w:hAnsi="Arial"/>
                <w:b/>
                <w:color w:val="000000"/>
                <w:sz w:val="20"/>
              </w:rPr>
            </w:pPr>
            <w:r>
              <w:rPr>
                <w:rFonts w:ascii="Arial" w:hAnsi="Arial"/>
                <w:b/>
                <w:color w:val="000000"/>
                <w:sz w:val="20"/>
              </w:rPr>
              <w:t>Page</w:t>
            </w:r>
          </w:p>
        </w:tc>
      </w:tr>
      <w:tr>
        <w:trPr/>
        <w:tc>
          <w:tcPr>
            <w:tcW w:w="879" w:type="dxa"/>
            <w:tcBorders/>
            <w:tcMar>
              <w:top w:w="0" w:type="dxa"/>
              <w:left w:w="0" w:type="dxa"/>
              <w:bottom w:w="0" w:type="dxa"/>
              <w:right w:w="0" w:type="dxa"/>
            </w:tcMar>
            <w:vAlign w:val="center"/>
          </w:tcPr>
          <w:p>
            <w:pPr>
              <w:pStyle w:val="TableContents"/>
              <w:bidi w:val="0"/>
              <w:spacing w:before="0" w:after="283"/>
              <w:jc w:val="both"/>
              <w:rPr/>
            </w:pPr>
            <w:r>
              <w:rPr/>
              <w:t> </w:t>
            </w:r>
          </w:p>
        </w:tc>
        <w:tc>
          <w:tcPr>
            <w:tcW w:w="6242" w:type="dxa"/>
            <w:tcBorders/>
            <w:tcMar>
              <w:top w:w="0" w:type="dxa"/>
              <w:left w:w="0" w:type="dxa"/>
              <w:bottom w:w="0" w:type="dxa"/>
              <w:right w:w="0" w:type="dxa"/>
            </w:tcMar>
            <w:vAlign w:val="center"/>
          </w:tcPr>
          <w:p>
            <w:pPr>
              <w:pStyle w:val="TableContents"/>
              <w:bidi w:val="0"/>
              <w:spacing w:before="0" w:after="283"/>
              <w:jc w:val="both"/>
              <w:rPr/>
            </w:pPr>
            <w:r>
              <w:rPr/>
              <w:t> </w:t>
            </w:r>
          </w:p>
        </w:tc>
        <w:tc>
          <w:tcPr>
            <w:tcW w:w="1926"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1158" w:type="dxa"/>
            <w:gridSpan w:val="2"/>
            <w:tcBorders/>
            <w:tcMar>
              <w:top w:w="0" w:type="dxa"/>
              <w:left w:w="0" w:type="dxa"/>
              <w:bottom w:w="0" w:type="dxa"/>
              <w:right w:w="0" w:type="dxa"/>
            </w:tcMar>
            <w:vAlign w:val="center"/>
          </w:tcPr>
          <w:p>
            <w:pPr>
              <w:pStyle w:val="TableContents"/>
              <w:bidi w:val="0"/>
              <w:spacing w:before="0" w:after="283"/>
              <w:ind w:left="0" w:right="0" w:firstLine="60"/>
              <w:jc w:val="both"/>
              <w:rPr/>
            </w:pPr>
            <w:r>
              <w:rPr/>
              <w:t> </w:t>
            </w:r>
          </w:p>
        </w:tc>
      </w:tr>
      <w:tr>
        <w:trPr/>
        <w:tc>
          <w:tcPr>
            <w:tcW w:w="879" w:type="dxa"/>
            <w:tcBorders/>
            <w:tcMar>
              <w:top w:w="0" w:type="dxa"/>
              <w:left w:w="0" w:type="dxa"/>
              <w:bottom w:w="0" w:type="dxa"/>
              <w:right w:w="0" w:type="dxa"/>
            </w:tcMar>
            <w:vAlign w:val="center"/>
          </w:tcPr>
          <w:p>
            <w:pPr>
              <w:pStyle w:val="TableContents"/>
              <w:bidi w:val="0"/>
              <w:spacing w:before="0" w:after="283"/>
              <w:ind w:left="0" w:right="0" w:firstLine="60"/>
              <w:jc w:val="both"/>
              <w:rPr>
                <w:rFonts w:ascii="Arial" w:hAnsi="Arial"/>
                <w:color w:val="000000"/>
                <w:sz w:val="20"/>
              </w:rPr>
            </w:pPr>
            <w:r>
              <w:rPr>
                <w:rFonts w:ascii="Arial" w:hAnsi="Arial"/>
                <w:color w:val="000000"/>
                <w:sz w:val="20"/>
              </w:rPr>
              <w:t>1.</w:t>
            </w:r>
          </w:p>
        </w:tc>
        <w:tc>
          <w:tcPr>
            <w:tcW w:w="6242"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Election of Directors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0" w:type="dxa"/>
            <w:tcBorders/>
            <w:tcMar>
              <w:top w:w="0" w:type="dxa"/>
              <w:left w:w="0" w:type="dxa"/>
              <w:bottom w:w="0" w:type="dxa"/>
              <w:right w:w="0" w:type="dxa"/>
            </w:tcMar>
            <w:vAlign w:val="center"/>
          </w:tcPr>
          <w:p>
            <w:pPr>
              <w:pStyle w:val="TableContents"/>
              <w:bidi w:val="0"/>
              <w:spacing w:before="0" w:after="283"/>
              <w:jc w:val="both"/>
              <w:rPr>
                <w:rFonts w:ascii="Arial" w:hAnsi="Arial"/>
                <w:color w:val="4F81BD"/>
                <w:sz w:val="20"/>
              </w:rPr>
            </w:pPr>
            <w:r>
              <w:rPr>
                <w:rFonts w:ascii="Arial" w:hAnsi="Arial"/>
                <w:color w:val="4F81BD"/>
                <w:sz w:val="20"/>
              </w:rPr>
              <w:t>FOR each nominee</w:t>
            </w:r>
          </w:p>
        </w:tc>
        <w:tc>
          <w:tcPr>
            <w:tcW w:w="196" w:type="dxa"/>
            <w:tcBorders/>
            <w:tcMar>
              <w:top w:w="0" w:type="dxa"/>
              <w:left w:w="0" w:type="dxa"/>
              <w:bottom w:w="0" w:type="dxa"/>
              <w:right w:w="0" w:type="dxa"/>
            </w:tcMar>
            <w:vAlign w:val="center"/>
          </w:tcPr>
          <w:p>
            <w:pPr>
              <w:pStyle w:val="TableContents"/>
              <w:bidi w:val="0"/>
              <w:spacing w:before="0" w:after="283"/>
              <w:ind w:left="0" w:right="0" w:firstLine="50"/>
              <w:jc w:val="left"/>
              <w:rPr>
                <w:sz w:val="4"/>
                <w:szCs w:val="4"/>
              </w:rPr>
            </w:pPr>
            <w:r>
              <w:rPr>
                <w:sz w:val="4"/>
                <w:szCs w:val="4"/>
              </w:rPr>
            </w:r>
          </w:p>
        </w:tc>
        <w:tc>
          <w:tcPr>
            <w:tcW w:w="962" w:type="dxa"/>
            <w:tcBorders/>
            <w:tcMar>
              <w:top w:w="0" w:type="dxa"/>
              <w:left w:w="0" w:type="dxa"/>
              <w:bottom w:w="0" w:type="dxa"/>
              <w:right w:w="0" w:type="dxa"/>
            </w:tcMar>
            <w:vAlign w:val="center"/>
          </w:tcPr>
          <w:p>
            <w:pPr>
              <w:pStyle w:val="TableContents"/>
              <w:bidi w:val="0"/>
              <w:spacing w:before="0" w:after="283"/>
              <w:ind w:left="0" w:right="0" w:firstLine="60"/>
              <w:jc w:val="both"/>
              <w:rPr>
                <w:rFonts w:ascii="Times New Roman" w:hAnsi="Times New Roman"/>
                <w:sz w:val="20"/>
              </w:rPr>
            </w:pPr>
            <w:r>
              <w:rPr>
                <w:rFonts w:ascii="Arial" w:hAnsi="Arial"/>
                <w:color w:val="000000"/>
                <w:sz w:val="20"/>
              </w:rPr>
              <w:t>3</w:t>
            </w:r>
            <w:r>
              <w:rPr>
                <w:rFonts w:ascii="Times New Roman" w:hAnsi="Times New Roman"/>
                <w:color w:val="000000"/>
                <w:sz w:val="20"/>
              </w:rPr>
              <w:t xml:space="preserve"> </w:t>
            </w:r>
          </w:p>
        </w:tc>
      </w:tr>
      <w:tr>
        <w:trPr/>
        <w:tc>
          <w:tcPr>
            <w:tcW w:w="879" w:type="dxa"/>
            <w:tcBorders/>
            <w:tcMar>
              <w:top w:w="0" w:type="dxa"/>
              <w:left w:w="0" w:type="dxa"/>
              <w:bottom w:w="0" w:type="dxa"/>
              <w:right w:w="0" w:type="dxa"/>
            </w:tcMar>
            <w:vAlign w:val="center"/>
          </w:tcPr>
          <w:p>
            <w:pPr>
              <w:pStyle w:val="TableContents"/>
              <w:bidi w:val="0"/>
              <w:spacing w:before="0" w:after="283"/>
              <w:ind w:left="0" w:right="0" w:firstLine="60"/>
              <w:jc w:val="both"/>
              <w:rPr>
                <w:rFonts w:ascii="Arial" w:hAnsi="Arial"/>
                <w:color w:val="000000"/>
                <w:sz w:val="20"/>
              </w:rPr>
            </w:pPr>
            <w:r>
              <w:rPr>
                <w:rFonts w:ascii="Arial" w:hAnsi="Arial"/>
                <w:color w:val="000000"/>
                <w:sz w:val="20"/>
              </w:rPr>
              <w:t>2.</w:t>
            </w:r>
          </w:p>
        </w:tc>
        <w:tc>
          <w:tcPr>
            <w:tcW w:w="6242"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Advisory Vote on Executive Compensation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0" w:type="dxa"/>
            <w:tcBorders/>
            <w:tcMar>
              <w:top w:w="0" w:type="dxa"/>
              <w:left w:w="0" w:type="dxa"/>
              <w:bottom w:w="0" w:type="dxa"/>
              <w:right w:w="0" w:type="dxa"/>
            </w:tcMar>
            <w:vAlign w:val="center"/>
          </w:tcPr>
          <w:p>
            <w:pPr>
              <w:pStyle w:val="TableContents"/>
              <w:bidi w:val="0"/>
              <w:spacing w:before="0" w:after="283"/>
              <w:jc w:val="both"/>
              <w:rPr>
                <w:rFonts w:ascii="Arial" w:hAnsi="Arial"/>
                <w:color w:val="4F81BD"/>
                <w:sz w:val="20"/>
              </w:rPr>
            </w:pPr>
            <w:r>
              <w:rPr>
                <w:rFonts w:ascii="Arial" w:hAnsi="Arial"/>
                <w:color w:val="4F81BD"/>
                <w:sz w:val="20"/>
              </w:rPr>
              <w:t>FOR</w:t>
            </w:r>
          </w:p>
        </w:tc>
        <w:tc>
          <w:tcPr>
            <w:tcW w:w="196" w:type="dxa"/>
            <w:tcBorders/>
            <w:tcMar>
              <w:top w:w="0" w:type="dxa"/>
              <w:left w:w="0" w:type="dxa"/>
              <w:bottom w:w="0" w:type="dxa"/>
              <w:right w:w="0" w:type="dxa"/>
            </w:tcMar>
            <w:vAlign w:val="center"/>
          </w:tcPr>
          <w:p>
            <w:pPr>
              <w:pStyle w:val="TableContents"/>
              <w:bidi w:val="0"/>
              <w:spacing w:before="0" w:after="283"/>
              <w:ind w:left="0" w:right="0" w:firstLine="50"/>
              <w:jc w:val="left"/>
              <w:rPr>
                <w:sz w:val="4"/>
                <w:szCs w:val="4"/>
              </w:rPr>
            </w:pPr>
            <w:r>
              <w:rPr>
                <w:sz w:val="4"/>
                <w:szCs w:val="4"/>
              </w:rPr>
            </w:r>
          </w:p>
        </w:tc>
        <w:tc>
          <w:tcPr>
            <w:tcW w:w="962" w:type="dxa"/>
            <w:tcBorders/>
            <w:tcMar>
              <w:top w:w="0" w:type="dxa"/>
              <w:left w:w="0" w:type="dxa"/>
              <w:bottom w:w="0" w:type="dxa"/>
              <w:right w:w="0" w:type="dxa"/>
            </w:tcMar>
            <w:vAlign w:val="center"/>
          </w:tcPr>
          <w:p>
            <w:pPr>
              <w:pStyle w:val="TableContents"/>
              <w:bidi w:val="0"/>
              <w:spacing w:before="0" w:after="283"/>
              <w:ind w:left="0" w:right="0" w:firstLine="600"/>
              <w:jc w:val="both"/>
              <w:rPr>
                <w:rFonts w:ascii="Arial" w:hAnsi="Arial"/>
                <w:color w:val="000000"/>
                <w:sz w:val="20"/>
              </w:rPr>
            </w:pPr>
            <w:r>
              <w:rPr>
                <w:rFonts w:ascii="Arial" w:hAnsi="Arial"/>
                <w:color w:val="000000"/>
                <w:sz w:val="20"/>
              </w:rPr>
              <w:t>16</w:t>
            </w:r>
          </w:p>
        </w:tc>
      </w:tr>
      <w:tr>
        <w:trPr/>
        <w:tc>
          <w:tcPr>
            <w:tcW w:w="879" w:type="dxa"/>
            <w:tcBorders/>
            <w:tcMar>
              <w:top w:w="0" w:type="dxa"/>
              <w:left w:w="0" w:type="dxa"/>
              <w:bottom w:w="0" w:type="dxa"/>
              <w:right w:w="0" w:type="dxa"/>
            </w:tcMar>
            <w:vAlign w:val="center"/>
          </w:tcPr>
          <w:p>
            <w:pPr>
              <w:pStyle w:val="TableContents"/>
              <w:bidi w:val="0"/>
              <w:spacing w:before="0" w:after="283"/>
              <w:ind w:left="0" w:right="0" w:firstLine="600"/>
              <w:jc w:val="both"/>
              <w:rPr>
                <w:rFonts w:ascii="Arial" w:hAnsi="Arial"/>
                <w:color w:val="000000"/>
                <w:sz w:val="20"/>
              </w:rPr>
            </w:pPr>
            <w:r>
              <w:rPr>
                <w:rFonts w:ascii="Arial" w:hAnsi="Arial"/>
                <w:color w:val="000000"/>
                <w:sz w:val="20"/>
              </w:rPr>
              <w:t>3.</w:t>
            </w:r>
          </w:p>
        </w:tc>
        <w:tc>
          <w:tcPr>
            <w:tcW w:w="6242"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Ratification of Appointment of Independent Registered Public Accounting Firm</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780" w:type="dxa"/>
            <w:tcBorders/>
            <w:tcMar>
              <w:top w:w="0" w:type="dxa"/>
              <w:left w:w="0" w:type="dxa"/>
              <w:bottom w:w="0" w:type="dxa"/>
              <w:right w:w="0" w:type="dxa"/>
            </w:tcMar>
            <w:vAlign w:val="center"/>
          </w:tcPr>
          <w:p>
            <w:pPr>
              <w:pStyle w:val="TableContents"/>
              <w:bidi w:val="0"/>
              <w:spacing w:before="0" w:after="283"/>
              <w:jc w:val="both"/>
              <w:rPr>
                <w:rFonts w:ascii="Arial" w:hAnsi="Arial"/>
                <w:color w:val="4F81BD"/>
                <w:sz w:val="20"/>
              </w:rPr>
            </w:pPr>
            <w:r>
              <w:rPr>
                <w:rFonts w:ascii="Arial" w:hAnsi="Arial"/>
                <w:color w:val="4F81BD"/>
                <w:sz w:val="20"/>
              </w:rPr>
              <w:t>FOR</w:t>
            </w:r>
          </w:p>
        </w:tc>
        <w:tc>
          <w:tcPr>
            <w:tcW w:w="196" w:type="dxa"/>
            <w:tcBorders/>
            <w:tcMar>
              <w:top w:w="0" w:type="dxa"/>
              <w:left w:w="0" w:type="dxa"/>
              <w:bottom w:w="0" w:type="dxa"/>
              <w:right w:w="0" w:type="dxa"/>
            </w:tcMar>
            <w:vAlign w:val="center"/>
          </w:tcPr>
          <w:p>
            <w:pPr>
              <w:pStyle w:val="TableContents"/>
              <w:bidi w:val="0"/>
              <w:spacing w:before="0" w:after="283"/>
              <w:ind w:left="0" w:right="0" w:firstLine="50"/>
              <w:jc w:val="both"/>
              <w:rPr/>
            </w:pPr>
            <w:r>
              <w:rPr/>
              <w:t> </w:t>
            </w:r>
          </w:p>
        </w:tc>
        <w:tc>
          <w:tcPr>
            <w:tcW w:w="962" w:type="dxa"/>
            <w:tcBorders/>
            <w:tcMar>
              <w:top w:w="0" w:type="dxa"/>
              <w:left w:w="0" w:type="dxa"/>
              <w:bottom w:w="0" w:type="dxa"/>
              <w:right w:w="0" w:type="dxa"/>
            </w:tcMar>
            <w:vAlign w:val="center"/>
          </w:tcPr>
          <w:p>
            <w:pPr>
              <w:pStyle w:val="TableContents"/>
              <w:bidi w:val="0"/>
              <w:spacing w:before="0" w:after="283"/>
              <w:ind w:left="0" w:right="0" w:firstLine="50"/>
              <w:jc w:val="both"/>
              <w:rPr>
                <w:rFonts w:ascii="Arial" w:hAnsi="Arial"/>
                <w:color w:val="000000"/>
                <w:sz w:val="20"/>
              </w:rPr>
            </w:pPr>
            <w:r>
              <w:rPr>
                <w:rFonts w:ascii="Arial" w:hAnsi="Arial"/>
                <w:color w:val="000000"/>
                <w:sz w:val="20"/>
              </w:rPr>
              <w:t>43</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8"/>
        <w:gridCol w:w="466"/>
        <w:gridCol w:w="841"/>
        <w:gridCol w:w="4395"/>
        <w:gridCol w:w="1366"/>
        <w:gridCol w:w="1519"/>
      </w:tblGrid>
      <w:tr>
        <w:trPr/>
        <w:tc>
          <w:tcPr>
            <w:tcW w:w="1618"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395"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r>
      <w:tr>
        <w:trPr/>
        <w:tc>
          <w:tcPr>
            <w:tcW w:w="1618" w:type="dxa"/>
            <w:tcBorders/>
            <w:shd w:fill="004B87" w:val="clear"/>
            <w:tcMar>
              <w:top w:w="0" w:type="dxa"/>
              <w:left w:w="0" w:type="dxa"/>
              <w:bottom w:w="0" w:type="dxa"/>
              <w:right w:w="0" w:type="dxa"/>
            </w:tcMar>
            <w:vAlign w:val="center"/>
          </w:tcPr>
          <w:p>
            <w:pPr>
              <w:pStyle w:val="TableContents"/>
              <w:bidi w:val="0"/>
              <w:spacing w:before="0" w:after="283"/>
              <w:jc w:val="both"/>
              <w:rPr>
                <w:rFonts w:ascii="Arial" w:hAnsi="Arial"/>
                <w:b/>
                <w:color w:val="FFFFFF"/>
                <w:sz w:val="20"/>
              </w:rPr>
            </w:pPr>
            <w:r>
              <w:rPr>
                <w:rFonts w:ascii="Arial" w:hAnsi="Arial"/>
                <w:b/>
                <w:color w:val="FFFFFF"/>
                <w:sz w:val="20"/>
              </w:rPr>
              <w:t>Name</w:t>
            </w:r>
          </w:p>
        </w:tc>
        <w:tc>
          <w:tcPr>
            <w:tcW w:w="466" w:type="dxa"/>
            <w:tcBorders/>
            <w:shd w:fill="004B87" w:val="clear"/>
            <w:tcMar>
              <w:top w:w="0" w:type="dxa"/>
              <w:left w:w="0" w:type="dxa"/>
              <w:bottom w:w="0" w:type="dxa"/>
              <w:right w:w="0" w:type="dxa"/>
            </w:tcMar>
            <w:vAlign w:val="center"/>
          </w:tcPr>
          <w:p>
            <w:pPr>
              <w:pStyle w:val="TableContents"/>
              <w:bidi w:val="0"/>
              <w:spacing w:before="0" w:after="283"/>
              <w:jc w:val="both"/>
              <w:rPr>
                <w:rFonts w:ascii="Arial" w:hAnsi="Arial"/>
                <w:b/>
                <w:color w:val="FFFFFF"/>
                <w:sz w:val="20"/>
              </w:rPr>
            </w:pPr>
            <w:r>
              <w:rPr>
                <w:rFonts w:ascii="Arial" w:hAnsi="Arial"/>
                <w:b/>
                <w:color w:val="FFFFFF"/>
                <w:sz w:val="20"/>
              </w:rPr>
              <w:t>Age</w:t>
            </w:r>
          </w:p>
        </w:tc>
        <w:tc>
          <w:tcPr>
            <w:tcW w:w="841" w:type="dxa"/>
            <w:tcBorders/>
            <w:shd w:fill="004B87" w:val="clear"/>
            <w:tcMar>
              <w:top w:w="0" w:type="dxa"/>
              <w:left w:w="0" w:type="dxa"/>
              <w:bottom w:w="0" w:type="dxa"/>
              <w:right w:w="0" w:type="dxa"/>
            </w:tcMar>
            <w:vAlign w:val="center"/>
          </w:tcPr>
          <w:p>
            <w:pPr>
              <w:pStyle w:val="TableContents"/>
              <w:bidi w:val="0"/>
              <w:jc w:val="both"/>
              <w:rPr>
                <w:rFonts w:ascii="Arial" w:hAnsi="Arial"/>
                <w:b/>
                <w:color w:val="FFFFFF"/>
                <w:sz w:val="20"/>
              </w:rPr>
            </w:pPr>
            <w:r>
              <w:rPr>
                <w:rFonts w:ascii="Arial" w:hAnsi="Arial"/>
                <w:b/>
                <w:color w:val="FFFFFF"/>
                <w:sz w:val="20"/>
              </w:rPr>
              <w:t>Director</w:t>
            </w:r>
          </w:p>
          <w:p>
            <w:pPr>
              <w:pStyle w:val="TableContents"/>
              <w:bidi w:val="0"/>
              <w:spacing w:before="0" w:after="283"/>
              <w:jc w:val="both"/>
              <w:rPr>
                <w:rFonts w:ascii="Arial" w:hAnsi="Arial"/>
                <w:b/>
                <w:color w:val="FFFFFF"/>
                <w:sz w:val="20"/>
              </w:rPr>
            </w:pPr>
            <w:r>
              <w:rPr>
                <w:rFonts w:ascii="Arial" w:hAnsi="Arial"/>
                <w:b/>
                <w:color w:val="FFFFFF"/>
                <w:sz w:val="20"/>
              </w:rPr>
              <w:t>Since</w:t>
            </w:r>
          </w:p>
        </w:tc>
        <w:tc>
          <w:tcPr>
            <w:tcW w:w="4395" w:type="dxa"/>
            <w:tcBorders/>
            <w:shd w:fill="004B87" w:val="clear"/>
            <w:tcMar>
              <w:top w:w="0" w:type="dxa"/>
              <w:left w:w="0" w:type="dxa"/>
              <w:bottom w:w="0" w:type="dxa"/>
              <w:right w:w="0" w:type="dxa"/>
            </w:tcMar>
            <w:vAlign w:val="center"/>
          </w:tcPr>
          <w:p>
            <w:pPr>
              <w:pStyle w:val="TableContents"/>
              <w:bidi w:val="0"/>
              <w:spacing w:before="0" w:after="283"/>
              <w:jc w:val="both"/>
              <w:rPr>
                <w:rFonts w:ascii="Arial" w:hAnsi="Arial"/>
                <w:b/>
                <w:color w:val="FFFFFF"/>
                <w:sz w:val="20"/>
              </w:rPr>
            </w:pPr>
            <w:r>
              <w:rPr>
                <w:rFonts w:ascii="Arial" w:hAnsi="Arial"/>
                <w:b/>
                <w:color w:val="FFFFFF"/>
                <w:sz w:val="20"/>
              </w:rPr>
              <w:t>Experience</w:t>
            </w:r>
          </w:p>
        </w:tc>
        <w:tc>
          <w:tcPr>
            <w:tcW w:w="1366" w:type="dxa"/>
            <w:tcBorders/>
            <w:shd w:fill="004B87" w:val="clear"/>
            <w:tcMar>
              <w:top w:w="0" w:type="dxa"/>
              <w:left w:w="0" w:type="dxa"/>
              <w:bottom w:w="0" w:type="dxa"/>
              <w:right w:w="0" w:type="dxa"/>
            </w:tcMar>
            <w:vAlign w:val="center"/>
          </w:tcPr>
          <w:p>
            <w:pPr>
              <w:pStyle w:val="TableContents"/>
              <w:bidi w:val="0"/>
              <w:jc w:val="both"/>
              <w:rPr>
                <w:rFonts w:ascii="Arial" w:hAnsi="Arial"/>
                <w:b/>
                <w:color w:val="FFFFFF"/>
                <w:sz w:val="20"/>
              </w:rPr>
            </w:pPr>
            <w:r>
              <w:rPr>
                <w:rFonts w:ascii="Arial" w:hAnsi="Arial"/>
                <w:b/>
                <w:color w:val="FFFFFF"/>
                <w:sz w:val="20"/>
              </w:rPr>
              <w:t>Committee</w:t>
            </w:r>
          </w:p>
          <w:p>
            <w:pPr>
              <w:pStyle w:val="TableContents"/>
              <w:bidi w:val="0"/>
              <w:spacing w:before="0" w:after="283"/>
              <w:jc w:val="both"/>
              <w:rPr>
                <w:rFonts w:ascii="Arial" w:hAnsi="Arial"/>
                <w:b/>
                <w:color w:val="FFFFFF"/>
                <w:sz w:val="20"/>
              </w:rPr>
            </w:pPr>
            <w:r>
              <w:rPr>
                <w:rFonts w:ascii="Arial" w:hAnsi="Arial"/>
                <w:b/>
                <w:color w:val="FFFFFF"/>
                <w:sz w:val="20"/>
              </w:rPr>
              <w:t>Memberships</w:t>
            </w:r>
          </w:p>
        </w:tc>
        <w:tc>
          <w:tcPr>
            <w:tcW w:w="1519" w:type="dxa"/>
            <w:tcBorders/>
            <w:shd w:fill="004B87" w:val="clear"/>
            <w:tcMar>
              <w:top w:w="0" w:type="dxa"/>
              <w:left w:w="0" w:type="dxa"/>
              <w:bottom w:w="0" w:type="dxa"/>
              <w:right w:w="0" w:type="dxa"/>
            </w:tcMar>
            <w:vAlign w:val="center"/>
          </w:tcPr>
          <w:p>
            <w:pPr>
              <w:pStyle w:val="TableContents"/>
              <w:bidi w:val="0"/>
              <w:jc w:val="both"/>
              <w:rPr>
                <w:rFonts w:ascii="Arial" w:hAnsi="Arial"/>
                <w:b/>
                <w:color w:val="FFFFFF"/>
                <w:sz w:val="18"/>
              </w:rPr>
            </w:pPr>
            <w:r>
              <w:rPr>
                <w:rFonts w:ascii="Arial" w:hAnsi="Arial"/>
                <w:b/>
                <w:color w:val="FFFFFF"/>
                <w:sz w:val="18"/>
              </w:rPr>
              <w:t>Other Public</w:t>
            </w:r>
          </w:p>
          <w:p>
            <w:pPr>
              <w:pStyle w:val="TableContents"/>
              <w:bidi w:val="0"/>
              <w:spacing w:before="0" w:after="283"/>
              <w:jc w:val="both"/>
              <w:rPr>
                <w:rFonts w:ascii="Arial" w:hAnsi="Arial"/>
                <w:b/>
                <w:color w:val="FFFFFF"/>
                <w:sz w:val="18"/>
              </w:rPr>
            </w:pPr>
            <w:r>
              <w:rPr>
                <w:rFonts w:ascii="Arial" w:hAnsi="Arial"/>
                <w:b/>
                <w:color w:val="FFFFFF"/>
                <w:sz w:val="18"/>
              </w:rPr>
              <w:t>Company Boards</w:t>
            </w:r>
          </w:p>
        </w:tc>
      </w:tr>
      <w:tr>
        <w:trPr/>
        <w:tc>
          <w:tcPr>
            <w:tcW w:w="1618" w:type="dxa"/>
            <w:tcBorders/>
            <w:shd w:fill="BFBFBF" w:val="clear"/>
            <w:tcMar>
              <w:top w:w="0" w:type="dxa"/>
              <w:left w:w="0" w:type="dxa"/>
              <w:bottom w:w="0" w:type="dxa"/>
              <w:right w:w="0" w:type="dxa"/>
            </w:tcMar>
            <w:vAlign w:val="center"/>
          </w:tcPr>
          <w:p>
            <w:pPr>
              <w:pStyle w:val="TableContents"/>
              <w:bidi w:val="0"/>
              <w:spacing w:before="0" w:after="283"/>
              <w:jc w:val="both"/>
              <w:rPr>
                <w:rFonts w:ascii="Times New Roman" w:hAnsi="Times New Roman"/>
                <w:sz w:val="16"/>
              </w:rPr>
            </w:pPr>
            <w:r>
              <w:rPr>
                <w:rFonts w:ascii="Arial" w:hAnsi="Arial"/>
                <w:b/>
                <w:color w:val="404041"/>
                <w:sz w:val="16"/>
              </w:rPr>
              <w:t xml:space="preserve">Anita D. Britt </w:t>
            </w:r>
            <w:r>
              <w:rPr>
                <w:rFonts w:ascii="Arial" w:hAnsi="Arial"/>
                <w:color w:val="4F81BD"/>
                <w:sz w:val="16"/>
              </w:rPr>
              <w:t>*</w:t>
            </w:r>
          </w:p>
        </w:tc>
        <w:tc>
          <w:tcPr>
            <w:tcW w:w="466" w:type="dxa"/>
            <w:tcBorders/>
            <w:shd w:fill="BFBFBF" w:val="clear"/>
            <w:tcMar>
              <w:top w:w="0" w:type="dxa"/>
              <w:left w:w="0" w:type="dxa"/>
              <w:bottom w:w="0" w:type="dxa"/>
              <w:right w:w="0" w:type="dxa"/>
            </w:tcMar>
            <w:vAlign w:val="center"/>
          </w:tcPr>
          <w:p>
            <w:pPr>
              <w:pStyle w:val="TableContents"/>
              <w:bidi w:val="0"/>
              <w:spacing w:before="0" w:after="283"/>
              <w:jc w:val="both"/>
              <w:rPr>
                <w:rFonts w:ascii="Arial" w:hAnsi="Arial"/>
                <w:color w:val="404041"/>
                <w:sz w:val="16"/>
              </w:rPr>
            </w:pPr>
            <w:r>
              <w:rPr>
                <w:rFonts w:ascii="Arial" w:hAnsi="Arial"/>
                <w:color w:val="404041"/>
                <w:sz w:val="16"/>
              </w:rPr>
              <w:t>63</w:t>
            </w:r>
          </w:p>
        </w:tc>
        <w:tc>
          <w:tcPr>
            <w:tcW w:w="841" w:type="dxa"/>
            <w:tcBorders/>
            <w:shd w:fill="BFBFBF" w:val="clear"/>
            <w:tcMar>
              <w:top w:w="0" w:type="dxa"/>
              <w:left w:w="0" w:type="dxa"/>
              <w:bottom w:w="0" w:type="dxa"/>
              <w:right w:w="0" w:type="dxa"/>
            </w:tcMar>
            <w:vAlign w:val="center"/>
          </w:tcPr>
          <w:p>
            <w:pPr>
              <w:pStyle w:val="TableContents"/>
              <w:bidi w:val="0"/>
              <w:spacing w:before="0" w:after="283"/>
              <w:ind w:left="0" w:right="0" w:firstLine="60"/>
              <w:jc w:val="both"/>
              <w:rPr>
                <w:rFonts w:ascii="Arial" w:hAnsi="Arial"/>
                <w:color w:val="404041"/>
                <w:sz w:val="16"/>
              </w:rPr>
            </w:pPr>
            <w:r>
              <w:rPr>
                <w:rFonts w:ascii="Arial" w:hAnsi="Arial"/>
                <w:color w:val="404041"/>
                <w:sz w:val="16"/>
              </w:rPr>
              <w:t>2018</w:t>
            </w:r>
          </w:p>
        </w:tc>
        <w:tc>
          <w:tcPr>
            <w:tcW w:w="4395" w:type="dxa"/>
            <w:tcBorders/>
            <w:shd w:fill="BFBFBF" w:val="clear"/>
            <w:tcMar>
              <w:top w:w="0" w:type="dxa"/>
              <w:left w:w="0" w:type="dxa"/>
              <w:bottom w:w="0" w:type="dxa"/>
              <w:right w:w="0" w:type="dxa"/>
            </w:tcMar>
            <w:vAlign w:val="center"/>
          </w:tcPr>
          <w:p>
            <w:pPr>
              <w:pStyle w:val="TableContents"/>
              <w:bidi w:val="0"/>
              <w:spacing w:before="0" w:after="283"/>
              <w:ind w:left="0" w:right="0" w:firstLine="60"/>
              <w:jc w:val="left"/>
              <w:rPr>
                <w:rFonts w:ascii="Arial" w:hAnsi="Arial"/>
                <w:color w:val="404041"/>
                <w:sz w:val="16"/>
              </w:rPr>
            </w:pPr>
            <w:r>
              <w:rPr>
                <w:rFonts w:ascii="Arial" w:hAnsi="Arial"/>
                <w:color w:val="404041"/>
                <w:sz w:val="16"/>
              </w:rPr>
              <w:t>Former CFO of Perry Ellis International, Inc.</w:t>
            </w:r>
          </w:p>
        </w:tc>
        <w:tc>
          <w:tcPr>
            <w:tcW w:w="1366" w:type="dxa"/>
            <w:tcBorders/>
            <w:shd w:fill="BFBFBF" w:val="clear"/>
            <w:tcMar>
              <w:top w:w="0" w:type="dxa"/>
              <w:left w:w="0" w:type="dxa"/>
              <w:bottom w:w="0" w:type="dxa"/>
              <w:right w:w="0" w:type="dxa"/>
            </w:tcMar>
            <w:vAlign w:val="center"/>
          </w:tcPr>
          <w:p>
            <w:pPr>
              <w:pStyle w:val="TableContents"/>
              <w:bidi w:val="0"/>
              <w:spacing w:before="0" w:after="283"/>
              <w:jc w:val="both"/>
              <w:rPr>
                <w:rFonts w:ascii="Times New Roman" w:hAnsi="Times New Roman"/>
                <w:sz w:val="16"/>
              </w:rPr>
            </w:pPr>
            <w:r>
              <w:rPr>
                <w:rFonts w:ascii="Arial" w:hAnsi="Arial"/>
                <w:color w:val="404041"/>
                <w:sz w:val="16"/>
              </w:rPr>
              <w:t xml:space="preserve">AC </w:t>
            </w:r>
            <w:r>
              <w:rPr>
                <w:rFonts w:ascii="Arial" w:hAnsi="Arial"/>
                <w:color w:val="4F81BD"/>
                <w:sz w:val="16"/>
              </w:rPr>
              <w:t>**</w:t>
            </w:r>
            <w:r>
              <w:rPr>
                <w:rFonts w:ascii="Arial" w:hAnsi="Arial"/>
                <w:color w:val="404041"/>
                <w:sz w:val="16"/>
              </w:rPr>
              <w:t>, CC, SC</w:t>
            </w:r>
          </w:p>
        </w:tc>
        <w:tc>
          <w:tcPr>
            <w:tcW w:w="1519" w:type="dxa"/>
            <w:tcBorders/>
            <w:shd w:fill="BFBFBF" w:val="clear"/>
            <w:tcMar>
              <w:top w:w="0" w:type="dxa"/>
              <w:left w:w="0" w:type="dxa"/>
              <w:bottom w:w="0" w:type="dxa"/>
              <w:right w:w="0" w:type="dxa"/>
            </w:tcMar>
            <w:vAlign w:val="center"/>
          </w:tcPr>
          <w:p>
            <w:pPr>
              <w:pStyle w:val="TableContents"/>
              <w:bidi w:val="0"/>
              <w:spacing w:before="0" w:after="283"/>
              <w:jc w:val="both"/>
              <w:rPr>
                <w:rFonts w:ascii="Arial" w:hAnsi="Arial"/>
                <w:color w:val="404041"/>
                <w:sz w:val="16"/>
              </w:rPr>
            </w:pPr>
            <w:r>
              <w:rPr>
                <w:rFonts w:ascii="Arial" w:hAnsi="Arial"/>
                <w:color w:val="404041"/>
                <w:sz w:val="16"/>
              </w:rPr>
              <w:t>1</w:t>
            </w:r>
          </w:p>
        </w:tc>
      </w:tr>
      <w:tr>
        <w:trPr/>
        <w:tc>
          <w:tcPr>
            <w:tcW w:w="161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16"/>
              </w:rPr>
            </w:pPr>
            <w:r>
              <w:rPr>
                <w:rFonts w:ascii="Arial" w:hAnsi="Arial"/>
                <w:b/>
                <w:color w:val="404041"/>
                <w:sz w:val="16"/>
              </w:rPr>
              <w:t>Michelle J. Lohmeier</w:t>
            </w:r>
            <w:r>
              <w:rPr>
                <w:rFonts w:ascii="Arial" w:hAnsi="Arial"/>
                <w:color w:val="4F81BD"/>
                <w:sz w:val="16"/>
              </w:rPr>
              <w:t>*</w:t>
            </w:r>
          </w:p>
        </w:tc>
        <w:tc>
          <w:tcPr>
            <w:tcW w:w="466" w:type="dxa"/>
            <w:tcBorders/>
            <w:tcMar>
              <w:top w:w="0" w:type="dxa"/>
              <w:left w:w="0" w:type="dxa"/>
              <w:bottom w:w="0" w:type="dxa"/>
              <w:right w:w="0" w:type="dxa"/>
            </w:tcMar>
            <w:vAlign w:val="center"/>
          </w:tcPr>
          <w:p>
            <w:pPr>
              <w:pStyle w:val="TableContents"/>
              <w:bidi w:val="0"/>
              <w:spacing w:before="0" w:after="283"/>
              <w:jc w:val="both"/>
              <w:rPr>
                <w:rFonts w:ascii="Arial" w:hAnsi="Arial"/>
                <w:color w:val="404041"/>
                <w:sz w:val="16"/>
              </w:rPr>
            </w:pPr>
            <w:r>
              <w:rPr>
                <w:rFonts w:ascii="Arial" w:hAnsi="Arial"/>
                <w:color w:val="404041"/>
                <w:sz w:val="16"/>
              </w:rPr>
              <w:t>63</w:t>
            </w:r>
          </w:p>
        </w:tc>
        <w:tc>
          <w:tcPr>
            <w:tcW w:w="841" w:type="dxa"/>
            <w:tcBorders/>
            <w:tcMar>
              <w:top w:w="0" w:type="dxa"/>
              <w:left w:w="0" w:type="dxa"/>
              <w:bottom w:w="0" w:type="dxa"/>
              <w:right w:w="0" w:type="dxa"/>
            </w:tcMar>
            <w:vAlign w:val="center"/>
          </w:tcPr>
          <w:p>
            <w:pPr>
              <w:pStyle w:val="TableContents"/>
              <w:bidi w:val="0"/>
              <w:spacing w:before="0" w:after="283"/>
              <w:jc w:val="both"/>
              <w:rPr>
                <w:rFonts w:ascii="Arial" w:hAnsi="Arial"/>
                <w:color w:val="404041"/>
                <w:sz w:val="16"/>
              </w:rPr>
            </w:pPr>
            <w:r>
              <w:rPr>
                <w:rFonts w:ascii="Arial" w:hAnsi="Arial"/>
                <w:color w:val="404041"/>
                <w:sz w:val="16"/>
              </w:rPr>
              <w:t>2023</w:t>
            </w:r>
          </w:p>
        </w:tc>
        <w:tc>
          <w:tcPr>
            <w:tcW w:w="4395" w:type="dxa"/>
            <w:tcBorders/>
            <w:tcMar>
              <w:top w:w="0" w:type="dxa"/>
              <w:left w:w="0" w:type="dxa"/>
              <w:bottom w:w="0" w:type="dxa"/>
              <w:right w:w="0" w:type="dxa"/>
            </w:tcMar>
            <w:vAlign w:val="center"/>
          </w:tcPr>
          <w:p>
            <w:pPr>
              <w:pStyle w:val="TableContents"/>
              <w:bidi w:val="0"/>
              <w:spacing w:before="0" w:after="283"/>
              <w:jc w:val="left"/>
              <w:rPr>
                <w:rFonts w:ascii="Arial" w:hAnsi="Arial"/>
                <w:color w:val="404041"/>
                <w:sz w:val="16"/>
              </w:rPr>
            </w:pPr>
            <w:r>
              <w:rPr>
                <w:rFonts w:ascii="Arial" w:hAnsi="Arial"/>
                <w:color w:val="404041"/>
                <w:sz w:val="16"/>
              </w:rPr>
              <w:t>Former Strategic Advisor to CEO of Spirit AeroSystems, Inc.</w:t>
            </w:r>
          </w:p>
        </w:tc>
        <w:tc>
          <w:tcPr>
            <w:tcW w:w="1366" w:type="dxa"/>
            <w:tcBorders/>
            <w:tcMar>
              <w:top w:w="0" w:type="dxa"/>
              <w:left w:w="0" w:type="dxa"/>
              <w:bottom w:w="0" w:type="dxa"/>
              <w:right w:w="0" w:type="dxa"/>
            </w:tcMar>
            <w:vAlign w:val="center"/>
          </w:tcPr>
          <w:p>
            <w:pPr>
              <w:pStyle w:val="TableContents"/>
              <w:bidi w:val="0"/>
              <w:spacing w:before="0" w:after="283"/>
              <w:jc w:val="both"/>
              <w:rPr>
                <w:rFonts w:ascii="Arial" w:hAnsi="Arial"/>
                <w:color w:val="404041"/>
                <w:sz w:val="16"/>
              </w:rPr>
            </w:pPr>
            <w:r>
              <w:rPr>
                <w:rFonts w:ascii="Arial" w:hAnsi="Arial"/>
                <w:color w:val="404041"/>
                <w:sz w:val="16"/>
              </w:rPr>
              <w:t>AC, CC, SC</w:t>
            </w:r>
          </w:p>
        </w:tc>
        <w:tc>
          <w:tcPr>
            <w:tcW w:w="1519" w:type="dxa"/>
            <w:tcBorders/>
            <w:tcMar>
              <w:top w:w="0" w:type="dxa"/>
              <w:left w:w="0" w:type="dxa"/>
              <w:bottom w:w="0" w:type="dxa"/>
              <w:right w:w="0" w:type="dxa"/>
            </w:tcMar>
            <w:vAlign w:val="center"/>
          </w:tcPr>
          <w:p>
            <w:pPr>
              <w:pStyle w:val="TableContents"/>
              <w:bidi w:val="0"/>
              <w:spacing w:before="0" w:after="283"/>
              <w:jc w:val="both"/>
              <w:rPr>
                <w:rFonts w:ascii="Arial" w:hAnsi="Arial"/>
                <w:color w:val="404041"/>
                <w:sz w:val="16"/>
              </w:rPr>
            </w:pPr>
            <w:r>
              <w:rPr>
                <w:rFonts w:ascii="Arial" w:hAnsi="Arial"/>
                <w:color w:val="404041"/>
                <w:sz w:val="16"/>
              </w:rPr>
              <w:t>1</w:t>
            </w:r>
          </w:p>
        </w:tc>
      </w:tr>
      <w:tr>
        <w:trPr/>
        <w:tc>
          <w:tcPr>
            <w:tcW w:w="1618" w:type="dxa"/>
            <w:tcBorders/>
            <w:shd w:fill="BFBFBF" w:val="clear"/>
            <w:tcMar>
              <w:top w:w="0" w:type="dxa"/>
              <w:left w:w="0" w:type="dxa"/>
              <w:bottom w:w="0" w:type="dxa"/>
              <w:right w:w="0" w:type="dxa"/>
            </w:tcMar>
            <w:vAlign w:val="center"/>
          </w:tcPr>
          <w:p>
            <w:pPr>
              <w:pStyle w:val="TableContents"/>
              <w:bidi w:val="0"/>
              <w:spacing w:before="0" w:after="283"/>
              <w:jc w:val="both"/>
              <w:rPr>
                <w:rFonts w:ascii="Times New Roman" w:hAnsi="Times New Roman"/>
                <w:sz w:val="16"/>
              </w:rPr>
            </w:pPr>
            <w:r>
              <w:rPr>
                <w:rFonts w:ascii="Arial" w:hAnsi="Arial"/>
                <w:b/>
                <w:color w:val="404041"/>
                <w:sz w:val="16"/>
              </w:rPr>
              <w:t xml:space="preserve">Barry M. Monheit </w:t>
            </w:r>
            <w:r>
              <w:rPr>
                <w:rFonts w:ascii="Arial" w:hAnsi="Arial"/>
                <w:color w:val="4F81BD"/>
                <w:sz w:val="16"/>
              </w:rPr>
              <w:t>*</w:t>
            </w:r>
          </w:p>
        </w:tc>
        <w:tc>
          <w:tcPr>
            <w:tcW w:w="466" w:type="dxa"/>
            <w:tcBorders/>
            <w:shd w:fill="BFBFBF" w:val="clear"/>
            <w:tcMar>
              <w:top w:w="0" w:type="dxa"/>
              <w:left w:w="0" w:type="dxa"/>
              <w:bottom w:w="0" w:type="dxa"/>
              <w:right w:w="0" w:type="dxa"/>
            </w:tcMar>
            <w:vAlign w:val="center"/>
          </w:tcPr>
          <w:p>
            <w:pPr>
              <w:pStyle w:val="TableContents"/>
              <w:bidi w:val="0"/>
              <w:spacing w:before="0" w:after="283"/>
              <w:jc w:val="both"/>
              <w:rPr>
                <w:rFonts w:ascii="Arial" w:hAnsi="Arial"/>
                <w:color w:val="404041"/>
                <w:sz w:val="16"/>
              </w:rPr>
            </w:pPr>
            <w:r>
              <w:rPr>
                <w:rFonts w:ascii="Arial" w:hAnsi="Arial"/>
                <w:color w:val="404041"/>
                <w:sz w:val="16"/>
              </w:rPr>
              <w:t>79</w:t>
            </w:r>
          </w:p>
        </w:tc>
        <w:tc>
          <w:tcPr>
            <w:tcW w:w="841" w:type="dxa"/>
            <w:tcBorders/>
            <w:shd w:fill="BFBFBF" w:val="clear"/>
            <w:tcMar>
              <w:top w:w="0" w:type="dxa"/>
              <w:left w:w="0" w:type="dxa"/>
              <w:bottom w:w="0" w:type="dxa"/>
              <w:right w:w="0" w:type="dxa"/>
            </w:tcMar>
            <w:vAlign w:val="center"/>
          </w:tcPr>
          <w:p>
            <w:pPr>
              <w:pStyle w:val="TableContents"/>
              <w:bidi w:val="0"/>
              <w:spacing w:before="0" w:after="283"/>
              <w:ind w:left="0" w:right="0" w:firstLine="60"/>
              <w:jc w:val="both"/>
              <w:rPr>
                <w:rFonts w:ascii="Arial" w:hAnsi="Arial"/>
                <w:color w:val="404041"/>
                <w:sz w:val="16"/>
              </w:rPr>
            </w:pPr>
            <w:r>
              <w:rPr>
                <w:rFonts w:ascii="Arial" w:hAnsi="Arial"/>
                <w:color w:val="404041"/>
                <w:sz w:val="16"/>
              </w:rPr>
              <w:t>2004</w:t>
            </w:r>
          </w:p>
        </w:tc>
        <w:tc>
          <w:tcPr>
            <w:tcW w:w="4395" w:type="dxa"/>
            <w:tcBorders/>
            <w:shd w:fill="BFBFBF" w:val="clear"/>
            <w:tcMar>
              <w:top w:w="0" w:type="dxa"/>
              <w:left w:w="0" w:type="dxa"/>
              <w:bottom w:w="0" w:type="dxa"/>
              <w:right w:w="0" w:type="dxa"/>
            </w:tcMar>
            <w:vAlign w:val="center"/>
          </w:tcPr>
          <w:p>
            <w:pPr>
              <w:pStyle w:val="TableContents"/>
              <w:bidi w:val="0"/>
              <w:ind w:left="0" w:right="0" w:firstLine="60"/>
              <w:jc w:val="both"/>
              <w:rPr>
                <w:rFonts w:ascii="Arial" w:hAnsi="Arial"/>
                <w:color w:val="404041"/>
                <w:sz w:val="16"/>
              </w:rPr>
            </w:pPr>
            <w:r>
              <w:rPr>
                <w:rFonts w:ascii="Arial" w:hAnsi="Arial"/>
                <w:color w:val="404041"/>
                <w:sz w:val="16"/>
              </w:rPr>
              <w:t>Former President of Financial Consulting</w:t>
            </w:r>
          </w:p>
          <w:p>
            <w:pPr>
              <w:pStyle w:val="TableContents"/>
              <w:bidi w:val="0"/>
              <w:spacing w:before="0" w:after="283"/>
              <w:ind w:left="0" w:right="0" w:firstLine="60"/>
              <w:jc w:val="both"/>
              <w:rPr>
                <w:rFonts w:ascii="Arial" w:hAnsi="Arial"/>
                <w:color w:val="404041"/>
                <w:sz w:val="16"/>
              </w:rPr>
            </w:pPr>
            <w:r>
              <w:rPr>
                <w:rFonts w:ascii="Arial" w:hAnsi="Arial"/>
                <w:color w:val="404041"/>
                <w:sz w:val="16"/>
              </w:rPr>
              <w:t>Division of FTI Consulting</w:t>
            </w:r>
          </w:p>
        </w:tc>
        <w:tc>
          <w:tcPr>
            <w:tcW w:w="1366" w:type="dxa"/>
            <w:tcBorders/>
            <w:shd w:fill="BFBFBF" w:val="clear"/>
            <w:tcMar>
              <w:top w:w="0" w:type="dxa"/>
              <w:left w:w="0" w:type="dxa"/>
              <w:bottom w:w="0" w:type="dxa"/>
              <w:right w:w="0" w:type="dxa"/>
            </w:tcMar>
            <w:vAlign w:val="center"/>
          </w:tcPr>
          <w:p>
            <w:pPr>
              <w:pStyle w:val="TableContents"/>
              <w:bidi w:val="0"/>
              <w:spacing w:before="0" w:after="283"/>
              <w:jc w:val="both"/>
              <w:rPr>
                <w:rFonts w:ascii="Times New Roman" w:hAnsi="Times New Roman"/>
                <w:sz w:val="16"/>
              </w:rPr>
            </w:pPr>
            <w:r>
              <w:rPr>
                <w:rFonts w:ascii="Arial" w:hAnsi="Arial"/>
                <w:color w:val="404041"/>
                <w:sz w:val="16"/>
              </w:rPr>
              <w:t xml:space="preserve">CC </w:t>
            </w:r>
            <w:r>
              <w:rPr>
                <w:rFonts w:ascii="Arial" w:hAnsi="Arial"/>
                <w:color w:val="4F81BD"/>
                <w:sz w:val="16"/>
              </w:rPr>
              <w:t>**</w:t>
            </w:r>
            <w:r>
              <w:rPr>
                <w:rFonts w:ascii="Arial" w:hAnsi="Arial"/>
                <w:color w:val="404041"/>
                <w:sz w:val="16"/>
              </w:rPr>
              <w:t>, NCG</w:t>
            </w:r>
          </w:p>
        </w:tc>
        <w:tc>
          <w:tcPr>
            <w:tcW w:w="1519" w:type="dxa"/>
            <w:tcBorders/>
            <w:shd w:fill="BFBFBF" w:val="clear"/>
            <w:tcMar>
              <w:top w:w="0" w:type="dxa"/>
              <w:left w:w="0" w:type="dxa"/>
              <w:bottom w:w="0" w:type="dxa"/>
              <w:right w:w="0" w:type="dxa"/>
            </w:tcMar>
            <w:vAlign w:val="center"/>
          </w:tcPr>
          <w:p>
            <w:pPr>
              <w:pStyle w:val="TableContents"/>
              <w:bidi w:val="0"/>
              <w:spacing w:before="0" w:after="283"/>
              <w:jc w:val="both"/>
              <w:rPr>
                <w:rFonts w:ascii="Arial" w:hAnsi="Arial"/>
                <w:color w:val="404041"/>
                <w:sz w:val="16"/>
              </w:rPr>
            </w:pPr>
            <w:r>
              <w:rPr>
                <w:rFonts w:ascii="Arial" w:hAnsi="Arial"/>
                <w:color w:val="404041"/>
                <w:sz w:val="16"/>
              </w:rPr>
              <w:t>1</w:t>
            </w:r>
          </w:p>
        </w:tc>
      </w:tr>
      <w:tr>
        <w:trPr/>
        <w:tc>
          <w:tcPr>
            <w:tcW w:w="161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16"/>
              </w:rPr>
            </w:pPr>
            <w:r>
              <w:rPr>
                <w:rFonts w:ascii="Arial" w:hAnsi="Arial"/>
                <w:b/>
                <w:color w:val="404041"/>
                <w:sz w:val="16"/>
              </w:rPr>
              <w:t xml:space="preserve">Robert L. Scott </w:t>
            </w:r>
            <w:r>
              <w:rPr>
                <w:rFonts w:ascii="Arial" w:hAnsi="Arial"/>
                <w:color w:val="4F81BD"/>
                <w:sz w:val="16"/>
              </w:rPr>
              <w:t>*§</w:t>
            </w:r>
          </w:p>
        </w:tc>
        <w:tc>
          <w:tcPr>
            <w:tcW w:w="466" w:type="dxa"/>
            <w:tcBorders/>
            <w:tcMar>
              <w:top w:w="0" w:type="dxa"/>
              <w:left w:w="0" w:type="dxa"/>
              <w:bottom w:w="0" w:type="dxa"/>
              <w:right w:w="0" w:type="dxa"/>
            </w:tcMar>
            <w:vAlign w:val="center"/>
          </w:tcPr>
          <w:p>
            <w:pPr>
              <w:pStyle w:val="TableContents"/>
              <w:bidi w:val="0"/>
              <w:spacing w:before="0" w:after="283"/>
              <w:jc w:val="both"/>
              <w:rPr>
                <w:rFonts w:ascii="Arial" w:hAnsi="Arial"/>
                <w:color w:val="404041"/>
                <w:sz w:val="16"/>
              </w:rPr>
            </w:pPr>
            <w:r>
              <w:rPr>
                <w:rFonts w:ascii="Arial" w:hAnsi="Arial"/>
                <w:color w:val="404041"/>
                <w:sz w:val="16"/>
              </w:rPr>
              <w:t>80</w:t>
            </w:r>
          </w:p>
        </w:tc>
        <w:tc>
          <w:tcPr>
            <w:tcW w:w="841" w:type="dxa"/>
            <w:tcBorders/>
            <w:tcMar>
              <w:top w:w="0" w:type="dxa"/>
              <w:left w:w="0" w:type="dxa"/>
              <w:bottom w:w="0" w:type="dxa"/>
              <w:right w:w="0" w:type="dxa"/>
            </w:tcMar>
            <w:vAlign w:val="center"/>
          </w:tcPr>
          <w:p>
            <w:pPr>
              <w:pStyle w:val="TableContents"/>
              <w:bidi w:val="0"/>
              <w:spacing w:before="0" w:after="283"/>
              <w:ind w:left="0" w:right="0" w:firstLine="60"/>
              <w:jc w:val="both"/>
              <w:rPr>
                <w:rFonts w:ascii="Arial" w:hAnsi="Arial"/>
                <w:color w:val="404041"/>
                <w:sz w:val="16"/>
              </w:rPr>
            </w:pPr>
            <w:r>
              <w:rPr>
                <w:rFonts w:ascii="Arial" w:hAnsi="Arial"/>
                <w:color w:val="404041"/>
                <w:sz w:val="16"/>
              </w:rPr>
              <w:t>1999</w:t>
            </w:r>
          </w:p>
        </w:tc>
        <w:tc>
          <w:tcPr>
            <w:tcW w:w="4395" w:type="dxa"/>
            <w:tcBorders/>
            <w:tcMar>
              <w:top w:w="0" w:type="dxa"/>
              <w:left w:w="0" w:type="dxa"/>
              <w:bottom w:w="0" w:type="dxa"/>
              <w:right w:w="0" w:type="dxa"/>
            </w:tcMar>
            <w:vAlign w:val="center"/>
          </w:tcPr>
          <w:p>
            <w:pPr>
              <w:pStyle w:val="TableContents"/>
              <w:bidi w:val="0"/>
              <w:spacing w:before="0" w:after="283"/>
              <w:ind w:left="0" w:right="0" w:firstLine="60"/>
              <w:jc w:val="left"/>
              <w:rPr>
                <w:rFonts w:ascii="Arial" w:hAnsi="Arial"/>
                <w:color w:val="404041"/>
                <w:sz w:val="16"/>
              </w:rPr>
            </w:pPr>
            <w:r>
              <w:rPr>
                <w:rFonts w:ascii="Arial" w:hAnsi="Arial"/>
                <w:color w:val="404041"/>
                <w:sz w:val="16"/>
              </w:rPr>
              <w:t>Former President of a predecessor of Smith &amp; Wesson Brands, Inc.</w:t>
            </w:r>
          </w:p>
        </w:tc>
        <w:tc>
          <w:tcPr>
            <w:tcW w:w="1366" w:type="dxa"/>
            <w:tcBorders/>
            <w:tcMar>
              <w:top w:w="0" w:type="dxa"/>
              <w:left w:w="0" w:type="dxa"/>
              <w:bottom w:w="0" w:type="dxa"/>
              <w:right w:w="0" w:type="dxa"/>
            </w:tcMar>
            <w:vAlign w:val="center"/>
          </w:tcPr>
          <w:p>
            <w:pPr>
              <w:pStyle w:val="TableContents"/>
              <w:bidi w:val="0"/>
              <w:spacing w:before="0" w:after="283"/>
              <w:jc w:val="both"/>
              <w:rPr>
                <w:rFonts w:ascii="Arial" w:hAnsi="Arial"/>
                <w:color w:val="404041"/>
                <w:sz w:val="16"/>
              </w:rPr>
            </w:pPr>
            <w:r>
              <w:rPr>
                <w:rFonts w:ascii="Arial" w:hAnsi="Arial"/>
                <w:color w:val="404041"/>
                <w:sz w:val="16"/>
              </w:rPr>
              <w:t>AC, NCG</w:t>
            </w:r>
          </w:p>
        </w:tc>
        <w:tc>
          <w:tcPr>
            <w:tcW w:w="1519" w:type="dxa"/>
            <w:tcBorders/>
            <w:tcMar>
              <w:top w:w="0" w:type="dxa"/>
              <w:left w:w="0" w:type="dxa"/>
              <w:bottom w:w="0" w:type="dxa"/>
              <w:right w:w="0" w:type="dxa"/>
            </w:tcMar>
            <w:vAlign w:val="center"/>
          </w:tcPr>
          <w:p>
            <w:pPr>
              <w:pStyle w:val="TableContents"/>
              <w:bidi w:val="0"/>
              <w:spacing w:before="0" w:after="283"/>
              <w:jc w:val="both"/>
              <w:rPr>
                <w:rFonts w:ascii="Arial" w:hAnsi="Arial"/>
                <w:color w:val="404041"/>
                <w:sz w:val="16"/>
              </w:rPr>
            </w:pPr>
            <w:r>
              <w:rPr>
                <w:rFonts w:ascii="Arial" w:hAnsi="Arial"/>
                <w:color w:val="404041"/>
                <w:sz w:val="16"/>
              </w:rPr>
              <w:t>0</w:t>
            </w:r>
          </w:p>
        </w:tc>
      </w:tr>
      <w:tr>
        <w:trPr/>
        <w:tc>
          <w:tcPr>
            <w:tcW w:w="1618" w:type="dxa"/>
            <w:tcBorders/>
            <w:shd w:fill="BFBFBF" w:val="clear"/>
            <w:tcMar>
              <w:top w:w="0" w:type="dxa"/>
              <w:left w:w="0" w:type="dxa"/>
              <w:bottom w:w="0" w:type="dxa"/>
              <w:right w:w="0" w:type="dxa"/>
            </w:tcMar>
            <w:vAlign w:val="center"/>
          </w:tcPr>
          <w:p>
            <w:pPr>
              <w:pStyle w:val="TableContents"/>
              <w:bidi w:val="0"/>
              <w:spacing w:before="0" w:after="283"/>
              <w:jc w:val="both"/>
              <w:rPr>
                <w:rFonts w:ascii="Arial" w:hAnsi="Arial"/>
                <w:b/>
                <w:color w:val="404041"/>
                <w:sz w:val="16"/>
              </w:rPr>
            </w:pPr>
            <w:r>
              <w:rPr>
                <w:rFonts w:ascii="Arial" w:hAnsi="Arial"/>
                <w:b/>
                <w:color w:val="404041"/>
                <w:sz w:val="16"/>
              </w:rPr>
              <w:t>Mark P. Smith</w:t>
            </w:r>
          </w:p>
        </w:tc>
        <w:tc>
          <w:tcPr>
            <w:tcW w:w="466" w:type="dxa"/>
            <w:tcBorders/>
            <w:shd w:fill="BFBFBF" w:val="clear"/>
            <w:tcMar>
              <w:top w:w="0" w:type="dxa"/>
              <w:left w:w="0" w:type="dxa"/>
              <w:bottom w:w="0" w:type="dxa"/>
              <w:right w:w="0" w:type="dxa"/>
            </w:tcMar>
            <w:vAlign w:val="center"/>
          </w:tcPr>
          <w:p>
            <w:pPr>
              <w:pStyle w:val="TableContents"/>
              <w:bidi w:val="0"/>
              <w:spacing w:before="0" w:after="283"/>
              <w:jc w:val="both"/>
              <w:rPr>
                <w:rFonts w:ascii="Arial" w:hAnsi="Arial"/>
                <w:color w:val="404041"/>
                <w:sz w:val="16"/>
              </w:rPr>
            </w:pPr>
            <w:r>
              <w:rPr>
                <w:rFonts w:ascii="Arial" w:hAnsi="Arial"/>
                <w:color w:val="404041"/>
                <w:sz w:val="16"/>
              </w:rPr>
              <w:t>50</w:t>
            </w:r>
          </w:p>
        </w:tc>
        <w:tc>
          <w:tcPr>
            <w:tcW w:w="841" w:type="dxa"/>
            <w:tcBorders/>
            <w:shd w:fill="BFBFBF" w:val="clear"/>
            <w:tcMar>
              <w:top w:w="0" w:type="dxa"/>
              <w:left w:w="0" w:type="dxa"/>
              <w:bottom w:w="0" w:type="dxa"/>
              <w:right w:w="0" w:type="dxa"/>
            </w:tcMar>
            <w:vAlign w:val="center"/>
          </w:tcPr>
          <w:p>
            <w:pPr>
              <w:pStyle w:val="TableContents"/>
              <w:bidi w:val="0"/>
              <w:spacing w:before="0" w:after="283"/>
              <w:ind w:left="0" w:right="0" w:firstLine="60"/>
              <w:jc w:val="both"/>
              <w:rPr>
                <w:rFonts w:ascii="Arial" w:hAnsi="Arial"/>
                <w:color w:val="404041"/>
                <w:sz w:val="16"/>
              </w:rPr>
            </w:pPr>
            <w:r>
              <w:rPr>
                <w:rFonts w:ascii="Arial" w:hAnsi="Arial"/>
                <w:color w:val="404041"/>
                <w:sz w:val="16"/>
              </w:rPr>
              <w:t>2020</w:t>
            </w:r>
          </w:p>
        </w:tc>
        <w:tc>
          <w:tcPr>
            <w:tcW w:w="4395" w:type="dxa"/>
            <w:tcBorders/>
            <w:shd w:fill="BFBFBF"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404041"/>
                <w:sz w:val="16"/>
              </w:rPr>
            </w:pPr>
            <w:r>
              <w:rPr>
                <w:rFonts w:ascii="Arial" w:hAnsi="Arial"/>
                <w:color w:val="404041"/>
                <w:sz w:val="16"/>
              </w:rPr>
              <w:t>President and CEO of Smith &amp; Wesson Brands, Inc.</w:t>
            </w:r>
          </w:p>
        </w:tc>
        <w:tc>
          <w:tcPr>
            <w:tcW w:w="1366" w:type="dxa"/>
            <w:tcBorders/>
            <w:shd w:fill="BFBFBF" w:val="clear"/>
            <w:tcMar>
              <w:top w:w="0" w:type="dxa"/>
              <w:left w:w="0" w:type="dxa"/>
              <w:bottom w:w="0" w:type="dxa"/>
              <w:right w:w="0" w:type="dxa"/>
            </w:tcMar>
            <w:vAlign w:val="center"/>
          </w:tcPr>
          <w:p>
            <w:pPr>
              <w:pStyle w:val="TableContents"/>
              <w:bidi w:val="0"/>
              <w:spacing w:before="0" w:after="0"/>
              <w:jc w:val="both"/>
              <w:rPr>
                <w:rFonts w:ascii="Times New Roman" w:hAnsi="Times New Roman"/>
                <w:color w:val="404041"/>
                <w:sz w:val="20"/>
              </w:rPr>
            </w:pPr>
            <w:r>
              <w:rPr>
                <w:rFonts w:ascii="Times New Roman" w:hAnsi="Times New Roman"/>
                <w:color w:val="404041"/>
                <w:sz w:val="20"/>
              </w:rPr>
              <w:t>-</w:t>
            </w:r>
          </w:p>
        </w:tc>
        <w:tc>
          <w:tcPr>
            <w:tcW w:w="1519" w:type="dxa"/>
            <w:tcBorders/>
            <w:shd w:fill="BFBFBF" w:val="clear"/>
            <w:tcMar>
              <w:top w:w="0" w:type="dxa"/>
              <w:left w:w="0" w:type="dxa"/>
              <w:bottom w:w="0" w:type="dxa"/>
              <w:right w:w="0" w:type="dxa"/>
            </w:tcMar>
            <w:vAlign w:val="center"/>
          </w:tcPr>
          <w:p>
            <w:pPr>
              <w:pStyle w:val="TableContents"/>
              <w:bidi w:val="0"/>
              <w:spacing w:before="0" w:after="283"/>
              <w:jc w:val="both"/>
              <w:rPr>
                <w:rFonts w:ascii="Arial" w:hAnsi="Arial"/>
                <w:color w:val="404041"/>
                <w:sz w:val="16"/>
              </w:rPr>
            </w:pPr>
            <w:r>
              <w:rPr>
                <w:rFonts w:ascii="Arial" w:hAnsi="Arial"/>
                <w:color w:val="404041"/>
                <w:sz w:val="16"/>
              </w:rPr>
              <w:t>0</w:t>
            </w:r>
          </w:p>
        </w:tc>
      </w:tr>
      <w:tr>
        <w:trPr/>
        <w:tc>
          <w:tcPr>
            <w:tcW w:w="161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16"/>
              </w:rPr>
            </w:pPr>
            <w:r>
              <w:rPr>
                <w:rFonts w:ascii="Arial" w:hAnsi="Arial"/>
                <w:b/>
                <w:color w:val="404041"/>
                <w:sz w:val="16"/>
              </w:rPr>
              <w:t xml:space="preserve">Denis G. Suggs </w:t>
            </w:r>
            <w:r>
              <w:rPr>
                <w:rFonts w:ascii="Arial" w:hAnsi="Arial"/>
                <w:color w:val="4F81BD"/>
                <w:sz w:val="16"/>
              </w:rPr>
              <w:t>*</w:t>
            </w:r>
          </w:p>
        </w:tc>
        <w:tc>
          <w:tcPr>
            <w:tcW w:w="466" w:type="dxa"/>
            <w:tcBorders/>
            <w:tcMar>
              <w:top w:w="0" w:type="dxa"/>
              <w:left w:w="0" w:type="dxa"/>
              <w:bottom w:w="0" w:type="dxa"/>
              <w:right w:w="0" w:type="dxa"/>
            </w:tcMar>
            <w:vAlign w:val="center"/>
          </w:tcPr>
          <w:p>
            <w:pPr>
              <w:pStyle w:val="TableContents"/>
              <w:bidi w:val="0"/>
              <w:spacing w:before="0" w:after="283"/>
              <w:jc w:val="both"/>
              <w:rPr>
                <w:rFonts w:ascii="Arial" w:hAnsi="Arial"/>
                <w:color w:val="404041"/>
                <w:sz w:val="16"/>
              </w:rPr>
            </w:pPr>
            <w:r>
              <w:rPr>
                <w:rFonts w:ascii="Arial" w:hAnsi="Arial"/>
                <w:color w:val="404041"/>
                <w:sz w:val="16"/>
              </w:rPr>
              <w:t>60</w:t>
            </w:r>
          </w:p>
        </w:tc>
        <w:tc>
          <w:tcPr>
            <w:tcW w:w="841" w:type="dxa"/>
            <w:tcBorders/>
            <w:tcMar>
              <w:top w:w="0" w:type="dxa"/>
              <w:left w:w="0" w:type="dxa"/>
              <w:bottom w:w="0" w:type="dxa"/>
              <w:right w:w="0" w:type="dxa"/>
            </w:tcMar>
            <w:vAlign w:val="center"/>
          </w:tcPr>
          <w:p>
            <w:pPr>
              <w:pStyle w:val="TableContents"/>
              <w:bidi w:val="0"/>
              <w:spacing w:before="0" w:after="283"/>
              <w:ind w:left="0" w:right="0" w:firstLine="60"/>
              <w:jc w:val="both"/>
              <w:rPr>
                <w:rFonts w:ascii="Arial" w:hAnsi="Arial"/>
                <w:color w:val="404041"/>
                <w:sz w:val="16"/>
              </w:rPr>
            </w:pPr>
            <w:r>
              <w:rPr>
                <w:rFonts w:ascii="Arial" w:hAnsi="Arial"/>
                <w:color w:val="404041"/>
                <w:sz w:val="16"/>
              </w:rPr>
              <w:t>2021</w:t>
            </w:r>
          </w:p>
        </w:tc>
        <w:tc>
          <w:tcPr>
            <w:tcW w:w="4395" w:type="dxa"/>
            <w:tcBorders/>
            <w:tcMar>
              <w:top w:w="0" w:type="dxa"/>
              <w:left w:w="0" w:type="dxa"/>
              <w:bottom w:w="0" w:type="dxa"/>
              <w:right w:w="0" w:type="dxa"/>
            </w:tcMar>
            <w:vAlign w:val="center"/>
          </w:tcPr>
          <w:p>
            <w:pPr>
              <w:pStyle w:val="TableContents"/>
              <w:bidi w:val="0"/>
              <w:ind w:left="0" w:right="0" w:firstLine="60"/>
              <w:jc w:val="left"/>
              <w:rPr/>
            </w:pPr>
            <w:r>
              <w:rPr/>
              <w:t> </w:t>
            </w:r>
          </w:p>
          <w:p>
            <w:pPr>
              <w:pStyle w:val="TableContents"/>
              <w:bidi w:val="0"/>
              <w:ind w:left="0" w:right="0" w:firstLine="60"/>
              <w:jc w:val="left"/>
              <w:rPr>
                <w:rFonts w:ascii="Arial" w:hAnsi="Arial"/>
                <w:color w:val="404041"/>
                <w:sz w:val="16"/>
              </w:rPr>
            </w:pPr>
            <w:r>
              <w:rPr>
                <w:rFonts w:ascii="Arial" w:hAnsi="Arial"/>
                <w:color w:val="404041"/>
                <w:sz w:val="16"/>
              </w:rPr>
              <w:t>CEO of LCP Transportation LLC</w:t>
            </w:r>
          </w:p>
          <w:p>
            <w:pPr>
              <w:pStyle w:val="TableContents"/>
              <w:bidi w:val="0"/>
              <w:spacing w:before="0" w:after="283"/>
              <w:ind w:left="0" w:right="0" w:firstLine="60"/>
              <w:jc w:val="left"/>
              <w:rPr/>
            </w:pPr>
            <w:r>
              <w:rPr/>
              <w:t> </w:t>
            </w:r>
          </w:p>
        </w:tc>
        <w:tc>
          <w:tcPr>
            <w:tcW w:w="136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16"/>
              </w:rPr>
            </w:pPr>
            <w:r>
              <w:rPr>
                <w:rFonts w:ascii="Arial" w:hAnsi="Arial"/>
                <w:color w:val="404041"/>
                <w:sz w:val="16"/>
              </w:rPr>
              <w:t>AC, NCG</w:t>
            </w:r>
            <w:r>
              <w:rPr>
                <w:rFonts w:ascii="Arial" w:hAnsi="Arial"/>
                <w:color w:val="4F81BD"/>
                <w:sz w:val="16"/>
              </w:rPr>
              <w:t>**</w:t>
            </w:r>
          </w:p>
        </w:tc>
        <w:tc>
          <w:tcPr>
            <w:tcW w:w="1519" w:type="dxa"/>
            <w:tcBorders/>
            <w:tcMar>
              <w:top w:w="0" w:type="dxa"/>
              <w:left w:w="0" w:type="dxa"/>
              <w:bottom w:w="0" w:type="dxa"/>
              <w:right w:w="0" w:type="dxa"/>
            </w:tcMar>
            <w:vAlign w:val="center"/>
          </w:tcPr>
          <w:p>
            <w:pPr>
              <w:pStyle w:val="TableContents"/>
              <w:bidi w:val="0"/>
              <w:spacing w:before="0" w:after="283"/>
              <w:jc w:val="both"/>
              <w:rPr>
                <w:rFonts w:ascii="Arial" w:hAnsi="Arial"/>
                <w:color w:val="404041"/>
                <w:sz w:val="16"/>
              </w:rPr>
            </w:pPr>
            <w:r>
              <w:rPr>
                <w:rFonts w:ascii="Arial" w:hAnsi="Arial"/>
                <w:color w:val="404041"/>
                <w:sz w:val="16"/>
              </w:rPr>
              <w:t>1</w:t>
            </w:r>
          </w:p>
        </w:tc>
      </w:tr>
    </w:tbl>
    <w:p>
      <w:pPr>
        <w:pStyle w:val="TextBody"/>
        <w:bidi w:val="0"/>
        <w:jc w:val="both"/>
        <w:rPr>
          <w:rFonts w:ascii="Times New Roman" w:hAnsi="Times New Roman"/>
          <w:sz w:val="20"/>
        </w:rPr>
      </w:pPr>
      <w:r>
        <w:rPr>
          <w:rFonts w:ascii="Arial" w:hAnsi="Arial"/>
          <w:color w:val="4F81BD"/>
          <w:sz w:val="16"/>
        </w:rPr>
        <w:t>*</w:t>
      </w:r>
      <w:r>
        <w:rPr>
          <w:rFonts w:ascii="Times New Roman" w:hAnsi="Times New Roman"/>
          <w:color w:val="000000"/>
          <w:sz w:val="20"/>
        </w:rPr>
        <w:t xml:space="preserve"> </w:t>
      </w:r>
      <w:r>
        <w:rPr>
          <w:rFonts w:ascii="Arial" w:hAnsi="Arial"/>
          <w:color w:val="000000"/>
          <w:sz w:val="16"/>
        </w:rPr>
        <w:t xml:space="preserve">= </w:t>
      </w:r>
      <w:r>
        <w:rPr>
          <w:rFonts w:ascii="Arial" w:hAnsi="Arial"/>
          <w:color w:val="404041"/>
          <w:sz w:val="16"/>
        </w:rPr>
        <w:t>Independent Nominee;</w:t>
      </w:r>
      <w:r>
        <w:rPr>
          <w:rFonts w:ascii="Times New Roman" w:hAnsi="Times New Roman"/>
          <w:color w:val="4F81BD"/>
          <w:sz w:val="20"/>
        </w:rPr>
        <w:t xml:space="preserve"> </w:t>
      </w:r>
      <w:r>
        <w:rPr>
          <w:rFonts w:ascii="Arial" w:hAnsi="Arial"/>
          <w:color w:val="4F81BD"/>
          <w:sz w:val="16"/>
        </w:rPr>
        <w:t>**</w:t>
      </w:r>
      <w:r>
        <w:rPr>
          <w:rFonts w:ascii="Times New Roman" w:hAnsi="Times New Roman"/>
          <w:color w:val="000000"/>
          <w:sz w:val="20"/>
        </w:rPr>
        <w:t xml:space="preserve"> </w:t>
      </w:r>
      <w:r>
        <w:rPr>
          <w:rFonts w:ascii="Arial" w:hAnsi="Arial"/>
          <w:color w:val="000000"/>
          <w:sz w:val="16"/>
        </w:rPr>
        <w:t xml:space="preserve">= </w:t>
      </w:r>
      <w:r>
        <w:rPr>
          <w:rFonts w:ascii="Arial" w:hAnsi="Arial"/>
          <w:color w:val="404041"/>
          <w:sz w:val="16"/>
        </w:rPr>
        <w:t>Committee Chair;</w:t>
      </w:r>
      <w:r>
        <w:rPr>
          <w:rFonts w:ascii="Times New Roman" w:hAnsi="Times New Roman"/>
          <w:color w:val="000000"/>
          <w:sz w:val="20"/>
        </w:rPr>
        <w:t xml:space="preserve"> </w:t>
      </w:r>
      <w:r>
        <w:rPr>
          <w:rFonts w:ascii="Arial" w:hAnsi="Arial"/>
          <w:color w:val="4F81BD"/>
          <w:sz w:val="16"/>
        </w:rPr>
        <w:t xml:space="preserve">§ </w:t>
      </w:r>
      <w:r>
        <w:rPr>
          <w:rFonts w:ascii="Arial" w:hAnsi="Arial"/>
          <w:color w:val="000000"/>
          <w:sz w:val="16"/>
        </w:rPr>
        <w:t>=</w:t>
      </w:r>
      <w:r>
        <w:rPr>
          <w:rFonts w:ascii="Times New Roman" w:hAnsi="Times New Roman"/>
          <w:color w:val="4F81BD"/>
          <w:sz w:val="20"/>
        </w:rPr>
        <w:t xml:space="preserve"> </w:t>
      </w:r>
      <w:r>
        <w:rPr>
          <w:rFonts w:ascii="Arial" w:hAnsi="Arial"/>
          <w:color w:val="404041"/>
          <w:sz w:val="16"/>
        </w:rPr>
        <w:t>Chairman</w:t>
      </w:r>
    </w:p>
    <w:p>
      <w:pPr>
        <w:pStyle w:val="TextBody"/>
        <w:bidi w:val="0"/>
        <w:jc w:val="both"/>
        <w:rPr>
          <w:rFonts w:ascii="Arial" w:hAnsi="Arial"/>
          <w:color w:val="404041"/>
          <w:sz w:val="16"/>
        </w:rPr>
      </w:pPr>
      <w:r>
        <w:rPr>
          <w:rFonts w:ascii="Arial" w:hAnsi="Arial"/>
          <w:color w:val="404041"/>
          <w:sz w:val="16"/>
        </w:rPr>
        <w:t>AC = Audit Committee; CC = Compensation Committee; SC = Sustainability Committee; NCG = Nominations and Corporate Governance Committee</w:t>
      </w:r>
    </w:p>
    <w:p>
      <w:pPr>
        <w:pStyle w:val="TextBody"/>
        <w:bidi w:val="0"/>
        <w:jc w:val="both"/>
        <w:rPr>
          <w:rFonts w:ascii="Arial" w:hAnsi="Arial"/>
          <w:color w:val="404041"/>
          <w:sz w:val="16"/>
        </w:rPr>
      </w:pPr>
      <w:r>
        <w:rPr>
          <w:rFonts w:ascii="Arial" w:hAnsi="Arial"/>
          <w:color w:val="404041"/>
          <w:sz w:val="16"/>
        </w:rPr>
        <w:t>Note: the Board dissolved the Sustainability Committee effective April 30, 2026; SC membership reflects service on the Sustainability Committee during the fiscal year ended April 30, 2026 ("fiscal 2026") prior to dissolution.</w:t>
      </w:r>
    </w:p>
    <w:p>
      <w:pPr>
        <w:pStyle w:val="TextBody"/>
        <w:bidi w:val="0"/>
        <w:jc w:val="both"/>
        <w:rPr/>
      </w:pPr>
      <w:r>
        <w:rPr/>
        <w:t> </w:t>
      </w:r>
    </w:p>
    <w:p>
      <w:pPr>
        <w:pStyle w:val="TextBody"/>
        <w:bidi w:val="0"/>
        <w:jc w:val="left"/>
        <w:rPr/>
      </w:pPr>
      <w:r>
        <w:rPr/>
        <w:t> </w:t>
      </w:r>
    </w:p>
    <w:tbl>
      <w:tblPr>
        <w:tblW w:w="3597" w:type="dxa"/>
        <w:jc w:val="left"/>
        <w:tblInd w:w="0" w:type="dxa"/>
        <w:tblLayout w:type="fixed"/>
        <w:tblCellMar>
          <w:top w:w="28" w:type="dxa"/>
          <w:left w:w="28" w:type="dxa"/>
          <w:bottom w:w="28" w:type="dxa"/>
          <w:right w:w="28" w:type="dxa"/>
        </w:tblCellMar>
      </w:tblPr>
      <w:tblGrid>
        <w:gridCol w:w="1406"/>
        <w:gridCol w:w="2191"/>
      </w:tblGrid>
      <w:tr>
        <w:trPr/>
        <w:tc>
          <w:tcPr>
            <w:tcW w:w="1406"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jc w:val="left"/>
              <w:rPr>
                <w:sz w:val="4"/>
                <w:szCs w:val="4"/>
              </w:rPr>
            </w:pPr>
            <w:r>
              <w:rPr>
                <w:sz w:val="4"/>
                <w:szCs w:val="4"/>
              </w:rPr>
            </w:r>
          </w:p>
        </w:tc>
      </w:tr>
      <w:tr>
        <w:trPr/>
        <w:tc>
          <w:tcPr>
            <w:tcW w:w="140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828675" cy="1905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828675" cy="190500"/>
                          </a:xfrm>
                          <a:prstGeom prst="rect">
                            <a:avLst/>
                          </a:prstGeom>
                        </pic:spPr>
                      </pic:pic>
                    </a:graphicData>
                  </a:graphic>
                </wp:inline>
              </w:drawing>
            </w:r>
          </w:p>
        </w:tc>
        <w:tc>
          <w:tcPr>
            <w:tcW w:w="2191" w:type="dxa"/>
            <w:tcBorders/>
            <w:tcMar>
              <w:top w:w="0" w:type="dxa"/>
              <w:left w:w="0" w:type="dxa"/>
              <w:bottom w:w="0" w:type="dxa"/>
              <w:right w:w="0" w:type="dxa"/>
            </w:tcMar>
            <w:vAlign w:val="center"/>
          </w:tcPr>
          <w:p>
            <w:pPr>
              <w:pStyle w:val="TableContents"/>
              <w:bidi w:val="0"/>
              <w:spacing w:before="0" w:after="283"/>
              <w:jc w:val="right"/>
              <w:rPr>
                <w:rFonts w:ascii="Arial" w:hAnsi="Arial"/>
                <w:color w:val="091F2C"/>
                <w:sz w:val="18"/>
              </w:rPr>
            </w:pPr>
            <w:r>
              <w:rPr>
                <w:rFonts w:ascii="Arial" w:hAnsi="Arial"/>
                <w:color w:val="091F2C"/>
                <w:sz w:val="18"/>
              </w:rPr>
              <w:t>2026 Proxy Statement I 1</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682" w:type="dxa"/>
        <w:jc w:val="left"/>
        <w:tblInd w:w="0" w:type="dxa"/>
        <w:tblLayout w:type="fixed"/>
        <w:tblCellMar>
          <w:top w:w="28" w:type="dxa"/>
          <w:left w:w="28" w:type="dxa"/>
          <w:bottom w:w="28" w:type="dxa"/>
          <w:right w:w="28" w:type="dxa"/>
        </w:tblCellMar>
      </w:tblPr>
      <w:tblGrid>
        <w:gridCol w:w="2491"/>
        <w:gridCol w:w="191"/>
      </w:tblGrid>
      <w:tr>
        <w:trPr/>
        <w:tc>
          <w:tcPr>
            <w:tcW w:w="24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91" w:type="dxa"/>
            <w:tcBorders/>
            <w:tcMar>
              <w:top w:w="0" w:type="dxa"/>
              <w:left w:w="0" w:type="dxa"/>
              <w:bottom w:w="0" w:type="dxa"/>
              <w:right w:w="0" w:type="dxa"/>
            </w:tcMar>
            <w:vAlign w:val="center"/>
          </w:tcPr>
          <w:p>
            <w:pPr>
              <w:pStyle w:val="TableContents"/>
              <w:bidi w:val="0"/>
              <w:spacing w:before="0" w:after="283"/>
              <w:jc w:val="left"/>
              <w:rPr>
                <w:rFonts w:ascii="Arial" w:hAnsi="Arial"/>
                <w:color w:val="002668"/>
                <w:sz w:val="20"/>
              </w:rPr>
            </w:pPr>
            <w:r>
              <w:rPr>
                <w:rFonts w:ascii="Arial" w:hAnsi="Arial"/>
                <w:color w:val="002668"/>
                <w:sz w:val="20"/>
              </w:rPr>
              <w:t>Proxy Statement Summary</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bottom w:val="single" w:sz="8" w:space="0" w:color="002668"/>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Arial" w:hAnsi="Arial"/>
          <w:b/>
          <w:color w:val="002668"/>
          <w:sz w:val="28"/>
        </w:rPr>
      </w:pPr>
      <w:r>
        <w:rPr>
          <w:rFonts w:ascii="Arial" w:hAnsi="Arial"/>
          <w:b/>
          <w:color w:val="002668"/>
          <w:sz w:val="28"/>
        </w:rPr>
        <w:t>KEY ACCOMPLISHMENTS</w:t>
      </w:r>
    </w:p>
    <w:p>
      <w:pPr>
        <w:pStyle w:val="TextBody"/>
        <w:bidi w:val="0"/>
        <w:jc w:val="both"/>
        <w:rPr>
          <w:rFonts w:ascii="Arial" w:hAnsi="Arial"/>
          <w:color w:val="000000"/>
          <w:sz w:val="20"/>
        </w:rPr>
      </w:pPr>
      <w:r>
        <w:rPr>
          <w:rFonts w:ascii="Arial" w:hAnsi="Arial"/>
          <w:color w:val="000000"/>
          <w:sz w:val="20"/>
        </w:rPr>
        <w:t>Our key accomplishments for fiscal 2026 included the following:</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ind w:left="0" w:right="0" w:firstLine="979"/>
              <w:jc w:val="left"/>
              <w:rPr>
                <w:sz w:val="4"/>
                <w:szCs w:val="4"/>
              </w:rPr>
            </w:pPr>
            <w:r>
              <w:rPr>
                <w:sz w:val="4"/>
                <w:szCs w:val="4"/>
              </w:rPr>
            </w:r>
          </w:p>
        </w:tc>
      </w:tr>
      <w:tr>
        <w:trPr/>
        <w:tc>
          <w:tcPr>
            <w:tcW w:w="10205" w:type="dxa"/>
            <w:tcBorders/>
            <w:shd w:fill="E2E2E2" w:val="clear"/>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p>
            <w:pPr>
              <w:pStyle w:val="TableContents"/>
              <w:bidi w:val="0"/>
              <w:spacing w:before="120" w:after="283"/>
              <w:jc w:val="left"/>
              <w:rPr>
                <w:rFonts w:ascii="Arial" w:hAnsi="Arial"/>
                <w:color w:val="000000"/>
                <w:sz w:val="20"/>
              </w:rPr>
            </w:pPr>
            <w:r>
              <w:rPr>
                <w:rFonts w:ascii="Arial" w:hAnsi="Arial"/>
                <w:color w:val="000000"/>
                <w:sz w:val="20"/>
              </w:rPr>
              <w:t>Generated net sales of $523.8 million, an increase of $49.2 million, or 10.4% more than in the fiscal year ended April 30, 2025 ("fiscal 2025")</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Arial" w:hAnsi="Arial"/>
                <w:color w:val="000000"/>
                <w:sz w:val="20"/>
              </w:rPr>
            </w:pPr>
            <w:r>
              <w:rPr>
                <w:rFonts w:ascii="Arial" w:hAnsi="Arial"/>
                <w:color w:val="000000"/>
                <w:sz w:val="20"/>
              </w:rPr>
              <w:t>Generated $114.2 million of cash provided by operating activities, compared with $7.2 million of cash used in fiscal 2025</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Arial" w:hAnsi="Arial"/>
                <w:color w:val="000000"/>
                <w:sz w:val="20"/>
              </w:rPr>
            </w:pPr>
            <w:r>
              <w:rPr>
                <w:rFonts w:ascii="Arial" w:hAnsi="Arial"/>
                <w:color w:val="000000"/>
                <w:sz w:val="20"/>
              </w:rPr>
              <w:t>Returned $23.2 million to stockholders in dividends</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Arial" w:hAnsi="Arial"/>
                <w:color w:val="000000"/>
                <w:sz w:val="20"/>
              </w:rPr>
            </w:pPr>
            <w:r>
              <w:rPr>
                <w:rFonts w:ascii="Arial" w:hAnsi="Arial"/>
                <w:color w:val="000000"/>
                <w:sz w:val="20"/>
              </w:rPr>
              <w:t>Repaid $60.0 million on our revolving credit agreement</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Arial" w:hAnsi="Arial"/>
                <w:color w:val="000000"/>
                <w:sz w:val="20"/>
              </w:rPr>
            </w:pPr>
            <w:r>
              <w:rPr>
                <w:rFonts w:ascii="Arial" w:hAnsi="Arial"/>
                <w:color w:val="000000"/>
                <w:sz w:val="20"/>
              </w:rPr>
              <w:t>Opened the Smith &amp; Wesson Academy, a state-of-the-art shooting facility.</w:t>
            </w:r>
          </w:p>
        </w:tc>
      </w:tr>
    </w:tbl>
    <w:p>
      <w:pPr>
        <w:pStyle w:val="TextBody"/>
        <w:bidi w:val="0"/>
        <w:spacing w:before="240" w:after="283"/>
        <w:jc w:val="both"/>
        <w:rPr>
          <w:rFonts w:ascii="Arial" w:hAnsi="Arial"/>
          <w:b/>
          <w:color w:val="002668"/>
          <w:sz w:val="28"/>
        </w:rPr>
      </w:pPr>
      <w:r>
        <w:rPr>
          <w:rFonts w:ascii="Arial" w:hAnsi="Arial"/>
          <w:b/>
          <w:color w:val="002668"/>
          <w:sz w:val="28"/>
        </w:rPr>
        <w:t>GOVERNANCE HIGHLIGHTS</w:t>
      </w:r>
    </w:p>
    <w:p>
      <w:pPr>
        <w:pStyle w:val="TextBody"/>
        <w:bidi w:val="0"/>
        <w:spacing w:before="60" w:after="283"/>
        <w:jc w:val="both"/>
        <w:rPr>
          <w:rFonts w:ascii="Arial" w:hAnsi="Arial"/>
          <w:color w:val="002668"/>
          <w:sz w:val="24"/>
          <w:u w:val="single"/>
        </w:rPr>
      </w:pPr>
      <w:r>
        <w:rPr>
          <w:rFonts w:ascii="Arial" w:hAnsi="Arial"/>
          <w:color w:val="002668"/>
          <w:sz w:val="24"/>
          <w:u w:val="single"/>
        </w:rPr>
        <w:t>Board Refreshment</w:t>
      </w:r>
    </w:p>
    <w:p>
      <w:pPr>
        <w:pStyle w:val="TextBody"/>
        <w:bidi w:val="0"/>
        <w:spacing w:before="40" w:after="283"/>
        <w:jc w:val="both"/>
        <w:rPr>
          <w:rFonts w:ascii="Arial" w:hAnsi="Arial"/>
          <w:color w:val="000000"/>
          <w:sz w:val="20"/>
        </w:rPr>
      </w:pPr>
      <w:r>
        <w:rPr>
          <w:rFonts w:ascii="Arial" w:hAnsi="Arial"/>
          <w:color w:val="000000"/>
          <w:sz w:val="20"/>
        </w:rPr>
        <w:t>We recognize the importance of board refreshment. Two-thirds of our director nominees have joined our board of directors (the "Board") since 2018, demonstrating the Board’s commitment to refreshment, including with independent nominees who provide perspectives and experience to support our strategy.</w:t>
      </w:r>
    </w:p>
    <w:p>
      <w:pPr>
        <w:pStyle w:val="TextBody"/>
        <w:bidi w:val="0"/>
        <w:spacing w:before="60" w:after="283"/>
        <w:jc w:val="both"/>
        <w:rPr>
          <w:rFonts w:ascii="Arial" w:hAnsi="Arial"/>
          <w:color w:val="002668"/>
          <w:sz w:val="24"/>
          <w:u w:val="single"/>
        </w:rPr>
      </w:pPr>
      <w:r>
        <w:rPr>
          <w:rFonts w:ascii="Arial" w:hAnsi="Arial"/>
          <w:color w:val="002668"/>
          <w:sz w:val="24"/>
          <w:u w:val="single"/>
        </w:rPr>
        <w:t>Risk Oversight</w:t>
      </w:r>
    </w:p>
    <w:p>
      <w:pPr>
        <w:pStyle w:val="TextBody"/>
        <w:bidi w:val="0"/>
        <w:jc w:val="both"/>
        <w:rPr>
          <w:rFonts w:ascii="Arial" w:hAnsi="Arial"/>
          <w:color w:val="000000"/>
          <w:sz w:val="20"/>
        </w:rPr>
      </w:pPr>
      <w:r>
        <w:rPr>
          <w:rFonts w:ascii="Arial" w:hAnsi="Arial"/>
          <w:color w:val="000000"/>
          <w:sz w:val="20"/>
        </w:rPr>
        <w:t>Given the nature of our business, the Board remains focused on overseeing risk management. In addition to the Audit Committee receiving periodic presentations on enterprise risk management, during fiscal 2026, the Board discussed the campaign against the firearm industry at each of its regular quarterly meetings.</w:t>
      </w:r>
    </w:p>
    <w:p>
      <w:pPr>
        <w:pStyle w:val="TextBody"/>
        <w:bidi w:val="0"/>
        <w:spacing w:before="60" w:after="283"/>
        <w:jc w:val="both"/>
        <w:rPr>
          <w:rFonts w:ascii="Arial" w:hAnsi="Arial"/>
          <w:color w:val="002668"/>
          <w:sz w:val="24"/>
          <w:u w:val="single"/>
        </w:rPr>
      </w:pPr>
      <w:r>
        <w:rPr>
          <w:rFonts w:ascii="Arial" w:hAnsi="Arial"/>
          <w:color w:val="002668"/>
          <w:sz w:val="24"/>
          <w:u w:val="single"/>
        </w:rPr>
        <w:t>Stockholder Engagement</w:t>
      </w:r>
    </w:p>
    <w:p>
      <w:pPr>
        <w:pStyle w:val="TextBody"/>
        <w:bidi w:val="0"/>
        <w:jc w:val="both"/>
        <w:rPr>
          <w:rFonts w:ascii="Arial" w:hAnsi="Arial"/>
          <w:color w:val="000000"/>
          <w:sz w:val="20"/>
        </w:rPr>
      </w:pPr>
      <w:r>
        <w:rPr>
          <w:rFonts w:ascii="Arial" w:hAnsi="Arial"/>
          <w:color w:val="000000"/>
          <w:sz w:val="20"/>
        </w:rPr>
        <w:t>We recognize the importance of stockholder engagement. In addition to our regular, year-round stockholder engagement initiatives, prior to the annual meeting of stockholders held on September 15, 2025 (the “2025 Annual Meeting”), we met with certain of our largest stockholders to discuss, among other things, the progress we have made on various corporate governance initiatives.</w:t>
      </w:r>
    </w:p>
    <w:p>
      <w:pPr>
        <w:pStyle w:val="TextBody"/>
        <w:bidi w:val="0"/>
        <w:spacing w:before="240" w:after="283"/>
        <w:jc w:val="both"/>
        <w:rPr>
          <w:rFonts w:ascii="Arial" w:hAnsi="Arial"/>
          <w:b/>
          <w:color w:val="002668"/>
          <w:sz w:val="28"/>
        </w:rPr>
      </w:pPr>
      <w:r>
        <w:rPr>
          <w:rFonts w:ascii="Arial" w:hAnsi="Arial"/>
          <w:b/>
          <w:color w:val="002668"/>
          <w:sz w:val="28"/>
        </w:rPr>
        <w:t>COMPENSATION HIGHLIGHTS</w:t>
      </w:r>
    </w:p>
    <w:p>
      <w:pPr>
        <w:pStyle w:val="TextBody"/>
        <w:bidi w:val="0"/>
        <w:spacing w:before="60" w:after="283"/>
        <w:jc w:val="both"/>
        <w:rPr>
          <w:rFonts w:ascii="Arial" w:hAnsi="Arial"/>
          <w:color w:val="002668"/>
          <w:sz w:val="24"/>
          <w:u w:val="single"/>
        </w:rPr>
      </w:pPr>
      <w:r>
        <w:rPr>
          <w:rFonts w:ascii="Arial" w:hAnsi="Arial"/>
          <w:color w:val="002668"/>
          <w:sz w:val="24"/>
          <w:u w:val="single"/>
        </w:rPr>
        <w:t>Pay for Performance</w:t>
      </w:r>
    </w:p>
    <w:p>
      <w:pPr>
        <w:pStyle w:val="TextBody"/>
        <w:bidi w:val="0"/>
        <w:jc w:val="both"/>
        <w:rPr>
          <w:rFonts w:ascii="Arial" w:hAnsi="Arial"/>
          <w:color w:val="000000"/>
          <w:sz w:val="20"/>
        </w:rPr>
      </w:pPr>
      <w:r>
        <w:rPr>
          <w:rFonts w:ascii="Arial" w:hAnsi="Arial"/>
          <w:color w:val="000000"/>
          <w:sz w:val="20"/>
        </w:rPr>
        <w:t>Our executive compensation program emphasizes our pay-for-performance philosophy. For fiscal 2026:</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100% of our named executive officers’ (“NEOs”) annual cash incentive goals were tied to Company performance (Adjusted EBITDAS, Net Sales, and certain strategic goals). Adjusted EBITDAS also served as the threshold for which the failure to achieve this performance metric would result in no bonus payments regardless of the achievement of the other performance metrics.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50% of our NEOs’ stock-based award value was tied to Company performance, as reflected by Adjusted EBITDAS Growth (as defined herein), subject to a modifier based on relative total shareholder return (“rTSR”) value.</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Arial" w:hAnsi="Arial"/>
          <w:color w:val="000000"/>
          <w:sz w:val="20"/>
        </w:rPr>
        <w:t xml:space="preserve">Our NEOs (other than Mr. Tengwall) </w:t>
      </w:r>
      <w:r>
        <w:rPr>
          <w:rFonts w:ascii="Arial" w:hAnsi="Arial"/>
          <w:color w:val="4F81BD"/>
          <w:sz w:val="20"/>
          <w:u w:val="single"/>
        </w:rPr>
        <w:t>received no increase in their base salaries</w:t>
      </w:r>
      <w:r>
        <w:rPr>
          <w:rFonts w:ascii="Arial" w:hAnsi="Arial"/>
          <w:color w:val="000000"/>
          <w:sz w:val="20"/>
        </w:rPr>
        <w:t>.</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Arial" w:hAnsi="Arial"/>
          <w:color w:val="000000"/>
          <w:sz w:val="20"/>
        </w:rPr>
        <w:t xml:space="preserve">Our NEOs </w:t>
      </w:r>
      <w:r>
        <w:rPr>
          <w:rFonts w:ascii="Arial" w:hAnsi="Arial"/>
          <w:color w:val="4F81BD"/>
          <w:sz w:val="20"/>
          <w:u w:val="single"/>
        </w:rPr>
        <w:t>received 121.8% of their annual cash incentive</w:t>
      </w:r>
      <w:r>
        <w:rPr>
          <w:color w:val="000000"/>
        </w:rPr>
        <w:t xml:space="preserve"> </w:t>
      </w:r>
      <w:r>
        <w:rPr>
          <w:rFonts w:ascii="Arial" w:hAnsi="Arial"/>
          <w:color w:val="000000"/>
          <w:sz w:val="20"/>
        </w:rPr>
        <w:t>based on our performance with respect to Adjusted EBITDAS, Net Sales, and certain strategic goals.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Arial" w:hAnsi="Arial"/>
          <w:color w:val="000000"/>
          <w:sz w:val="20"/>
        </w:rPr>
        <w:t xml:space="preserve">Our NEOs </w:t>
      </w:r>
      <w:r>
        <w:rPr>
          <w:rFonts w:ascii="Arial" w:hAnsi="Arial"/>
          <w:color w:val="4F81BD"/>
          <w:sz w:val="20"/>
        </w:rPr>
        <w:t>received none of the target shares</w:t>
      </w:r>
      <w:r>
        <w:rPr>
          <w:color w:val="000000"/>
        </w:rPr>
        <w:t xml:space="preserve"> </w:t>
      </w:r>
      <w:r>
        <w:rPr>
          <w:rFonts w:ascii="Arial" w:hAnsi="Arial"/>
          <w:color w:val="000000"/>
          <w:sz w:val="20"/>
        </w:rPr>
        <w:t xml:space="preserve">of common stock for the performance-based restricted stock unit (“PSU”) portion of the stock-based award in 2023 because we failed to meet the minimum performance requirements. This represented the </w:t>
      </w:r>
      <w:r>
        <w:rPr>
          <w:rFonts w:ascii="Arial" w:hAnsi="Arial"/>
          <w:i/>
          <w:color w:val="4F81BD"/>
          <w:sz w:val="20"/>
        </w:rPr>
        <w:t>fourth consecutive year that our NEOs did not receive any of the target shares</w:t>
      </w:r>
      <w:r>
        <w:rPr>
          <w:color w:val="000000"/>
        </w:rPr>
        <w:t xml:space="preserve"> </w:t>
      </w:r>
      <w:r>
        <w:rPr>
          <w:rFonts w:ascii="Arial" w:hAnsi="Arial"/>
          <w:color w:val="000000"/>
          <w:sz w:val="20"/>
        </w:rPr>
        <w:t>of common stock for the PSU portion of the applicable stock-based awards, in each case because we failed to meet the applicable minimum share price performance requirements.</w:t>
      </w:r>
    </w:p>
    <w:p>
      <w:pPr>
        <w:pStyle w:val="TextBody"/>
        <w:bidi w:val="0"/>
        <w:jc w:val="left"/>
        <w:rPr/>
      </w:pPr>
      <w:r>
        <w:rPr/>
        <w:t> </w:t>
      </w:r>
    </w:p>
    <w:tbl>
      <w:tblPr>
        <w:tblW w:w="3597" w:type="dxa"/>
        <w:jc w:val="left"/>
        <w:tblInd w:w="0" w:type="dxa"/>
        <w:tblLayout w:type="fixed"/>
        <w:tblCellMar>
          <w:top w:w="28" w:type="dxa"/>
          <w:left w:w="28" w:type="dxa"/>
          <w:bottom w:w="28" w:type="dxa"/>
          <w:right w:w="28" w:type="dxa"/>
        </w:tblCellMar>
      </w:tblPr>
      <w:tblGrid>
        <w:gridCol w:w="2161"/>
        <w:gridCol w:w="1436"/>
      </w:tblGrid>
      <w:tr>
        <w:trPr/>
        <w:tc>
          <w:tcPr>
            <w:tcW w:w="2161"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1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91F2C"/>
                <w:sz w:val="18"/>
              </w:rPr>
              <w:t>2</w:t>
            </w:r>
            <w:r>
              <w:rPr>
                <w:rFonts w:ascii="Times New Roman" w:hAnsi="Times New Roman"/>
                <w:color w:val="091F2C"/>
                <w:sz w:val="18"/>
              </w:rPr>
              <w:t> </w:t>
            </w:r>
            <w:r>
              <w:rPr>
                <w:rFonts w:ascii="Arial" w:hAnsi="Arial"/>
                <w:color w:val="091F2C"/>
                <w:sz w:val="18"/>
              </w:rPr>
              <w:t>I 2026 Proxy Statement</w:t>
            </w:r>
          </w:p>
        </w:tc>
        <w:tc>
          <w:tcPr>
            <w:tcW w:w="143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828675" cy="1905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828675" cy="190500"/>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caps/>
          <w:color w:val="002668"/>
          <w:sz w:val="40"/>
        </w:rPr>
      </w:pPr>
      <w:bookmarkStart w:id="3" w:name="board_and_governance_matters"/>
      <w:bookmarkEnd w:id="3"/>
      <w:r>
        <w:rPr>
          <w:rFonts w:ascii="Arial" w:hAnsi="Arial"/>
          <w:b/>
          <w:caps/>
          <w:color w:val="002668"/>
          <w:sz w:val="40"/>
        </w:rPr>
        <w:t>BOARD AND GOVERNANCE MATTERS</w:t>
      </w:r>
    </w:p>
    <w:tbl>
      <w:tblPr>
        <w:tblW w:w="10205" w:type="dxa"/>
        <w:jc w:val="left"/>
        <w:tblInd w:w="0" w:type="dxa"/>
        <w:tblLayout w:type="fixed"/>
        <w:tblCellMar>
          <w:top w:w="28" w:type="dxa"/>
          <w:left w:w="28" w:type="dxa"/>
          <w:bottom w:w="28" w:type="dxa"/>
          <w:right w:w="28" w:type="dxa"/>
        </w:tblCellMar>
      </w:tblPr>
      <w:tblGrid>
        <w:gridCol w:w="161"/>
        <w:gridCol w:w="146"/>
        <w:gridCol w:w="95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561" w:type="dxa"/>
            <w:tcBorders/>
            <w:tcMar>
              <w:top w:w="0" w:type="dxa"/>
              <w:left w:w="0" w:type="dxa"/>
              <w:bottom w:w="0" w:type="dxa"/>
              <w:right w:w="0" w:type="dxa"/>
            </w:tcMar>
            <w:vAlign w:val="center"/>
          </w:tcPr>
          <w:p>
            <w:pPr>
              <w:pStyle w:val="TableContents"/>
              <w:bidi w:val="0"/>
              <w:jc w:val="both"/>
              <w:rPr/>
            </w:pPr>
            <w:r>
              <w:rPr/>
              <w:t> </w:t>
            </w:r>
          </w:p>
          <w:p>
            <w:pPr>
              <w:pStyle w:val="TableContents"/>
              <w:bidi w:val="0"/>
              <w:jc w:val="both"/>
              <w:rPr/>
            </w:pPr>
            <w:r>
              <w:rPr/>
              <w:t> </w:t>
            </w:r>
          </w:p>
          <w:p>
            <w:pPr>
              <w:pStyle w:val="TableContents"/>
              <w:bidi w:val="0"/>
              <w:jc w:val="both"/>
              <w:rPr/>
            </w:pPr>
            <w:r>
              <w:rPr/>
              <w:t> </w:t>
            </w:r>
          </w:p>
          <w:p>
            <w:pPr>
              <w:pStyle w:val="TableContents"/>
              <w:bidi w:val="0"/>
              <w:jc w:val="both"/>
              <w:rPr/>
            </w:pPr>
            <w:r>
              <w:rPr/>
              <w:t> </w:t>
            </w:r>
          </w:p>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9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61" w:type="dxa"/>
            <w:tcBorders/>
            <w:shd w:fill="DCDDDE"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DCDDDE" w:val="clear"/>
            <w:tcMar>
              <w:top w:w="0" w:type="dxa"/>
              <w:left w:w="0" w:type="dxa"/>
              <w:bottom w:w="0" w:type="dxa"/>
              <w:right w:w="0" w:type="dxa"/>
            </w:tcMar>
            <w:vAlign w:val="center"/>
          </w:tcPr>
          <w:p>
            <w:pPr>
              <w:pStyle w:val="TableContents"/>
              <w:bidi w:val="0"/>
              <w:spacing w:before="0" w:after="283"/>
              <w:jc w:val="both"/>
              <w:rPr/>
            </w:pPr>
            <w:r>
              <w:rPr/>
              <w:t> </w:t>
            </w:r>
          </w:p>
        </w:tc>
        <w:tc>
          <w:tcPr>
            <w:tcW w:w="9561" w:type="dxa"/>
            <w:tcBorders/>
            <w:shd w:fill="DCDDDE" w:val="clear"/>
            <w:tcMar>
              <w:top w:w="0" w:type="dxa"/>
              <w:left w:w="0" w:type="dxa"/>
              <w:bottom w:w="0" w:type="dxa"/>
              <w:right w:w="0" w:type="dxa"/>
            </w:tcMar>
            <w:vAlign w:val="center"/>
          </w:tcPr>
          <w:p>
            <w:pPr>
              <w:pStyle w:val="TableContents"/>
              <w:bidi w:val="0"/>
              <w:spacing w:before="0" w:after="283"/>
              <w:jc w:val="both"/>
              <w:rPr>
                <w:rFonts w:ascii="Arial" w:hAnsi="Arial"/>
                <w:b/>
                <w:caps/>
                <w:color w:val="1F497D"/>
                <w:sz w:val="24"/>
              </w:rPr>
            </w:pPr>
            <w:r>
              <w:rPr>
                <w:rFonts w:ascii="Arial" w:hAnsi="Arial"/>
                <w:b/>
                <w:caps/>
                <w:color w:val="1F497D"/>
                <w:sz w:val="24"/>
              </w:rPr>
              <w:t>PROPOSAL One – election of directors</w:t>
            </w:r>
          </w:p>
        </w:tc>
        <w:tc>
          <w:tcPr>
            <w:tcW w:w="146" w:type="dxa"/>
            <w:tcBorders/>
            <w:shd w:fill="DCDDDE" w:val="clear"/>
            <w:tcMar>
              <w:top w:w="0" w:type="dxa"/>
              <w:left w:w="0" w:type="dxa"/>
              <w:bottom w:w="0" w:type="dxa"/>
              <w:right w:w="0" w:type="dxa"/>
            </w:tcMar>
            <w:vAlign w:val="center"/>
          </w:tcPr>
          <w:p>
            <w:pPr>
              <w:pStyle w:val="TableContents"/>
              <w:bidi w:val="0"/>
              <w:spacing w:before="0" w:after="283"/>
              <w:jc w:val="both"/>
              <w:rPr/>
            </w:pPr>
            <w:r>
              <w:rPr/>
              <w:t> </w:t>
            </w:r>
          </w:p>
        </w:tc>
        <w:tc>
          <w:tcPr>
            <w:tcW w:w="191" w:type="dxa"/>
            <w:tcBorders/>
            <w:shd w:fill="DCDDDE"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161" w:type="dxa"/>
            <w:tcBorders/>
            <w:shd w:fill="DCDDDE"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DCDD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1" w:type="dxa"/>
            <w:tcBorders/>
            <w:shd w:fill="DCDDDE" w:val="clear"/>
            <w:tcMar>
              <w:top w:w="0" w:type="dxa"/>
              <w:left w:w="0" w:type="dxa"/>
              <w:bottom w:w="0" w:type="dxa"/>
              <w:right w:w="0" w:type="dxa"/>
            </w:tcMar>
            <w:vAlign w:val="center"/>
          </w:tcPr>
          <w:p>
            <w:pPr>
              <w:pStyle w:val="TableContents"/>
              <w:bidi w:val="0"/>
              <w:spacing w:before="240" w:after="120"/>
              <w:jc w:val="both"/>
              <w:rPr>
                <w:rFonts w:ascii="Times New Roman" w:hAnsi="Times New Roman"/>
                <w:sz w:val="20"/>
              </w:rPr>
            </w:pPr>
            <w:r>
              <w:rPr>
                <w:rFonts w:ascii="Arial" w:hAnsi="Arial"/>
                <w:b/>
                <w:color w:val="000000"/>
                <w:sz w:val="20"/>
              </w:rPr>
              <w:t>What Am I Voting On?</w:t>
            </w:r>
            <w:r>
              <w:rPr>
                <w:rFonts w:ascii="Times New Roman" w:hAnsi="Times New Roman"/>
                <w:color w:val="000000"/>
                <w:sz w:val="20"/>
              </w:rPr>
              <w:t> </w:t>
            </w:r>
            <w:r>
              <w:rPr>
                <w:rFonts w:ascii="Arial" w:hAnsi="Arial"/>
                <w:color w:val="000000"/>
                <w:sz w:val="20"/>
              </w:rPr>
              <w:t>Stockholders are being asked to elect each of the six director nominees named in this Proxy Statement to hold office until the annual meeting of stockholders in 2027 (the “2027 Annual Meeting”) and until his or her successor is elected and qualified.</w:t>
            </w:r>
          </w:p>
        </w:tc>
        <w:tc>
          <w:tcPr>
            <w:tcW w:w="146" w:type="dxa"/>
            <w:tcBorders/>
            <w:shd w:fill="DCDD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shd w:fill="DCDDDE"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161" w:type="dxa"/>
            <w:tcBorders/>
            <w:shd w:fill="DCDDDE"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DCDD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1" w:type="dxa"/>
            <w:tcBorders/>
            <w:shd w:fill="DCDDDE" w:val="clear"/>
            <w:tcMar>
              <w:top w:w="0" w:type="dxa"/>
              <w:left w:w="0" w:type="dxa"/>
              <w:bottom w:w="0" w:type="dxa"/>
              <w:right w:w="0" w:type="dxa"/>
            </w:tcMar>
            <w:vAlign w:val="center"/>
          </w:tcPr>
          <w:p>
            <w:pPr>
              <w:pStyle w:val="TableContents"/>
              <w:bidi w:val="0"/>
              <w:spacing w:before="0" w:after="120"/>
              <w:jc w:val="both"/>
              <w:rPr>
                <w:rFonts w:ascii="Times New Roman" w:hAnsi="Times New Roman"/>
                <w:sz w:val="20"/>
              </w:rPr>
            </w:pPr>
            <w:r>
              <w:rPr>
                <w:rFonts w:ascii="Arial" w:hAnsi="Arial"/>
                <w:b/>
                <w:color w:val="000000"/>
                <w:sz w:val="20"/>
              </w:rPr>
              <w:t>Voting Recommendation:</w:t>
            </w:r>
            <w:r>
              <w:rPr>
                <w:rFonts w:ascii="Times New Roman" w:hAnsi="Times New Roman"/>
                <w:color w:val="000000"/>
                <w:sz w:val="20"/>
              </w:rPr>
              <w:t xml:space="preserve"> </w:t>
            </w:r>
            <w:r>
              <w:rPr>
                <w:rFonts w:ascii="Arial" w:hAnsi="Arial"/>
                <w:color w:val="4F81BD"/>
                <w:sz w:val="20"/>
              </w:rPr>
              <w:t>FOR</w:t>
            </w:r>
            <w:r>
              <w:rPr>
                <w:rFonts w:ascii="Times New Roman" w:hAnsi="Times New Roman"/>
                <w:color w:val="FF883C"/>
                <w:sz w:val="20"/>
              </w:rPr>
              <w:t xml:space="preserve"> </w:t>
            </w:r>
            <w:r>
              <w:rPr>
                <w:rFonts w:ascii="Arial" w:hAnsi="Arial"/>
                <w:color w:val="000000"/>
                <w:sz w:val="20"/>
              </w:rPr>
              <w:t>the election of each of the six director nominees</w:t>
            </w:r>
          </w:p>
        </w:tc>
        <w:tc>
          <w:tcPr>
            <w:tcW w:w="146" w:type="dxa"/>
            <w:tcBorders/>
            <w:shd w:fill="DCDD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shd w:fill="DCDDDE"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161" w:type="dxa"/>
            <w:tcBorders/>
            <w:shd w:fill="DCDDDE"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DCDD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1" w:type="dxa"/>
            <w:tcBorders/>
            <w:shd w:fill="DCDDDE" w:val="clear"/>
            <w:tcMar>
              <w:top w:w="0" w:type="dxa"/>
              <w:left w:w="0" w:type="dxa"/>
              <w:bottom w:w="0" w:type="dxa"/>
              <w:right w:w="0" w:type="dxa"/>
            </w:tcMar>
            <w:vAlign w:val="center"/>
          </w:tcPr>
          <w:p>
            <w:pPr>
              <w:pStyle w:val="TableContents"/>
              <w:bidi w:val="0"/>
              <w:jc w:val="both"/>
              <w:rPr>
                <w:rFonts w:ascii="Times New Roman" w:hAnsi="Times New Roman"/>
                <w:sz w:val="20"/>
              </w:rPr>
            </w:pPr>
            <w:r>
              <w:rPr>
                <w:rFonts w:ascii="Arial" w:hAnsi="Arial"/>
                <w:b/>
                <w:color w:val="000000"/>
                <w:sz w:val="20"/>
              </w:rPr>
              <w:t>Vote Required:</w:t>
            </w:r>
            <w:r>
              <w:rPr>
                <w:rFonts w:ascii="Times New Roman" w:hAnsi="Times New Roman"/>
                <w:color w:val="000000"/>
                <w:sz w:val="20"/>
              </w:rPr>
              <w:t> </w:t>
            </w:r>
            <w:r>
              <w:rPr>
                <w:rFonts w:ascii="Arial" w:hAnsi="Arial"/>
                <w:color w:val="000000"/>
                <w:sz w:val="20"/>
              </w:rPr>
              <w:t>A director will be elected if that director nominee receives a majority of the votes cast</w:t>
            </w:r>
          </w:p>
          <w:p>
            <w:pPr>
              <w:pStyle w:val="TableContents"/>
              <w:bidi w:val="0"/>
              <w:jc w:val="both"/>
              <w:rPr/>
            </w:pPr>
            <w:r>
              <w:rPr/>
              <w:t> </w:t>
            </w:r>
          </w:p>
          <w:p>
            <w:pPr>
              <w:pStyle w:val="TableContents"/>
              <w:bidi w:val="0"/>
              <w:jc w:val="both"/>
              <w:rPr>
                <w:rFonts w:ascii="Times New Roman" w:hAnsi="Times New Roman"/>
                <w:sz w:val="20"/>
              </w:rPr>
            </w:pPr>
            <w:r>
              <w:rPr>
                <w:rFonts w:ascii="Arial" w:hAnsi="Arial"/>
                <w:b/>
                <w:color w:val="000000"/>
                <w:sz w:val="20"/>
              </w:rPr>
              <w:t>Broker Discretionary Voting Allowed?</w:t>
            </w:r>
            <w:r>
              <w:rPr>
                <w:rFonts w:ascii="Times New Roman" w:hAnsi="Times New Roman"/>
                <w:color w:val="000000"/>
                <w:sz w:val="20"/>
              </w:rPr>
              <w:t> </w:t>
            </w:r>
            <w:r>
              <w:rPr>
                <w:rFonts w:ascii="Arial" w:hAnsi="Arial"/>
                <w:color w:val="000000"/>
                <w:sz w:val="20"/>
              </w:rPr>
              <w:t>No – broker non-votes have no effect</w:t>
            </w:r>
          </w:p>
          <w:p>
            <w:pPr>
              <w:pStyle w:val="TableContents"/>
              <w:bidi w:val="0"/>
              <w:jc w:val="both"/>
              <w:rPr/>
            </w:pPr>
            <w:r>
              <w:rPr/>
              <w:t> </w:t>
            </w:r>
          </w:p>
          <w:p>
            <w:pPr>
              <w:pStyle w:val="TableContents"/>
              <w:bidi w:val="0"/>
              <w:spacing w:before="0" w:after="240"/>
              <w:jc w:val="both"/>
              <w:rPr>
                <w:rFonts w:ascii="Times New Roman" w:hAnsi="Times New Roman"/>
                <w:sz w:val="20"/>
              </w:rPr>
            </w:pPr>
            <w:r>
              <w:rPr>
                <w:rFonts w:ascii="Arial" w:hAnsi="Arial"/>
                <w:b/>
                <w:color w:val="000000"/>
                <w:sz w:val="20"/>
              </w:rPr>
              <w:t>Abstentions:</w:t>
            </w:r>
            <w:r>
              <w:rPr>
                <w:rFonts w:ascii="Times New Roman" w:hAnsi="Times New Roman"/>
                <w:color w:val="000000"/>
                <w:sz w:val="20"/>
              </w:rPr>
              <w:t> </w:t>
            </w:r>
            <w:r>
              <w:rPr>
                <w:rFonts w:ascii="Arial" w:hAnsi="Arial"/>
                <w:color w:val="000000"/>
                <w:sz w:val="20"/>
              </w:rPr>
              <w:t>No effect</w:t>
            </w:r>
            <w:r>
              <w:rPr>
                <w:rFonts w:ascii="Times New Roman" w:hAnsi="Times New Roman"/>
                <w:color w:val="000000"/>
                <w:sz w:val="20"/>
              </w:rPr>
              <w:t xml:space="preserve"> </w:t>
            </w:r>
          </w:p>
        </w:tc>
        <w:tc>
          <w:tcPr>
            <w:tcW w:w="146" w:type="dxa"/>
            <w:tcBorders/>
            <w:shd w:fill="DCDDDE" w:val="clear"/>
            <w:tcMar>
              <w:top w:w="0" w:type="dxa"/>
              <w:left w:w="0" w:type="dxa"/>
              <w:bottom w:w="0" w:type="dxa"/>
              <w:right w:w="0" w:type="dxa"/>
            </w:tcMar>
            <w:vAlign w:val="center"/>
          </w:tcPr>
          <w:p>
            <w:pPr>
              <w:pStyle w:val="TableContents"/>
              <w:bidi w:val="0"/>
              <w:spacing w:before="0" w:after="283"/>
              <w:jc w:val="both"/>
              <w:rPr/>
            </w:pPr>
            <w:r>
              <w:rPr/>
              <w:t> </w:t>
            </w:r>
          </w:p>
        </w:tc>
        <w:tc>
          <w:tcPr>
            <w:tcW w:w="191" w:type="dxa"/>
            <w:tcBorders/>
            <w:shd w:fill="DCDDDE" w:val="clear"/>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jc w:val="both"/>
        <w:rPr/>
      </w:pPr>
      <w:r>
        <w:rPr/>
        <w:t> </w:t>
      </w:r>
    </w:p>
    <w:p>
      <w:pPr>
        <w:pStyle w:val="TextBody"/>
        <w:bidi w:val="0"/>
        <w:jc w:val="both"/>
        <w:rPr>
          <w:rFonts w:ascii="Arial" w:hAnsi="Arial"/>
          <w:b/>
          <w:color w:val="002668"/>
          <w:sz w:val="28"/>
        </w:rPr>
      </w:pPr>
      <w:r>
        <w:rPr>
          <w:rFonts w:ascii="Arial" w:hAnsi="Arial"/>
          <w:b/>
          <w:color w:val="002668"/>
          <w:sz w:val="28"/>
        </w:rPr>
        <w:t>GOVERNANCE FRAMEWORK</w:t>
      </w:r>
    </w:p>
    <w:p>
      <w:pPr>
        <w:pStyle w:val="TextBody"/>
        <w:bidi w:val="0"/>
        <w:jc w:val="both"/>
        <w:rPr>
          <w:rFonts w:ascii="Arial" w:hAnsi="Arial"/>
          <w:color w:val="000000"/>
          <w:sz w:val="20"/>
        </w:rPr>
      </w:pPr>
      <w:r>
        <w:rPr>
          <w:rFonts w:ascii="Arial" w:hAnsi="Arial"/>
          <w:color w:val="000000"/>
          <w:sz w:val="20"/>
        </w:rPr>
        <w:t>Our business and affairs are managed under the direction of the Board, subject to limitations and other requirements in our charter documents or in applicable statutes, rules, and regulations, including those of the Securities and Exchange Commission (the "SEC") and the Nasdaq Stock Market (“Nasdaq”).</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Our governance framework supports independent oversight and accountability.</w:t>
      </w:r>
    </w:p>
    <w:tbl>
      <w:tblPr>
        <w:tblW w:w="10205" w:type="dxa"/>
        <w:jc w:val="left"/>
        <w:tblInd w:w="0" w:type="dxa"/>
        <w:tblLayout w:type="fixed"/>
        <w:tblCellMar>
          <w:top w:w="28" w:type="dxa"/>
          <w:left w:w="28" w:type="dxa"/>
          <w:bottom w:w="28" w:type="dxa"/>
          <w:right w:w="28" w:type="dxa"/>
        </w:tblCellMar>
      </w:tblPr>
      <w:tblGrid>
        <w:gridCol w:w="377"/>
        <w:gridCol w:w="5729"/>
        <w:gridCol w:w="146"/>
        <w:gridCol w:w="362"/>
        <w:gridCol w:w="3591"/>
      </w:tblGrid>
      <w:tr>
        <w:trPr/>
        <w:tc>
          <w:tcPr>
            <w:tcW w:w="377" w:type="dxa"/>
            <w:tcBorders/>
            <w:vAlign w:val="center"/>
          </w:tcPr>
          <w:p>
            <w:pPr>
              <w:pStyle w:val="TableContents"/>
              <w:bidi w:val="0"/>
              <w:spacing w:before="0" w:after="283"/>
              <w:jc w:val="left"/>
              <w:rPr>
                <w:sz w:val="4"/>
                <w:szCs w:val="4"/>
              </w:rPr>
            </w:pPr>
            <w:r>
              <w:rPr>
                <w:sz w:val="4"/>
                <w:szCs w:val="4"/>
              </w:rPr>
            </w:r>
          </w:p>
        </w:tc>
        <w:tc>
          <w:tcPr>
            <w:tcW w:w="57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591" w:type="dxa"/>
            <w:tcBorders/>
            <w:vAlign w:val="center"/>
          </w:tcPr>
          <w:p>
            <w:pPr>
              <w:pStyle w:val="TableContents"/>
              <w:bidi w:val="0"/>
              <w:spacing w:before="0" w:after="283"/>
              <w:jc w:val="left"/>
              <w:rPr>
                <w:sz w:val="4"/>
                <w:szCs w:val="4"/>
              </w:rPr>
            </w:pPr>
            <w:r>
              <w:rPr>
                <w:sz w:val="4"/>
                <w:szCs w:val="4"/>
              </w:rPr>
            </w:r>
          </w:p>
        </w:tc>
      </w:tr>
      <w:tr>
        <w:trPr/>
        <w:tc>
          <w:tcPr>
            <w:tcW w:w="3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9"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362" w:type="dxa"/>
            <w:tcBorders/>
            <w:tcMar>
              <w:top w:w="0" w:type="dxa"/>
              <w:left w:w="0" w:type="dxa"/>
              <w:bottom w:w="0" w:type="dxa"/>
              <w:right w:w="0" w:type="dxa"/>
            </w:tcMar>
            <w:vAlign w:val="center"/>
          </w:tcPr>
          <w:p>
            <w:pPr>
              <w:pStyle w:val="TableContents"/>
              <w:bidi w:val="0"/>
              <w:spacing w:before="0" w:after="283"/>
              <w:jc w:val="both"/>
              <w:rPr/>
            </w:pPr>
            <w:r>
              <w:rPr/>
              <w:t> </w:t>
            </w:r>
          </w:p>
        </w:tc>
        <w:tc>
          <w:tcPr>
            <w:tcW w:w="359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377" w:type="dxa"/>
            <w:tcBorders/>
            <w:shd w:fill="DCDDDE" w:val="clear"/>
            <w:tcMar>
              <w:top w:w="0" w:type="dxa"/>
              <w:left w:w="0" w:type="dxa"/>
              <w:bottom w:w="0" w:type="dxa"/>
              <w:right w:w="0" w:type="dxa"/>
            </w:tcMar>
            <w:vAlign w:val="center"/>
          </w:tcPr>
          <w:p>
            <w:pPr>
              <w:pStyle w:val="TableContents"/>
              <w:bidi w:val="0"/>
              <w:spacing w:before="0" w:after="283"/>
              <w:jc w:val="both"/>
              <w:rPr/>
            </w:pPr>
            <w:r>
              <w:rPr/>
              <w:t> </w:t>
            </w:r>
          </w:p>
        </w:tc>
        <w:tc>
          <w:tcPr>
            <w:tcW w:w="5729" w:type="dxa"/>
            <w:tcBorders/>
            <w:shd w:fill="DCDDDE" w:val="clear"/>
            <w:tcMar>
              <w:top w:w="0" w:type="dxa"/>
              <w:left w:w="0" w:type="dxa"/>
              <w:bottom w:w="0" w:type="dxa"/>
              <w:right w:w="0" w:type="dxa"/>
            </w:tcMar>
            <w:vAlign w:val="center"/>
          </w:tcPr>
          <w:p>
            <w:pPr>
              <w:pStyle w:val="TableContents"/>
              <w:bidi w:val="0"/>
              <w:spacing w:before="0" w:after="120"/>
              <w:jc w:val="both"/>
              <w:rPr>
                <w:rFonts w:ascii="Arial" w:hAnsi="Arial"/>
                <w:b/>
                <w:color w:val="002668"/>
                <w:sz w:val="20"/>
              </w:rPr>
            </w:pPr>
            <w:r>
              <w:rPr>
                <w:rFonts w:ascii="Arial" w:hAnsi="Arial"/>
                <w:b/>
                <w:color w:val="002668"/>
                <w:sz w:val="20"/>
              </w:rPr>
              <w:t>Independent Oversight</w:t>
            </w:r>
          </w:p>
        </w:tc>
        <w:tc>
          <w:tcPr>
            <w:tcW w:w="146" w:type="dxa"/>
            <w:tcBorders/>
            <w:tcMar>
              <w:top w:w="0" w:type="dxa"/>
              <w:left w:w="0" w:type="dxa"/>
              <w:bottom w:w="0" w:type="dxa"/>
              <w:right w:w="0" w:type="dxa"/>
            </w:tcMar>
            <w:vAlign w:val="center"/>
          </w:tcPr>
          <w:p>
            <w:pPr>
              <w:pStyle w:val="TableContents"/>
              <w:bidi w:val="0"/>
              <w:spacing w:before="0" w:after="120"/>
              <w:jc w:val="both"/>
              <w:rPr/>
            </w:pPr>
            <w:r>
              <w:rPr/>
              <w:t> </w:t>
            </w:r>
          </w:p>
        </w:tc>
        <w:tc>
          <w:tcPr>
            <w:tcW w:w="362" w:type="dxa"/>
            <w:tcBorders/>
            <w:shd w:fill="DCDDDE" w:val="clear"/>
            <w:tcMar>
              <w:top w:w="0" w:type="dxa"/>
              <w:left w:w="0" w:type="dxa"/>
              <w:bottom w:w="0" w:type="dxa"/>
              <w:right w:w="0" w:type="dxa"/>
            </w:tcMar>
            <w:vAlign w:val="center"/>
          </w:tcPr>
          <w:p>
            <w:pPr>
              <w:pStyle w:val="TableContents"/>
              <w:bidi w:val="0"/>
              <w:spacing w:before="0" w:after="120"/>
              <w:jc w:val="both"/>
              <w:rPr/>
            </w:pPr>
            <w:r>
              <w:rPr/>
              <w:t> </w:t>
            </w:r>
          </w:p>
        </w:tc>
        <w:tc>
          <w:tcPr>
            <w:tcW w:w="3591" w:type="dxa"/>
            <w:tcBorders/>
            <w:shd w:fill="DCDDDE" w:val="clear"/>
            <w:tcMar>
              <w:top w:w="0" w:type="dxa"/>
              <w:left w:w="0" w:type="dxa"/>
              <w:bottom w:w="0" w:type="dxa"/>
              <w:right w:w="0" w:type="dxa"/>
            </w:tcMar>
            <w:vAlign w:val="center"/>
          </w:tcPr>
          <w:p>
            <w:pPr>
              <w:pStyle w:val="TableContents"/>
              <w:bidi w:val="0"/>
              <w:spacing w:before="0" w:after="120"/>
              <w:jc w:val="both"/>
              <w:rPr>
                <w:rFonts w:ascii="Arial" w:hAnsi="Arial"/>
                <w:b/>
                <w:color w:val="002668"/>
                <w:sz w:val="20"/>
              </w:rPr>
            </w:pPr>
            <w:r>
              <w:rPr>
                <w:rFonts w:ascii="Arial" w:hAnsi="Arial"/>
                <w:b/>
                <w:color w:val="002668"/>
                <w:sz w:val="20"/>
              </w:rPr>
              <w:t>Accountability</w:t>
            </w:r>
          </w:p>
        </w:tc>
      </w:tr>
      <w:tr>
        <w:trPr/>
        <w:tc>
          <w:tcPr>
            <w:tcW w:w="377" w:type="dxa"/>
            <w:tcBorders/>
            <w:shd w:fill="DCDDDE" w:val="clear"/>
            <w:tcMar>
              <w:top w:w="0" w:type="dxa"/>
              <w:left w:w="0" w:type="dxa"/>
              <w:bottom w:w="0" w:type="dxa"/>
              <w:right w:w="0" w:type="dxa"/>
            </w:tcMar>
            <w:vAlign w:val="center"/>
          </w:tcPr>
          <w:p>
            <w:pPr>
              <w:pStyle w:val="TableContents"/>
              <w:bidi w:val="0"/>
              <w:spacing w:before="0" w:after="283"/>
              <w:ind w:left="0" w:right="0" w:firstLine="216"/>
              <w:jc w:val="both"/>
              <w:rPr/>
            </w:pPr>
            <w:r>
              <w:rPr/>
              <w:t> </w:t>
            </w:r>
          </w:p>
        </w:tc>
        <w:tc>
          <w:tcPr>
            <w:tcW w:w="5729" w:type="dxa"/>
            <w:tcBorders/>
            <w:shd w:fill="DCDDDE" w:val="clear"/>
            <w:tcMar>
              <w:top w:w="0" w:type="dxa"/>
              <w:left w:w="0" w:type="dxa"/>
              <w:bottom w:w="0" w:type="dxa"/>
              <w:right w:w="0" w:type="dxa"/>
            </w:tcMar>
            <w:vAlign w:val="center"/>
          </w:tcPr>
          <w:p>
            <w:pPr>
              <w:pStyle w:val="TableContents"/>
              <w:bidi w:val="0"/>
              <w:spacing w:before="0" w:after="120"/>
              <w:ind w:left="0" w:right="0" w:firstLine="216"/>
              <w:jc w:val="both"/>
              <w:rPr>
                <w:rFonts w:ascii="Times New Roman" w:hAnsi="Times New Roman"/>
                <w:sz w:val="18"/>
              </w:rPr>
            </w:pPr>
            <w:r>
              <w:rPr>
                <w:rFonts w:ascii="Arial" w:hAnsi="Arial"/>
                <w:color w:val="1F497D"/>
                <w:sz w:val="18"/>
              </w:rPr>
              <w:t xml:space="preserve"> </w:t>
            </w:r>
            <w:r>
              <w:rPr>
                <w:rFonts w:ascii="Times New Roman" w:hAnsi="Times New Roman"/>
                <w:color w:val="000000"/>
                <w:sz w:val="18"/>
              </w:rPr>
              <w:t> </w:t>
            </w:r>
            <w:r>
              <w:rPr>
                <w:rFonts w:ascii="Arial" w:hAnsi="Arial"/>
                <w:color w:val="000000"/>
                <w:sz w:val="18"/>
              </w:rPr>
              <w:t>5 of 6 director nominees are independent</w:t>
            </w:r>
          </w:p>
          <w:p>
            <w:pPr>
              <w:pStyle w:val="TableContents"/>
              <w:bidi w:val="0"/>
              <w:spacing w:before="0" w:after="120"/>
              <w:ind w:left="0" w:right="0" w:firstLine="216"/>
              <w:jc w:val="left"/>
              <w:rPr>
                <w:rFonts w:ascii="Times New Roman" w:hAnsi="Times New Roman"/>
                <w:sz w:val="18"/>
              </w:rPr>
            </w:pPr>
            <w:r>
              <w:rPr>
                <w:rFonts w:ascii="Arial" w:hAnsi="Arial"/>
                <w:color w:val="1F497D"/>
                <w:sz w:val="18"/>
              </w:rPr>
              <w:t xml:space="preserve"> </w:t>
            </w:r>
            <w:r>
              <w:rPr>
                <w:rFonts w:ascii="Arial" w:hAnsi="Arial"/>
                <w:color w:val="000000"/>
                <w:sz w:val="18"/>
              </w:rPr>
              <w:t>Non-Executive Chairman</w:t>
            </w:r>
          </w:p>
          <w:p>
            <w:pPr>
              <w:pStyle w:val="TableContents"/>
              <w:bidi w:val="0"/>
              <w:spacing w:before="0" w:after="120"/>
              <w:ind w:left="0" w:right="0" w:firstLine="216"/>
              <w:jc w:val="both"/>
              <w:rPr>
                <w:rFonts w:ascii="Times New Roman" w:hAnsi="Times New Roman"/>
                <w:sz w:val="18"/>
              </w:rPr>
            </w:pPr>
            <w:r>
              <w:rPr>
                <w:rFonts w:ascii="Arial" w:hAnsi="Arial"/>
                <w:color w:val="1F497D"/>
                <w:sz w:val="18"/>
              </w:rPr>
              <w:t xml:space="preserve"> </w:t>
            </w:r>
            <w:r>
              <w:rPr>
                <w:rFonts w:ascii="Arial" w:hAnsi="Arial"/>
                <w:color w:val="000000"/>
                <w:sz w:val="18"/>
              </w:rPr>
              <w:t>All independent committees</w:t>
            </w:r>
            <w:r>
              <w:rPr>
                <w:rFonts w:ascii="Times New Roman" w:hAnsi="Times New Roman"/>
                <w:color w:val="000000"/>
                <w:sz w:val="18"/>
              </w:rPr>
              <w:t xml:space="preserve"> </w:t>
            </w:r>
          </w:p>
          <w:p>
            <w:pPr>
              <w:pStyle w:val="TableContents"/>
              <w:bidi w:val="0"/>
              <w:spacing w:before="0" w:after="120"/>
              <w:ind w:left="0" w:right="0" w:firstLine="216"/>
              <w:jc w:val="both"/>
              <w:rPr>
                <w:rFonts w:ascii="Times New Roman" w:hAnsi="Times New Roman"/>
                <w:sz w:val="18"/>
              </w:rPr>
            </w:pPr>
            <w:r>
              <w:rPr>
                <w:rFonts w:ascii="Arial" w:hAnsi="Arial"/>
                <w:color w:val="1F497D"/>
                <w:sz w:val="18"/>
              </w:rPr>
              <w:t xml:space="preserve"> </w:t>
            </w:r>
            <w:r>
              <w:rPr>
                <w:rFonts w:ascii="Arial" w:hAnsi="Arial"/>
                <w:color w:val="000000"/>
                <w:sz w:val="18"/>
              </w:rPr>
              <w:t>Two-thirds of our director nominees have joined the Board since 2018</w:t>
            </w:r>
          </w:p>
        </w:tc>
        <w:tc>
          <w:tcPr>
            <w:tcW w:w="146" w:type="dxa"/>
            <w:tcBorders/>
            <w:tcMar>
              <w:top w:w="0" w:type="dxa"/>
              <w:left w:w="0" w:type="dxa"/>
              <w:bottom w:w="0" w:type="dxa"/>
              <w:right w:w="0" w:type="dxa"/>
            </w:tcMar>
            <w:vAlign w:val="center"/>
          </w:tcPr>
          <w:p>
            <w:pPr>
              <w:pStyle w:val="TableContents"/>
              <w:bidi w:val="0"/>
              <w:spacing w:before="0" w:after="120"/>
              <w:jc w:val="both"/>
              <w:rPr/>
            </w:pPr>
            <w:r>
              <w:rPr/>
              <w:t> </w:t>
            </w:r>
          </w:p>
        </w:tc>
        <w:tc>
          <w:tcPr>
            <w:tcW w:w="362" w:type="dxa"/>
            <w:tcBorders/>
            <w:shd w:fill="DCDDDE" w:val="clear"/>
            <w:tcMar>
              <w:top w:w="0" w:type="dxa"/>
              <w:left w:w="0" w:type="dxa"/>
              <w:bottom w:w="0" w:type="dxa"/>
              <w:right w:w="0" w:type="dxa"/>
            </w:tcMar>
            <w:vAlign w:val="center"/>
          </w:tcPr>
          <w:p>
            <w:pPr>
              <w:pStyle w:val="TableContents"/>
              <w:bidi w:val="0"/>
              <w:spacing w:before="0" w:after="120"/>
              <w:ind w:left="0" w:right="0" w:firstLine="216"/>
              <w:jc w:val="both"/>
              <w:rPr/>
            </w:pPr>
            <w:r>
              <w:rPr/>
              <w:t> </w:t>
            </w:r>
          </w:p>
        </w:tc>
        <w:tc>
          <w:tcPr>
            <w:tcW w:w="3591" w:type="dxa"/>
            <w:tcBorders/>
            <w:shd w:fill="DCDDDE" w:val="clear"/>
            <w:tcMar>
              <w:top w:w="0" w:type="dxa"/>
              <w:left w:w="0" w:type="dxa"/>
              <w:bottom w:w="0" w:type="dxa"/>
              <w:right w:w="0" w:type="dxa"/>
            </w:tcMar>
            <w:vAlign w:val="center"/>
          </w:tcPr>
          <w:p>
            <w:pPr>
              <w:pStyle w:val="TableContents"/>
              <w:bidi w:val="0"/>
              <w:spacing w:before="0" w:after="120"/>
              <w:ind w:left="0" w:right="0" w:firstLine="216"/>
              <w:jc w:val="both"/>
              <w:rPr>
                <w:rFonts w:ascii="Times New Roman" w:hAnsi="Times New Roman"/>
                <w:sz w:val="18"/>
              </w:rPr>
            </w:pPr>
            <w:r>
              <w:rPr>
                <w:rFonts w:ascii="Arial" w:hAnsi="Arial"/>
                <w:color w:val="1F497D"/>
                <w:sz w:val="18"/>
              </w:rPr>
              <w:t xml:space="preserve"> </w:t>
            </w:r>
            <w:r>
              <w:rPr>
                <w:rFonts w:ascii="Arial" w:hAnsi="Arial"/>
                <w:color w:val="000000"/>
                <w:sz w:val="18"/>
              </w:rPr>
              <w:t>Majority voting in uncontested elections</w:t>
            </w:r>
          </w:p>
          <w:p>
            <w:pPr>
              <w:pStyle w:val="TableContents"/>
              <w:bidi w:val="0"/>
              <w:spacing w:before="0" w:after="120"/>
              <w:ind w:left="0" w:right="0" w:firstLine="216"/>
              <w:jc w:val="both"/>
              <w:rPr>
                <w:rFonts w:ascii="Times New Roman" w:hAnsi="Times New Roman"/>
                <w:sz w:val="18"/>
              </w:rPr>
            </w:pPr>
            <w:r>
              <w:rPr>
                <w:rFonts w:ascii="Arial" w:hAnsi="Arial"/>
                <w:color w:val="1F497D"/>
                <w:sz w:val="18"/>
              </w:rPr>
              <w:t xml:space="preserve"> </w:t>
            </w:r>
            <w:r>
              <w:rPr>
                <w:rFonts w:ascii="Arial" w:hAnsi="Arial"/>
                <w:color w:val="000000"/>
                <w:sz w:val="18"/>
              </w:rPr>
              <w:t>Annual election of directors</w:t>
            </w:r>
          </w:p>
          <w:p>
            <w:pPr>
              <w:pStyle w:val="TableContents"/>
              <w:bidi w:val="0"/>
              <w:spacing w:before="0" w:after="120"/>
              <w:ind w:left="0" w:right="0" w:firstLine="216"/>
              <w:jc w:val="both"/>
              <w:rPr>
                <w:rFonts w:ascii="Times New Roman" w:hAnsi="Times New Roman"/>
                <w:sz w:val="18"/>
              </w:rPr>
            </w:pPr>
            <w:r>
              <w:rPr>
                <w:rFonts w:ascii="Arial" w:hAnsi="Arial"/>
                <w:color w:val="1F497D"/>
                <w:sz w:val="18"/>
              </w:rPr>
              <w:t xml:space="preserve"> </w:t>
            </w:r>
            <w:r>
              <w:rPr>
                <w:rFonts w:ascii="Arial" w:hAnsi="Arial"/>
                <w:color w:val="000000"/>
                <w:sz w:val="18"/>
              </w:rPr>
              <w:t>Annual advisory say-on-pay vote</w:t>
            </w:r>
          </w:p>
          <w:p>
            <w:pPr>
              <w:pStyle w:val="TableContents"/>
              <w:bidi w:val="0"/>
              <w:spacing w:before="0" w:after="120"/>
              <w:ind w:left="0" w:right="0" w:firstLine="216"/>
              <w:jc w:val="both"/>
              <w:rPr>
                <w:rFonts w:ascii="Times New Roman" w:hAnsi="Times New Roman"/>
                <w:sz w:val="18"/>
              </w:rPr>
            </w:pPr>
            <w:r>
              <w:rPr>
                <w:rFonts w:ascii="Arial" w:hAnsi="Arial"/>
                <w:color w:val="1F497D"/>
                <w:sz w:val="18"/>
              </w:rPr>
              <w:t xml:space="preserve"> </w:t>
            </w:r>
            <w:r>
              <w:rPr>
                <w:rFonts w:ascii="Arial" w:hAnsi="Arial"/>
                <w:color w:val="000000"/>
                <w:sz w:val="18"/>
              </w:rPr>
              <w:t>Robust over-boarding policy</w:t>
            </w:r>
          </w:p>
          <w:p>
            <w:pPr>
              <w:pStyle w:val="TableContents"/>
              <w:bidi w:val="0"/>
              <w:spacing w:before="0" w:after="120"/>
              <w:ind w:left="0" w:right="0" w:firstLine="216"/>
              <w:jc w:val="both"/>
              <w:rPr>
                <w:rFonts w:ascii="Times New Roman" w:hAnsi="Times New Roman"/>
                <w:sz w:val="18"/>
              </w:rPr>
            </w:pPr>
            <w:r>
              <w:rPr>
                <w:rFonts w:ascii="Arial" w:hAnsi="Arial"/>
                <w:color w:val="1F497D"/>
                <w:sz w:val="18"/>
              </w:rPr>
              <w:t xml:space="preserve"> </w:t>
            </w:r>
            <w:r>
              <w:rPr>
                <w:rFonts w:ascii="Arial" w:hAnsi="Arial"/>
                <w:color w:val="000000"/>
                <w:sz w:val="18"/>
              </w:rPr>
              <w:t>Stockholder right to call special meetings</w:t>
            </w:r>
          </w:p>
          <w:p>
            <w:pPr>
              <w:pStyle w:val="TableContents"/>
              <w:bidi w:val="0"/>
              <w:spacing w:before="0" w:after="120"/>
              <w:ind w:left="0" w:right="0" w:firstLine="216"/>
              <w:jc w:val="both"/>
              <w:rPr>
                <w:rFonts w:ascii="Times New Roman" w:hAnsi="Times New Roman"/>
                <w:sz w:val="18"/>
              </w:rPr>
            </w:pPr>
            <w:r>
              <w:rPr>
                <w:rFonts w:ascii="Arial" w:hAnsi="Arial"/>
                <w:color w:val="1F497D"/>
                <w:sz w:val="18"/>
              </w:rPr>
              <w:t xml:space="preserve"> </w:t>
            </w:r>
            <w:r>
              <w:rPr>
                <w:rFonts w:ascii="Arial" w:hAnsi="Arial"/>
                <w:color w:val="000000"/>
                <w:sz w:val="18"/>
              </w:rPr>
              <w:t>Proxy access right</w:t>
            </w:r>
          </w:p>
        </w:tc>
      </w:tr>
    </w:tbl>
    <w:p>
      <w:pPr>
        <w:pStyle w:val="TextBody"/>
        <w:bidi w:val="0"/>
        <w:spacing w:before="40" w:after="283"/>
        <w:jc w:val="both"/>
        <w:rPr/>
      </w:pPr>
      <w:r>
        <w:rPr/>
        <w:t> </w:t>
      </w:r>
    </w:p>
    <w:p>
      <w:pPr>
        <w:pStyle w:val="TextBody"/>
        <w:bidi w:val="0"/>
        <w:jc w:val="both"/>
        <w:rPr>
          <w:rFonts w:ascii="Arial" w:hAnsi="Arial"/>
          <w:color w:val="000000"/>
          <w:sz w:val="20"/>
        </w:rPr>
      </w:pPr>
      <w:r>
        <w:rPr>
          <w:rFonts w:ascii="Arial" w:hAnsi="Arial"/>
          <w:color w:val="000000"/>
          <w:sz w:val="20"/>
        </w:rPr>
        <w:t>Our governance framework is based on our Amended and Restated Bylaws (our “Bylaws”), as well as the key governance documents listed below:</w:t>
      </w:r>
    </w:p>
    <w:p>
      <w:pPr>
        <w:pStyle w:val="TextBody"/>
        <w:bidi w:val="0"/>
        <w:jc w:val="both"/>
        <w:rPr/>
      </w:pPr>
      <w:r>
        <w:rPr/>
        <w:t> </w:t>
      </w:r>
    </w:p>
    <w:p>
      <w:pPr>
        <w:pStyle w:val="TextBody"/>
        <w:bidi w:val="0"/>
        <w:spacing w:before="0" w:after="120"/>
        <w:jc w:val="both"/>
        <w:rPr>
          <w:color w:val="1F497D"/>
        </w:rPr>
      </w:pPr>
      <w:r>
        <w:rPr>
          <w:color w:val="1F497D"/>
        </w:rPr>
        <w:t>•</w:t>
      </w:r>
    </w:p>
    <w:p>
      <w:pPr>
        <w:pStyle w:val="TextBody"/>
        <w:bidi w:val="0"/>
        <w:spacing w:before="0" w:after="120"/>
        <w:jc w:val="both"/>
        <w:rPr>
          <w:rFonts w:ascii="Arial" w:hAnsi="Arial"/>
          <w:color w:val="000000"/>
          <w:sz w:val="20"/>
        </w:rPr>
      </w:pPr>
      <w:r>
        <w:rPr>
          <w:rFonts w:ascii="Arial" w:hAnsi="Arial"/>
          <w:color w:val="000000"/>
          <w:sz w:val="20"/>
        </w:rPr>
        <w:t>Code of Conduct and Ethics</w:t>
      </w:r>
    </w:p>
    <w:p>
      <w:pPr>
        <w:pStyle w:val="TextBody"/>
        <w:bidi w:val="0"/>
        <w:spacing w:before="0" w:after="120"/>
        <w:jc w:val="both"/>
        <w:rPr>
          <w:color w:val="1F497D"/>
        </w:rPr>
      </w:pPr>
      <w:r>
        <w:rPr>
          <w:color w:val="1F497D"/>
        </w:rPr>
        <w:t>•</w:t>
      </w:r>
    </w:p>
    <w:p>
      <w:pPr>
        <w:pStyle w:val="TextBody"/>
        <w:bidi w:val="0"/>
        <w:spacing w:before="0" w:after="120"/>
        <w:jc w:val="both"/>
        <w:rPr>
          <w:rFonts w:ascii="Arial" w:hAnsi="Arial"/>
          <w:color w:val="000000"/>
          <w:sz w:val="20"/>
        </w:rPr>
      </w:pPr>
      <w:r>
        <w:rPr>
          <w:rFonts w:ascii="Arial" w:hAnsi="Arial"/>
          <w:color w:val="000000"/>
          <w:sz w:val="20"/>
        </w:rPr>
        <w:t>Code of Ethics for CEO and Senior Financial Officers</w:t>
      </w:r>
    </w:p>
    <w:p>
      <w:pPr>
        <w:pStyle w:val="TextBody"/>
        <w:bidi w:val="0"/>
        <w:spacing w:before="0" w:after="120"/>
        <w:jc w:val="both"/>
        <w:rPr>
          <w:color w:val="1F497D"/>
        </w:rPr>
      </w:pPr>
      <w:r>
        <w:rPr>
          <w:color w:val="1F497D"/>
        </w:rPr>
        <w:t>•</w:t>
      </w:r>
    </w:p>
    <w:p>
      <w:pPr>
        <w:pStyle w:val="TextBody"/>
        <w:bidi w:val="0"/>
        <w:spacing w:before="0" w:after="120"/>
        <w:jc w:val="both"/>
        <w:rPr>
          <w:rFonts w:ascii="Arial" w:hAnsi="Arial"/>
          <w:color w:val="000000"/>
          <w:sz w:val="20"/>
        </w:rPr>
      </w:pPr>
      <w:r>
        <w:rPr>
          <w:rFonts w:ascii="Arial" w:hAnsi="Arial"/>
          <w:color w:val="000000"/>
          <w:sz w:val="20"/>
        </w:rPr>
        <w:t>Corporate Governance Guidelines (the “Guidelines”)</w:t>
      </w:r>
    </w:p>
    <w:p>
      <w:pPr>
        <w:pStyle w:val="TextBody"/>
        <w:bidi w:val="0"/>
        <w:spacing w:before="0" w:after="240"/>
        <w:jc w:val="both"/>
        <w:rPr>
          <w:color w:val="1F497D"/>
        </w:rPr>
      </w:pPr>
      <w:r>
        <w:rPr>
          <w:color w:val="1F497D"/>
        </w:rPr>
        <w:t>•</w:t>
      </w:r>
    </w:p>
    <w:p>
      <w:pPr>
        <w:pStyle w:val="TextBody"/>
        <w:bidi w:val="0"/>
        <w:spacing w:before="0" w:after="240"/>
        <w:jc w:val="both"/>
        <w:rPr>
          <w:rFonts w:ascii="Arial" w:hAnsi="Arial"/>
          <w:color w:val="000000"/>
          <w:sz w:val="20"/>
        </w:rPr>
      </w:pPr>
      <w:r>
        <w:rPr>
          <w:rFonts w:ascii="Arial" w:hAnsi="Arial"/>
          <w:color w:val="000000"/>
          <w:sz w:val="20"/>
        </w:rPr>
        <w:t>Charters of the Audit Committee, the Compensation Committee, and the Nominations and Corporate Governance Committee (the “NCG Committee”)</w:t>
      </w:r>
    </w:p>
    <w:p>
      <w:pPr>
        <w:pStyle w:val="TextBody"/>
        <w:bidi w:val="0"/>
        <w:jc w:val="both"/>
        <w:rPr>
          <w:rFonts w:ascii="Times New Roman" w:hAnsi="Times New Roman"/>
          <w:sz w:val="20"/>
        </w:rPr>
      </w:pPr>
      <w:r>
        <w:rPr>
          <w:rFonts w:ascii="Arial" w:hAnsi="Arial"/>
          <w:color w:val="000000"/>
          <w:sz w:val="20"/>
        </w:rPr>
        <w:t xml:space="preserve">Copies of these documents are available on our website, </w:t>
      </w:r>
      <w:r>
        <w:rPr>
          <w:rFonts w:ascii="Arial" w:hAnsi="Arial"/>
          <w:i/>
          <w:sz w:val="20"/>
        </w:rPr>
        <w:t>www.smith-wesson.com</w:t>
      </w:r>
      <w:r>
        <w:rPr>
          <w:rFonts w:ascii="Arial" w:hAnsi="Arial"/>
          <w:color w:val="000000"/>
          <w:sz w:val="20"/>
        </w:rPr>
        <w:t>, or upon written request sent to our Secretary at our principal executive offices located at 1852 Proffitt Springs Road, Maryville, Tennessee 37801. The information on our website is not part of this Proxy Statement.</w:t>
      </w:r>
      <w:r>
        <w:rPr>
          <w:rFonts w:ascii="Times New Roman" w:hAnsi="Times New Roman"/>
          <w:color w:val="000000"/>
          <w:sz w:val="20"/>
        </w:rPr>
        <w:t xml:space="preserve"> </w:t>
      </w:r>
    </w:p>
    <w:p>
      <w:pPr>
        <w:pStyle w:val="TextBody"/>
        <w:bidi w:val="0"/>
        <w:jc w:val="both"/>
        <w:rPr/>
      </w:pPr>
      <w:r>
        <w:rPr/>
        <w:t> </w:t>
      </w:r>
    </w:p>
    <w:p>
      <w:pPr>
        <w:pStyle w:val="TextBody"/>
        <w:bidi w:val="0"/>
        <w:jc w:val="both"/>
        <w:rPr/>
      </w:pPr>
      <w:r>
        <w:rPr/>
        <w:t> </w:t>
      </w:r>
    </w:p>
    <w:p>
      <w:pPr>
        <w:pStyle w:val="TextBody"/>
        <w:bidi w:val="0"/>
        <w:jc w:val="left"/>
        <w:rPr/>
      </w:pPr>
      <w:r>
        <w:rPr/>
        <w:t> </w:t>
      </w:r>
    </w:p>
    <w:tbl>
      <w:tblPr>
        <w:tblW w:w="3597" w:type="dxa"/>
        <w:jc w:val="left"/>
        <w:tblInd w:w="0" w:type="dxa"/>
        <w:tblLayout w:type="fixed"/>
        <w:tblCellMar>
          <w:top w:w="28" w:type="dxa"/>
          <w:left w:w="28" w:type="dxa"/>
          <w:bottom w:w="28" w:type="dxa"/>
          <w:right w:w="28" w:type="dxa"/>
        </w:tblCellMar>
      </w:tblPr>
      <w:tblGrid>
        <w:gridCol w:w="1406"/>
        <w:gridCol w:w="2191"/>
      </w:tblGrid>
      <w:tr>
        <w:trPr/>
        <w:tc>
          <w:tcPr>
            <w:tcW w:w="1406"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jc w:val="left"/>
              <w:rPr>
                <w:sz w:val="4"/>
                <w:szCs w:val="4"/>
              </w:rPr>
            </w:pPr>
            <w:r>
              <w:rPr>
                <w:sz w:val="4"/>
                <w:szCs w:val="4"/>
              </w:rPr>
            </w:r>
          </w:p>
        </w:tc>
      </w:tr>
      <w:tr>
        <w:trPr/>
        <w:tc>
          <w:tcPr>
            <w:tcW w:w="140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828675" cy="1905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828675" cy="190500"/>
                          </a:xfrm>
                          <a:prstGeom prst="rect">
                            <a:avLst/>
                          </a:prstGeom>
                        </pic:spPr>
                      </pic:pic>
                    </a:graphicData>
                  </a:graphic>
                </wp:inline>
              </w:drawing>
            </w:r>
          </w:p>
        </w:tc>
        <w:tc>
          <w:tcPr>
            <w:tcW w:w="2191" w:type="dxa"/>
            <w:tcBorders/>
            <w:tcMar>
              <w:top w:w="0" w:type="dxa"/>
              <w:left w:w="0" w:type="dxa"/>
              <w:bottom w:w="0" w:type="dxa"/>
              <w:right w:w="0" w:type="dxa"/>
            </w:tcMar>
            <w:vAlign w:val="center"/>
          </w:tcPr>
          <w:p>
            <w:pPr>
              <w:pStyle w:val="TableContents"/>
              <w:bidi w:val="0"/>
              <w:spacing w:before="0" w:after="283"/>
              <w:jc w:val="right"/>
              <w:rPr>
                <w:rFonts w:ascii="Arial" w:hAnsi="Arial"/>
                <w:color w:val="091F2C"/>
                <w:sz w:val="18"/>
              </w:rPr>
            </w:pPr>
            <w:r>
              <w:rPr>
                <w:rFonts w:ascii="Arial" w:hAnsi="Arial"/>
                <w:color w:val="091F2C"/>
                <w:sz w:val="18"/>
              </w:rPr>
              <w:t>2026 Proxy Statement I 3</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3027" w:type="dxa"/>
        <w:jc w:val="left"/>
        <w:tblInd w:w="0" w:type="dxa"/>
        <w:tblLayout w:type="fixed"/>
        <w:tblCellMar>
          <w:top w:w="28" w:type="dxa"/>
          <w:left w:w="28" w:type="dxa"/>
          <w:bottom w:w="28" w:type="dxa"/>
          <w:right w:w="28" w:type="dxa"/>
        </w:tblCellMar>
      </w:tblPr>
      <w:tblGrid>
        <w:gridCol w:w="2836"/>
        <w:gridCol w:w="191"/>
      </w:tblGrid>
      <w:tr>
        <w:trPr/>
        <w:tc>
          <w:tcPr>
            <w:tcW w:w="28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36" w:type="dxa"/>
            <w:tcBorders/>
            <w:tcMar>
              <w:top w:w="0" w:type="dxa"/>
              <w:left w:w="0" w:type="dxa"/>
              <w:bottom w:w="0" w:type="dxa"/>
              <w:right w:w="0" w:type="dxa"/>
            </w:tcMar>
            <w:vAlign w:val="center"/>
          </w:tcPr>
          <w:p>
            <w:pPr>
              <w:pStyle w:val="TableContents"/>
              <w:bidi w:val="0"/>
              <w:spacing w:before="0" w:after="283"/>
              <w:jc w:val="left"/>
              <w:rPr>
                <w:rFonts w:ascii="Arial" w:hAnsi="Arial"/>
                <w:color w:val="002668"/>
                <w:sz w:val="20"/>
              </w:rPr>
            </w:pPr>
            <w:r>
              <w:rPr>
                <w:rFonts w:ascii="Arial" w:hAnsi="Arial"/>
                <w:color w:val="002668"/>
                <w:sz w:val="20"/>
              </w:rPr>
              <w:t>Board and Governance Matters</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836" w:type="dxa"/>
            <w:tcBorders>
              <w:bottom w:val="single" w:sz="8" w:space="0" w:color="002668"/>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Arial" w:hAnsi="Arial"/>
          <w:b/>
          <w:color w:val="002668"/>
          <w:sz w:val="28"/>
        </w:rPr>
      </w:pPr>
      <w:r>
        <w:rPr>
          <w:rFonts w:ascii="Arial" w:hAnsi="Arial"/>
          <w:b/>
          <w:color w:val="002668"/>
          <w:sz w:val="28"/>
        </w:rPr>
        <w:t>BOARD COMPOSITION</w:t>
      </w:r>
    </w:p>
    <w:p>
      <w:pPr>
        <w:pStyle w:val="TextBody"/>
        <w:bidi w:val="0"/>
        <w:spacing w:before="120" w:after="283"/>
        <w:jc w:val="both"/>
        <w:rPr>
          <w:rFonts w:ascii="Times New Roman" w:hAnsi="Times New Roman"/>
          <w:sz w:val="20"/>
        </w:rPr>
      </w:pPr>
      <w:r>
        <w:rPr>
          <w:rFonts w:ascii="Arial" w:hAnsi="Arial"/>
          <w:color w:val="002668"/>
          <w:sz w:val="24"/>
          <w:u w:val="single"/>
        </w:rPr>
        <w:t>Director Skills and Qualifications</w:t>
      </w:r>
      <w:r>
        <w:rPr>
          <w:rFonts w:ascii="Times New Roman" w:hAnsi="Times New Roman"/>
          <w:color w:val="002668"/>
          <w:sz w:val="20"/>
        </w:rPr>
        <w:t xml:space="preserve"> </w:t>
      </w:r>
    </w:p>
    <w:p>
      <w:pPr>
        <w:pStyle w:val="TextBody"/>
        <w:bidi w:val="0"/>
        <w:jc w:val="both"/>
        <w:rPr>
          <w:rFonts w:ascii="Arial" w:hAnsi="Arial"/>
          <w:color w:val="000000"/>
          <w:sz w:val="20"/>
        </w:rPr>
      </w:pPr>
      <w:r>
        <w:rPr>
          <w:rFonts w:ascii="Arial" w:hAnsi="Arial"/>
          <w:color w:val="000000"/>
          <w:sz w:val="20"/>
        </w:rPr>
        <w:t>The NCG Committee, using a matrix of director skills and experiences that the Board believes are needed to address existing and emerging business and governance issues relevant to us (the “Skills Matrix”), reviews with the Board annually the desired experiences, mix of skills, and other qualities required for new Board members, as well as Board composition. The Board seeks director candidates who possess the requisite judgment, background, skill, expertise, and time to strengthen and increase the breadth of skills and qualifications of the Board. In particular, the Board may consider, among other things, the fit of the individual’s skills, background, qualifications, experience, and personality with those of other directors in maintaining an effective, collegial, and responsive Board and a mix of diversity in personal and professional experience, background, viewpoints, perspectives, knowledge, and abilities. The Board does not have a specific diversity policy.</w:t>
      </w:r>
    </w:p>
    <w:p>
      <w:pPr>
        <w:pStyle w:val="TextBody"/>
        <w:bidi w:val="0"/>
        <w:jc w:val="both"/>
        <w:rPr/>
      </w:pPr>
      <w:r>
        <w:rPr/>
        <w:t> </w:t>
      </w:r>
    </w:p>
    <w:p>
      <w:pPr>
        <w:pStyle w:val="TextBody"/>
        <w:bidi w:val="0"/>
        <w:jc w:val="both"/>
        <w:rPr>
          <w:rFonts w:ascii="Times New Roman" w:hAnsi="Times New Roman"/>
          <w:sz w:val="20"/>
        </w:rPr>
      </w:pPr>
      <w:r>
        <w:rPr>
          <w:rFonts w:ascii="Arial" w:hAnsi="Arial"/>
          <w:b/>
          <w:i/>
          <w:color w:val="4F81BD"/>
          <w:sz w:val="20"/>
        </w:rPr>
        <w:t>Skills Matrix</w:t>
      </w:r>
      <w:r>
        <w:rPr>
          <w:rFonts w:ascii="Arial" w:hAnsi="Arial"/>
          <w:color w:val="4F81BD"/>
          <w:sz w:val="20"/>
        </w:rPr>
        <w:t>.</w:t>
      </w:r>
      <w:r>
        <w:rPr>
          <w:rFonts w:ascii="Times New Roman" w:hAnsi="Times New Roman"/>
          <w:color w:val="000000"/>
          <w:sz w:val="20"/>
        </w:rPr>
        <w:t xml:space="preserve"> </w:t>
      </w:r>
      <w:r>
        <w:rPr>
          <w:rFonts w:ascii="Arial" w:hAnsi="Arial"/>
          <w:color w:val="000000"/>
          <w:sz w:val="20"/>
        </w:rPr>
        <w:t>The NCG Committee adopted the Skills Matrix to facilitate the comparison of our directors’ skills and experiences to those that the Board believes are needed to address existing and emerging business and governance issues relevant to us. The table below lists those skills and experiences, along with the total number of director nominees who possess the particular skill or experience.</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624"/>
        <w:gridCol w:w="7197"/>
        <w:gridCol w:w="1384"/>
      </w:tblGrid>
      <w:tr>
        <w:trPr/>
        <w:tc>
          <w:tcPr>
            <w:tcW w:w="1624" w:type="dxa"/>
            <w:tcBorders/>
            <w:vAlign w:val="center"/>
          </w:tcPr>
          <w:p>
            <w:pPr>
              <w:pStyle w:val="TableContents"/>
              <w:bidi w:val="0"/>
              <w:spacing w:before="0" w:after="283"/>
              <w:jc w:val="left"/>
              <w:rPr>
                <w:sz w:val="4"/>
                <w:szCs w:val="4"/>
              </w:rPr>
            </w:pPr>
            <w:r>
              <w:rPr>
                <w:sz w:val="4"/>
                <w:szCs w:val="4"/>
              </w:rPr>
            </w:r>
          </w:p>
        </w:tc>
        <w:tc>
          <w:tcPr>
            <w:tcW w:w="7197"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r>
      <w:tr>
        <w:trPr/>
        <w:tc>
          <w:tcPr>
            <w:tcW w:w="1624" w:type="dxa"/>
            <w:tcBorders>
              <w:left w:val="single" w:sz="6" w:space="0" w:color="404041"/>
            </w:tcBorders>
            <w:shd w:fill="004B87" w:val="clear"/>
            <w:tcMar>
              <w:top w:w="0" w:type="dxa"/>
              <w:bottom w:w="0" w:type="dxa"/>
              <w:right w:w="0" w:type="dxa"/>
            </w:tcMar>
            <w:vAlign w:val="center"/>
          </w:tcPr>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spacing w:before="0" w:after="283"/>
              <w:jc w:val="left"/>
              <w:rPr>
                <w:rFonts w:ascii="Arial" w:hAnsi="Arial"/>
                <w:b/>
                <w:color w:val="FFFFFF"/>
                <w:sz w:val="16"/>
              </w:rPr>
            </w:pPr>
            <w:r>
              <w:rPr>
                <w:rFonts w:ascii="Arial" w:hAnsi="Arial"/>
                <w:b/>
                <w:color w:val="FFFFFF"/>
                <w:sz w:val="16"/>
              </w:rPr>
              <w:t>Skill/Experience</w:t>
            </w:r>
          </w:p>
        </w:tc>
        <w:tc>
          <w:tcPr>
            <w:tcW w:w="7197" w:type="dxa"/>
            <w:tcBorders/>
            <w:shd w:fill="004B87" w:val="clear"/>
            <w:tcMar>
              <w:top w:w="0" w:type="dxa"/>
              <w:left w:w="0" w:type="dxa"/>
              <w:bottom w:w="0" w:type="dxa"/>
              <w:right w:w="0" w:type="dxa"/>
            </w:tcMar>
            <w:vAlign w:val="center"/>
          </w:tcPr>
          <w:p>
            <w:pPr>
              <w:pStyle w:val="TableContents"/>
              <w:bidi w:val="0"/>
              <w:jc w:val="left"/>
              <w:rPr/>
            </w:pPr>
            <w:r>
              <w:rPr/>
              <w:t> </w:t>
            </w:r>
          </w:p>
          <w:p>
            <w:pPr>
              <w:pStyle w:val="TableContents"/>
              <w:bidi w:val="0"/>
              <w:jc w:val="left"/>
              <w:rPr/>
            </w:pPr>
            <w:r>
              <w:rPr/>
              <w:t> </w:t>
            </w:r>
          </w:p>
          <w:p>
            <w:pPr>
              <w:pStyle w:val="TableContents"/>
              <w:bidi w:val="0"/>
              <w:spacing w:before="0" w:after="283"/>
              <w:jc w:val="left"/>
              <w:rPr>
                <w:rFonts w:ascii="Arial" w:hAnsi="Arial"/>
                <w:b/>
                <w:color w:val="FFFFFF"/>
                <w:sz w:val="16"/>
              </w:rPr>
            </w:pPr>
            <w:r>
              <w:rPr>
                <w:rFonts w:ascii="Arial" w:hAnsi="Arial"/>
                <w:b/>
                <w:color w:val="FFFFFF"/>
                <w:sz w:val="16"/>
              </w:rPr>
              <w:t>Description</w:t>
            </w:r>
          </w:p>
        </w:tc>
        <w:tc>
          <w:tcPr>
            <w:tcW w:w="1384" w:type="dxa"/>
            <w:tcBorders>
              <w:left w:val="single" w:sz="6" w:space="0" w:color="404041"/>
              <w:right w:val="single" w:sz="6" w:space="0" w:color="404041"/>
            </w:tcBorders>
            <w:shd w:fill="004B87" w:val="clear"/>
            <w:tcMar>
              <w:top w:w="0" w:type="dxa"/>
              <w:bottom w:w="0" w:type="dxa"/>
            </w:tcMar>
            <w:vAlign w:val="center"/>
          </w:tcPr>
          <w:p>
            <w:pPr>
              <w:pStyle w:val="TableContents"/>
              <w:bidi w:val="0"/>
              <w:spacing w:before="0" w:after="283"/>
              <w:jc w:val="left"/>
              <w:rPr>
                <w:rFonts w:ascii="Arial" w:hAnsi="Arial"/>
                <w:b/>
                <w:color w:val="FFFFFF"/>
                <w:sz w:val="16"/>
              </w:rPr>
            </w:pPr>
            <w:r>
              <w:rPr>
                <w:rFonts w:ascii="Arial" w:hAnsi="Arial"/>
                <w:b/>
                <w:color w:val="FFFFFF"/>
                <w:sz w:val="16"/>
              </w:rPr>
              <w:t># of Director Nominees</w:t>
            </w:r>
          </w:p>
        </w:tc>
      </w:tr>
      <w:tr>
        <w:trPr/>
        <w:tc>
          <w:tcPr>
            <w:tcW w:w="1624" w:type="dxa"/>
            <w:tcBorders/>
            <w:tcMar>
              <w:top w:w="0" w:type="dxa"/>
              <w:left w:w="0" w:type="dxa"/>
              <w:bottom w:w="0" w:type="dxa"/>
              <w:right w:w="0" w:type="dxa"/>
            </w:tcMar>
            <w:vAlign w:val="center"/>
          </w:tcPr>
          <w:p>
            <w:pPr>
              <w:pStyle w:val="TableContents"/>
              <w:bidi w:val="0"/>
              <w:spacing w:before="0" w:after="283"/>
              <w:jc w:val="left"/>
              <w:rPr>
                <w:color w:val="404041"/>
              </w:rPr>
            </w:pPr>
            <w:r>
              <w:rPr>
                <w:color w:val="404041"/>
              </w:rPr>
              <w:t> </w:t>
            </w:r>
            <w:r>
              <w:rPr>
                <w:rFonts w:ascii="Arial" w:hAnsi="Arial"/>
                <w:b/>
                <w:color w:val="404041"/>
                <w:sz w:val="16"/>
              </w:rPr>
              <w:t>Executive</w:t>
            </w:r>
          </w:p>
        </w:tc>
        <w:tc>
          <w:tcPr>
            <w:tcW w:w="719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000"/>
                <w:sz w:val="16"/>
              </w:rPr>
              <w:t>Experience serving as a CEO or a senior executive provides a practical understanding of managing a complex business such as ours.</w:t>
            </w:r>
            <w:r>
              <w:rPr>
                <w:rFonts w:ascii="Times New Roman" w:hAnsi="Times New Roman"/>
                <w:color w:val="000000"/>
                <w:sz w:val="16"/>
              </w:rPr>
              <w:t xml:space="preserve"> </w:t>
            </w:r>
          </w:p>
        </w:tc>
        <w:tc>
          <w:tcPr>
            <w:tcW w:w="1384"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6 of 6</w:t>
            </w:r>
          </w:p>
        </w:tc>
      </w:tr>
      <w:tr>
        <w:trPr/>
        <w:tc>
          <w:tcPr>
            <w:tcW w:w="1624" w:type="dxa"/>
            <w:tcBorders/>
            <w:shd w:fill="BFBFBF" w:val="clear"/>
            <w:tcMar>
              <w:top w:w="0" w:type="dxa"/>
              <w:left w:w="0" w:type="dxa"/>
              <w:bottom w:w="0" w:type="dxa"/>
              <w:right w:w="0" w:type="dxa"/>
            </w:tcMar>
            <w:vAlign w:val="center"/>
          </w:tcPr>
          <w:p>
            <w:pPr>
              <w:pStyle w:val="TableContents"/>
              <w:bidi w:val="0"/>
              <w:spacing w:before="0" w:after="283"/>
              <w:jc w:val="left"/>
              <w:rPr>
                <w:color w:val="404041"/>
              </w:rPr>
            </w:pPr>
            <w:r>
              <w:rPr>
                <w:color w:val="404041"/>
              </w:rPr>
              <w:t> </w:t>
            </w:r>
            <w:r>
              <w:rPr>
                <w:rFonts w:ascii="Arial" w:hAnsi="Arial"/>
                <w:b/>
                <w:color w:val="404041"/>
                <w:sz w:val="16"/>
              </w:rPr>
              <w:t>Public Company Board</w:t>
            </w:r>
          </w:p>
        </w:tc>
        <w:tc>
          <w:tcPr>
            <w:tcW w:w="7197" w:type="dxa"/>
            <w:tcBorders/>
            <w:shd w:fill="BFBFB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Service on other public company boards provides an understanding of corporate governance practices and trends, as well as insights into effective board leadership and oversight.</w:t>
            </w:r>
          </w:p>
        </w:tc>
        <w:tc>
          <w:tcPr>
            <w:tcW w:w="1384" w:type="dxa"/>
            <w:tcBorders/>
            <w:shd w:fill="BFBFB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4 of 6</w:t>
            </w:r>
          </w:p>
        </w:tc>
      </w:tr>
      <w:tr>
        <w:trPr/>
        <w:tc>
          <w:tcPr>
            <w:tcW w:w="1624" w:type="dxa"/>
            <w:tcBorders/>
            <w:tcMar>
              <w:top w:w="0" w:type="dxa"/>
              <w:left w:w="0" w:type="dxa"/>
              <w:bottom w:w="0" w:type="dxa"/>
              <w:right w:w="0" w:type="dxa"/>
            </w:tcMar>
            <w:vAlign w:val="center"/>
          </w:tcPr>
          <w:p>
            <w:pPr>
              <w:pStyle w:val="TableContents"/>
              <w:bidi w:val="0"/>
              <w:jc w:val="left"/>
              <w:rPr/>
            </w:pPr>
            <w:r>
              <w:rPr>
                <w:color w:val="404041"/>
              </w:rPr>
              <w:t> </w:t>
            </w:r>
            <w:r>
              <w:rPr>
                <w:rFonts w:ascii="Arial" w:hAnsi="Arial"/>
                <w:b/>
                <w:color w:val="404041"/>
                <w:sz w:val="16"/>
              </w:rPr>
              <w:t>Regulated Industry /</w:t>
            </w:r>
            <w:r>
              <w:rPr>
                <w:rFonts w:ascii="Times New Roman" w:hAnsi="Times New Roman"/>
                <w:color w:val="404041"/>
                <w:sz w:val="16"/>
              </w:rPr>
              <w:t xml:space="preserve"> </w:t>
            </w:r>
          </w:p>
          <w:p>
            <w:pPr>
              <w:pStyle w:val="TableContents"/>
              <w:bidi w:val="0"/>
              <w:spacing w:before="0" w:after="283"/>
              <w:jc w:val="left"/>
              <w:rPr>
                <w:color w:val="404041"/>
              </w:rPr>
            </w:pPr>
            <w:r>
              <w:rPr>
                <w:color w:val="404041"/>
              </w:rPr>
              <w:t> </w:t>
            </w:r>
            <w:r>
              <w:rPr>
                <w:rFonts w:ascii="Arial" w:hAnsi="Arial"/>
                <w:b/>
                <w:color w:val="404041"/>
                <w:sz w:val="16"/>
              </w:rPr>
              <w:t>Government</w:t>
            </w:r>
          </w:p>
        </w:tc>
        <w:tc>
          <w:tcPr>
            <w:tcW w:w="7197"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Arial" w:hAnsi="Arial"/>
                <w:color w:val="000000"/>
                <w:sz w:val="16"/>
              </w:rPr>
            </w:pPr>
            <w:r>
              <w:rPr>
                <w:rFonts w:ascii="Arial" w:hAnsi="Arial"/>
                <w:color w:val="000000"/>
                <w:sz w:val="16"/>
              </w:rPr>
              <w:t>Experience in regulated industries and government provides insight and perspective for working constructively and proactively with governmental and regulatory agencies.</w:t>
            </w:r>
          </w:p>
        </w:tc>
        <w:tc>
          <w:tcPr>
            <w:tcW w:w="1384"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4 of 6</w:t>
            </w:r>
          </w:p>
        </w:tc>
      </w:tr>
      <w:tr>
        <w:trPr/>
        <w:tc>
          <w:tcPr>
            <w:tcW w:w="1624" w:type="dxa"/>
            <w:tcBorders/>
            <w:shd w:fill="BFBFBF" w:val="clear"/>
            <w:tcMar>
              <w:top w:w="0" w:type="dxa"/>
              <w:left w:w="0" w:type="dxa"/>
              <w:bottom w:w="0" w:type="dxa"/>
              <w:right w:w="0" w:type="dxa"/>
            </w:tcMar>
            <w:vAlign w:val="center"/>
          </w:tcPr>
          <w:p>
            <w:pPr>
              <w:pStyle w:val="TableContents"/>
              <w:bidi w:val="0"/>
              <w:spacing w:before="0" w:after="283"/>
              <w:jc w:val="left"/>
              <w:rPr>
                <w:color w:val="404041"/>
              </w:rPr>
            </w:pPr>
            <w:r>
              <w:rPr>
                <w:color w:val="404041"/>
              </w:rPr>
              <w:t> </w:t>
            </w:r>
            <w:r>
              <w:rPr>
                <w:rFonts w:ascii="Arial" w:hAnsi="Arial"/>
                <w:b/>
                <w:color w:val="404041"/>
                <w:sz w:val="16"/>
              </w:rPr>
              <w:t>Sales and Marketing</w:t>
            </w:r>
          </w:p>
        </w:tc>
        <w:tc>
          <w:tcPr>
            <w:tcW w:w="7197" w:type="dxa"/>
            <w:tcBorders/>
            <w:shd w:fill="BFBFB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Experience in sales, brand management, marketing, and marketing strategy provides a perspective on effectively marketing our products and services.</w:t>
            </w:r>
          </w:p>
        </w:tc>
        <w:tc>
          <w:tcPr>
            <w:tcW w:w="1384" w:type="dxa"/>
            <w:tcBorders/>
            <w:shd w:fill="BFBFB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 of 6</w:t>
            </w:r>
          </w:p>
        </w:tc>
      </w:tr>
      <w:tr>
        <w:trPr/>
        <w:tc>
          <w:tcPr>
            <w:tcW w:w="1624" w:type="dxa"/>
            <w:tcBorders/>
            <w:tcMar>
              <w:top w:w="0" w:type="dxa"/>
              <w:left w:w="0" w:type="dxa"/>
              <w:bottom w:w="0" w:type="dxa"/>
              <w:right w:w="0" w:type="dxa"/>
            </w:tcMar>
            <w:vAlign w:val="center"/>
          </w:tcPr>
          <w:p>
            <w:pPr>
              <w:pStyle w:val="TableContents"/>
              <w:bidi w:val="0"/>
              <w:spacing w:before="0" w:after="283"/>
              <w:jc w:val="left"/>
              <w:rPr>
                <w:color w:val="404041"/>
              </w:rPr>
            </w:pPr>
            <w:r>
              <w:rPr>
                <w:color w:val="404041"/>
              </w:rPr>
              <w:t> </w:t>
            </w:r>
            <w:r>
              <w:rPr>
                <w:rFonts w:ascii="Arial" w:hAnsi="Arial"/>
                <w:b/>
                <w:color w:val="404041"/>
                <w:sz w:val="16"/>
              </w:rPr>
              <w:t>Risk Management</w:t>
            </w:r>
          </w:p>
        </w:tc>
        <w:tc>
          <w:tcPr>
            <w:tcW w:w="7197"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Experience identifying, managing, and mitigating key risks provides valuable oversight of enterprise risks, including, but not limited to, artificial intelligence and cybersecurity risks.</w:t>
            </w:r>
          </w:p>
        </w:tc>
        <w:tc>
          <w:tcPr>
            <w:tcW w:w="1384"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5 of 6</w:t>
            </w:r>
          </w:p>
        </w:tc>
      </w:tr>
      <w:tr>
        <w:trPr/>
        <w:tc>
          <w:tcPr>
            <w:tcW w:w="1624" w:type="dxa"/>
            <w:tcBorders/>
            <w:shd w:fill="BFBFBF" w:val="clear"/>
            <w:tcMar>
              <w:top w:w="0" w:type="dxa"/>
              <w:left w:w="0" w:type="dxa"/>
              <w:bottom w:w="0" w:type="dxa"/>
              <w:right w:w="0" w:type="dxa"/>
            </w:tcMar>
            <w:vAlign w:val="center"/>
          </w:tcPr>
          <w:p>
            <w:pPr>
              <w:pStyle w:val="TableContents"/>
              <w:bidi w:val="0"/>
              <w:spacing w:before="0" w:after="283"/>
              <w:jc w:val="left"/>
              <w:rPr>
                <w:color w:val="404041"/>
              </w:rPr>
            </w:pPr>
            <w:r>
              <w:rPr>
                <w:color w:val="404041"/>
              </w:rPr>
              <w:t> </w:t>
            </w:r>
            <w:r>
              <w:rPr>
                <w:rFonts w:ascii="Arial" w:hAnsi="Arial"/>
                <w:b/>
                <w:color w:val="404041"/>
                <w:sz w:val="16"/>
              </w:rPr>
              <w:t>Financial</w:t>
            </w:r>
          </w:p>
        </w:tc>
        <w:tc>
          <w:tcPr>
            <w:tcW w:w="7197" w:type="dxa"/>
            <w:tcBorders/>
            <w:shd w:fill="BFBFB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Experience with financial reporting and accounting processes enables effective monitoring and assessment of operating and strategic performance and facilitates accurate financial reporting and robust controls.</w:t>
            </w:r>
          </w:p>
        </w:tc>
        <w:tc>
          <w:tcPr>
            <w:tcW w:w="1384" w:type="dxa"/>
            <w:tcBorders/>
            <w:shd w:fill="BFBFB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6 of 6</w:t>
            </w:r>
          </w:p>
        </w:tc>
      </w:tr>
      <w:tr>
        <w:trPr/>
        <w:tc>
          <w:tcPr>
            <w:tcW w:w="1624" w:type="dxa"/>
            <w:tcBorders/>
            <w:tcMar>
              <w:top w:w="0" w:type="dxa"/>
              <w:left w:w="0" w:type="dxa"/>
              <w:bottom w:w="0" w:type="dxa"/>
              <w:right w:w="0" w:type="dxa"/>
            </w:tcMar>
            <w:vAlign w:val="center"/>
          </w:tcPr>
          <w:p>
            <w:pPr>
              <w:pStyle w:val="TableContents"/>
              <w:bidi w:val="0"/>
              <w:spacing w:before="0" w:after="283"/>
              <w:jc w:val="left"/>
              <w:rPr>
                <w:color w:val="404041"/>
              </w:rPr>
            </w:pPr>
            <w:r>
              <w:rPr>
                <w:color w:val="404041"/>
              </w:rPr>
              <w:t> </w:t>
            </w:r>
            <w:r>
              <w:rPr>
                <w:rFonts w:ascii="Arial" w:hAnsi="Arial"/>
                <w:b/>
                <w:color w:val="404041"/>
                <w:sz w:val="16"/>
              </w:rPr>
              <w:t>Manufacturing</w:t>
            </w:r>
          </w:p>
        </w:tc>
        <w:tc>
          <w:tcPr>
            <w:tcW w:w="7197"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Experience in a senior operating position with a manufacturing company provides practical insight into driving operational excellence and performance.</w:t>
            </w:r>
          </w:p>
        </w:tc>
        <w:tc>
          <w:tcPr>
            <w:tcW w:w="1384"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5 of 6</w:t>
            </w:r>
          </w:p>
        </w:tc>
      </w:tr>
    </w:tbl>
    <w:p>
      <w:pPr>
        <w:pStyle w:val="TextBody"/>
        <w:bidi w:val="0"/>
        <w:spacing w:before="120" w:after="283"/>
        <w:jc w:val="both"/>
        <w:rPr/>
      </w:pPr>
      <w:r>
        <w:rPr/>
        <w:t> </w:t>
      </w:r>
    </w:p>
    <w:p>
      <w:pPr>
        <w:pStyle w:val="TextBody"/>
        <w:bidi w:val="0"/>
        <w:jc w:val="left"/>
        <w:rPr/>
      </w:pPr>
      <w:r>
        <w:rPr/>
        <w:t> </w:t>
      </w:r>
    </w:p>
    <w:tbl>
      <w:tblPr>
        <w:tblW w:w="3597" w:type="dxa"/>
        <w:jc w:val="left"/>
        <w:tblInd w:w="0" w:type="dxa"/>
        <w:tblLayout w:type="fixed"/>
        <w:tblCellMar>
          <w:top w:w="28" w:type="dxa"/>
          <w:left w:w="28" w:type="dxa"/>
          <w:bottom w:w="28" w:type="dxa"/>
          <w:right w:w="28" w:type="dxa"/>
        </w:tblCellMar>
      </w:tblPr>
      <w:tblGrid>
        <w:gridCol w:w="2161"/>
        <w:gridCol w:w="1436"/>
      </w:tblGrid>
      <w:tr>
        <w:trPr/>
        <w:tc>
          <w:tcPr>
            <w:tcW w:w="2161"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1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91F2C"/>
                <w:sz w:val="18"/>
              </w:rPr>
              <w:t>4</w:t>
            </w:r>
            <w:r>
              <w:rPr>
                <w:rFonts w:ascii="Times New Roman" w:hAnsi="Times New Roman"/>
                <w:color w:val="091F2C"/>
                <w:sz w:val="18"/>
              </w:rPr>
              <w:t> </w:t>
            </w:r>
            <w:r>
              <w:rPr>
                <w:rFonts w:ascii="Arial" w:hAnsi="Arial"/>
                <w:color w:val="091F2C"/>
                <w:sz w:val="18"/>
              </w:rPr>
              <w:t>I 2026 Proxy Statement</w:t>
            </w:r>
          </w:p>
        </w:tc>
        <w:tc>
          <w:tcPr>
            <w:tcW w:w="143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828675" cy="1905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828675" cy="190500"/>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3027" w:type="dxa"/>
        <w:jc w:val="left"/>
        <w:tblInd w:w="0" w:type="dxa"/>
        <w:tblLayout w:type="fixed"/>
        <w:tblCellMar>
          <w:top w:w="28" w:type="dxa"/>
          <w:left w:w="28" w:type="dxa"/>
          <w:bottom w:w="28" w:type="dxa"/>
          <w:right w:w="28" w:type="dxa"/>
        </w:tblCellMar>
      </w:tblPr>
      <w:tblGrid>
        <w:gridCol w:w="2836"/>
        <w:gridCol w:w="191"/>
      </w:tblGrid>
      <w:tr>
        <w:trPr/>
        <w:tc>
          <w:tcPr>
            <w:tcW w:w="28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36" w:type="dxa"/>
            <w:tcBorders/>
            <w:tcMar>
              <w:top w:w="0" w:type="dxa"/>
              <w:left w:w="0" w:type="dxa"/>
              <w:bottom w:w="0" w:type="dxa"/>
              <w:right w:w="0" w:type="dxa"/>
            </w:tcMar>
            <w:vAlign w:val="center"/>
          </w:tcPr>
          <w:p>
            <w:pPr>
              <w:pStyle w:val="TableContents"/>
              <w:bidi w:val="0"/>
              <w:spacing w:before="0" w:after="283"/>
              <w:jc w:val="left"/>
              <w:rPr>
                <w:rFonts w:ascii="Arial" w:hAnsi="Arial"/>
                <w:color w:val="002668"/>
                <w:sz w:val="20"/>
              </w:rPr>
            </w:pPr>
            <w:r>
              <w:rPr>
                <w:rFonts w:ascii="Arial" w:hAnsi="Arial"/>
                <w:color w:val="002668"/>
                <w:sz w:val="20"/>
              </w:rPr>
              <w:t>Board and Governance Matters</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836" w:type="dxa"/>
            <w:tcBorders>
              <w:bottom w:val="single" w:sz="8" w:space="0" w:color="002668"/>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both"/>
        <w:rPr>
          <w:rFonts w:ascii="Times New Roman" w:hAnsi="Times New Roman"/>
          <w:sz w:val="20"/>
        </w:rPr>
      </w:pPr>
      <w:r>
        <w:rPr>
          <w:rFonts w:ascii="Arial" w:hAnsi="Arial"/>
          <w:color w:val="002668"/>
          <w:sz w:val="24"/>
          <w:u w:val="single"/>
        </w:rPr>
        <w:t>Director Independence</w:t>
      </w:r>
      <w:r>
        <w:rPr>
          <w:rFonts w:ascii="Times New Roman" w:hAnsi="Times New Roman"/>
          <w:color w:val="002668"/>
          <w:sz w:val="20"/>
        </w:rPr>
        <w:t xml:space="preserve"> </w:t>
      </w:r>
    </w:p>
    <w:p>
      <w:pPr>
        <w:pStyle w:val="TextBody"/>
        <w:bidi w:val="0"/>
        <w:jc w:val="both"/>
        <w:rPr>
          <w:rFonts w:ascii="Arial" w:hAnsi="Arial"/>
          <w:color w:val="000000"/>
          <w:sz w:val="20"/>
        </w:rPr>
      </w:pPr>
      <w:r>
        <w:rPr>
          <w:rFonts w:ascii="Arial" w:hAnsi="Arial"/>
          <w:color w:val="000000"/>
          <w:sz w:val="20"/>
        </w:rPr>
        <w:t>Under the Guidelines and the Nasdaq listing standards, the Board must consist of a majority of independent directors. The Board annually reviews director independence and has determined that all director nominees, except for Mr. Smith (who is our President and CEO), are independent, as “independence” is defined by the SEC and the Nasdaq listing standards.</w:t>
      </w:r>
    </w:p>
    <w:p>
      <w:pPr>
        <w:pStyle w:val="TextBody"/>
        <w:bidi w:val="0"/>
        <w:spacing w:before="240" w:after="283"/>
        <w:jc w:val="both"/>
        <w:rPr>
          <w:rFonts w:ascii="Arial" w:hAnsi="Arial"/>
          <w:color w:val="002668"/>
          <w:sz w:val="24"/>
          <w:u w:val="single"/>
        </w:rPr>
      </w:pPr>
      <w:r>
        <w:rPr>
          <w:rFonts w:ascii="Arial" w:hAnsi="Arial"/>
          <w:color w:val="002668"/>
          <w:sz w:val="24"/>
          <w:u w:val="single"/>
        </w:rPr>
        <w:t>Board Refreshment</w:t>
      </w:r>
    </w:p>
    <w:tbl>
      <w:tblPr>
        <w:tblW w:w="10205" w:type="dxa"/>
        <w:jc w:val="left"/>
        <w:tblInd w:w="0" w:type="dxa"/>
        <w:tblLayout w:type="fixed"/>
        <w:tblCellMar>
          <w:top w:w="28" w:type="dxa"/>
          <w:left w:w="28" w:type="dxa"/>
          <w:bottom w:w="28" w:type="dxa"/>
          <w:right w:w="28" w:type="dxa"/>
        </w:tblCellMar>
      </w:tblPr>
      <w:tblGrid>
        <w:gridCol w:w="7611"/>
        <w:gridCol w:w="226"/>
        <w:gridCol w:w="2368"/>
      </w:tblGrid>
      <w:tr>
        <w:trPr/>
        <w:tc>
          <w:tcPr>
            <w:tcW w:w="761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r>
      <w:tr>
        <w:trPr/>
        <w:tc>
          <w:tcPr>
            <w:tcW w:w="76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We recognize the importance of Board refreshment. Directors are elected each year at our annual meeting of stockholders to hold office until the next annual meeting of stockholders and until their successors are elected and qualified. The NCG Committee regularly considers Board composition and how Board composition changes over time.</w:t>
            </w:r>
            <w:r>
              <w:rPr>
                <w:rFonts w:ascii="Times New Roman" w:hAnsi="Times New Roman"/>
                <w:color w:val="000000"/>
                <w:sz w:val="20"/>
              </w:rPr>
              <w:t xml:space="preserve"> </w:t>
            </w:r>
          </w:p>
        </w:tc>
        <w:tc>
          <w:tcPr>
            <w:tcW w:w="226" w:type="dxa"/>
            <w:tcBorders>
              <w:right w:val="single" w:sz="4" w:space="0" w:color="002668"/>
            </w:tcBorders>
            <w:tcMar>
              <w:top w:w="0" w:type="dxa"/>
              <w:left w:w="0" w:type="dxa"/>
              <w:bottom w:w="0" w:type="dxa"/>
            </w:tcMar>
            <w:vAlign w:val="center"/>
          </w:tcPr>
          <w:p>
            <w:pPr>
              <w:pStyle w:val="TableContents"/>
              <w:bidi w:val="0"/>
              <w:spacing w:before="0" w:after="120"/>
              <w:ind w:left="0" w:right="0" w:firstLine="80"/>
              <w:jc w:val="both"/>
              <w:rPr/>
            </w:pPr>
            <w:r>
              <w:rPr/>
              <w:t> </w:t>
            </w:r>
          </w:p>
        </w:tc>
        <w:tc>
          <w:tcPr>
            <w:tcW w:w="2368" w:type="dxa"/>
            <w:tcBorders>
              <w:top w:val="single" w:sz="4" w:space="0" w:color="002668"/>
              <w:bottom w:val="single" w:sz="4" w:space="0" w:color="002668"/>
              <w:right w:val="single" w:sz="4" w:space="0" w:color="002668"/>
            </w:tcBorders>
            <w:shd w:fill="DCDDDE" w:val="clear"/>
            <w:tcMar>
              <w:left w:w="0" w:type="dxa"/>
            </w:tcMar>
            <w:vAlign w:val="center"/>
          </w:tcPr>
          <w:p>
            <w:pPr>
              <w:pStyle w:val="TableContents"/>
              <w:bidi w:val="0"/>
              <w:spacing w:before="80" w:after="80"/>
              <w:ind w:left="0" w:right="0" w:firstLine="80"/>
              <w:jc w:val="center"/>
              <w:rPr>
                <w:rFonts w:ascii="Arial" w:hAnsi="Arial"/>
                <w:b/>
                <w:color w:val="1F497D"/>
                <w:sz w:val="20"/>
                <w:u w:val="single"/>
              </w:rPr>
            </w:pPr>
            <w:r>
              <w:rPr>
                <w:rFonts w:ascii="Arial" w:hAnsi="Arial"/>
                <w:b/>
                <w:color w:val="1F497D"/>
                <w:sz w:val="20"/>
                <w:u w:val="single"/>
              </w:rPr>
              <w:t>Governance Spotlight</w:t>
            </w:r>
          </w:p>
          <w:p>
            <w:pPr>
              <w:pStyle w:val="TableContents"/>
              <w:bidi w:val="0"/>
              <w:spacing w:before="0" w:after="283"/>
              <w:ind w:left="0" w:right="0" w:firstLine="80"/>
              <w:jc w:val="center"/>
              <w:rPr>
                <w:rFonts w:ascii="Arial" w:hAnsi="Arial"/>
                <w:color w:val="000000"/>
                <w:sz w:val="18"/>
              </w:rPr>
            </w:pPr>
            <w:r>
              <w:rPr>
                <w:rFonts w:ascii="Arial" w:hAnsi="Arial"/>
                <w:color w:val="000000"/>
                <w:sz w:val="18"/>
              </w:rPr>
              <w:t>Two-thirds of our director nominees have joined the Board since 2018.</w:t>
            </w:r>
          </w:p>
        </w:tc>
      </w:tr>
    </w:tbl>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The Board has not established a mandatory retirement age or term limits; however, pursuant to the Guidelines, the Board and the NCG Committee review, in connection with the process of selecting nominees for election at annual stockholder meetings, each director’s continuation on the Board.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2668"/>
          <w:sz w:val="24"/>
          <w:u w:val="single"/>
        </w:rPr>
        <w:t>Director Nomination Process</w:t>
      </w:r>
      <w:r>
        <w:rPr>
          <w:rFonts w:ascii="Times New Roman" w:hAnsi="Times New Roman"/>
          <w:color w:val="002668"/>
          <w:sz w:val="20"/>
        </w:rPr>
        <w:t xml:space="preserve"> </w:t>
      </w:r>
    </w:p>
    <w:p>
      <w:pPr>
        <w:pStyle w:val="TextBody"/>
        <w:bidi w:val="0"/>
        <w:jc w:val="both"/>
        <w:rPr>
          <w:rFonts w:ascii="Arial" w:hAnsi="Arial"/>
          <w:color w:val="000000"/>
          <w:sz w:val="20"/>
        </w:rPr>
      </w:pPr>
      <w:r>
        <w:rPr>
          <w:rFonts w:ascii="Arial" w:hAnsi="Arial"/>
          <w:color w:val="000000"/>
          <w:sz w:val="20"/>
        </w:rPr>
        <w:t>The NCG Committee is responsible for identifying and evaluating Board nominees. In identifying candidates, the NCG Committee may take into account all factors it considers appropriate, which may include personal qualities and characteristics, individual character and integrity, mature judgment, career specialization, relevant technical skills and accomplishments, and the extent to which the candidate would fill a present need on the Board.</w:t>
      </w:r>
    </w:p>
    <w:p>
      <w:pPr>
        <w:pStyle w:val="TextBody"/>
        <w:bidi w:val="0"/>
        <w:spacing w:before="120" w:after="283"/>
        <w:jc w:val="both"/>
        <w:rPr>
          <w:rFonts w:ascii="Times New Roman" w:hAnsi="Times New Roman"/>
          <w:sz w:val="20"/>
        </w:rPr>
      </w:pPr>
      <w:r>
        <w:rPr>
          <w:rFonts w:ascii="Arial" w:hAnsi="Arial"/>
          <w:b/>
          <w:i/>
          <w:color w:val="4F81BD"/>
          <w:sz w:val="20"/>
        </w:rPr>
        <w:t>Stockholder-Recommended Candidates</w:t>
      </w:r>
      <w:r>
        <w:rPr>
          <w:rFonts w:ascii="Arial" w:hAnsi="Arial"/>
          <w:color w:val="4F81BD"/>
          <w:sz w:val="20"/>
        </w:rPr>
        <w:t xml:space="preserve">. </w:t>
      </w:r>
      <w:r>
        <w:rPr>
          <w:rFonts w:ascii="Arial" w:hAnsi="Arial"/>
          <w:color w:val="000000"/>
          <w:sz w:val="20"/>
        </w:rPr>
        <w:t>The NCG Committee will consider persons recommended by our stockholders for inclusion as Board nominees if the information required by our Bylaws is submitted in writing in a timely manner addressed and delivered to our Secretary.</w:t>
      </w:r>
    </w:p>
    <w:p>
      <w:pPr>
        <w:pStyle w:val="TextBody"/>
        <w:bidi w:val="0"/>
        <w:spacing w:before="120" w:after="283"/>
        <w:jc w:val="both"/>
        <w:rPr>
          <w:rFonts w:ascii="Times New Roman" w:hAnsi="Times New Roman"/>
          <w:sz w:val="20"/>
        </w:rPr>
      </w:pPr>
      <w:r>
        <w:rPr>
          <w:rFonts w:ascii="Arial" w:hAnsi="Arial"/>
          <w:b/>
          <w:i/>
          <w:color w:val="4F81BD"/>
          <w:sz w:val="20"/>
        </w:rPr>
        <w:t>Stockholder-Nominated Candidates</w:t>
      </w:r>
      <w:r>
        <w:rPr>
          <w:rFonts w:ascii="Arial" w:hAnsi="Arial"/>
          <w:color w:val="4F81BD"/>
          <w:sz w:val="20"/>
        </w:rPr>
        <w:t xml:space="preserve">. </w:t>
      </w:r>
      <w:r>
        <w:rPr>
          <w:rFonts w:ascii="Arial" w:hAnsi="Arial"/>
          <w:color w:val="000000"/>
          <w:sz w:val="20"/>
        </w:rPr>
        <w:t>Our Bylaws include a “Proxy Access for Director Nominations” provision that permits a stockholder, or a group of up to 20 stockholders, owning 3% or more of our outstanding common stock continuously for at least three years to nominate and include in our proxy materials Board nominees constituting up to two individuals or 20% of the Board (whichever is greater), provided that the stockholder(s) and the nominee(s) satisfy the requirements specified in our Bylaws.</w:t>
      </w:r>
    </w:p>
    <w:p>
      <w:pPr>
        <w:pStyle w:val="TextBody"/>
        <w:bidi w:val="0"/>
        <w:spacing w:before="240" w:after="283"/>
        <w:jc w:val="both"/>
        <w:rPr>
          <w:rFonts w:ascii="Arial" w:hAnsi="Arial"/>
          <w:color w:val="002668"/>
          <w:sz w:val="24"/>
          <w:u w:val="single"/>
        </w:rPr>
      </w:pPr>
      <w:r>
        <w:rPr>
          <w:rFonts w:ascii="Arial" w:hAnsi="Arial"/>
          <w:color w:val="002668"/>
          <w:sz w:val="24"/>
          <w:u w:val="single"/>
        </w:rPr>
        <w:t>Majority Voting Standard</w:t>
      </w:r>
    </w:p>
    <w:p>
      <w:pPr>
        <w:pStyle w:val="TextBody"/>
        <w:bidi w:val="0"/>
        <w:jc w:val="both"/>
        <w:rPr>
          <w:rFonts w:ascii="Arial" w:hAnsi="Arial"/>
          <w:color w:val="000000"/>
          <w:sz w:val="20"/>
        </w:rPr>
      </w:pPr>
      <w:r>
        <w:rPr>
          <w:rFonts w:ascii="Arial" w:hAnsi="Arial"/>
          <w:color w:val="000000"/>
          <w:sz w:val="20"/>
        </w:rPr>
        <w:t>Our directors are elected by a majority of the votes cast for them in uncontested elections. If an incumbent director does not receive the requisite majority of votes cast, then the director is expected to submit his or her resignation to the Board. Based on the recommendation of the NCG Committee, the Board would determine whether to accept the resignation and would publicly disclose its decision and its rationale. A director who tenders his or her offer of resignation would abstain from any decision or recommendation regarding the offered resignation.</w:t>
      </w:r>
    </w:p>
    <w:p>
      <w:pPr>
        <w:pStyle w:val="TextBody"/>
        <w:bidi w:val="0"/>
        <w:jc w:val="left"/>
        <w:rPr/>
      </w:pPr>
      <w:r>
        <w:rPr/>
        <w:t> </w:t>
      </w:r>
    </w:p>
    <w:tbl>
      <w:tblPr>
        <w:tblW w:w="3597" w:type="dxa"/>
        <w:jc w:val="left"/>
        <w:tblInd w:w="0" w:type="dxa"/>
        <w:tblLayout w:type="fixed"/>
        <w:tblCellMar>
          <w:top w:w="28" w:type="dxa"/>
          <w:left w:w="28" w:type="dxa"/>
          <w:bottom w:w="28" w:type="dxa"/>
          <w:right w:w="28" w:type="dxa"/>
        </w:tblCellMar>
      </w:tblPr>
      <w:tblGrid>
        <w:gridCol w:w="2161"/>
        <w:gridCol w:w="1436"/>
      </w:tblGrid>
      <w:tr>
        <w:trPr/>
        <w:tc>
          <w:tcPr>
            <w:tcW w:w="2161"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1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91F2C"/>
                <w:sz w:val="18"/>
              </w:rPr>
              <w:t>5</w:t>
            </w:r>
            <w:r>
              <w:rPr>
                <w:rFonts w:ascii="Times New Roman" w:hAnsi="Times New Roman"/>
                <w:color w:val="091F2C"/>
                <w:sz w:val="18"/>
              </w:rPr>
              <w:t> </w:t>
            </w:r>
            <w:r>
              <w:rPr>
                <w:rFonts w:ascii="Arial" w:hAnsi="Arial"/>
                <w:color w:val="091F2C"/>
                <w:sz w:val="18"/>
              </w:rPr>
              <w:t>I 2026 Proxy Statement</w:t>
            </w:r>
          </w:p>
        </w:tc>
        <w:tc>
          <w:tcPr>
            <w:tcW w:w="143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828675" cy="1905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828675" cy="190500"/>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3027" w:type="dxa"/>
        <w:jc w:val="left"/>
        <w:tblInd w:w="0" w:type="dxa"/>
        <w:tblLayout w:type="fixed"/>
        <w:tblCellMar>
          <w:top w:w="28" w:type="dxa"/>
          <w:left w:w="28" w:type="dxa"/>
          <w:bottom w:w="28" w:type="dxa"/>
          <w:right w:w="28" w:type="dxa"/>
        </w:tblCellMar>
      </w:tblPr>
      <w:tblGrid>
        <w:gridCol w:w="2836"/>
        <w:gridCol w:w="191"/>
      </w:tblGrid>
      <w:tr>
        <w:trPr/>
        <w:tc>
          <w:tcPr>
            <w:tcW w:w="28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36" w:type="dxa"/>
            <w:tcBorders/>
            <w:tcMar>
              <w:top w:w="0" w:type="dxa"/>
              <w:left w:w="0" w:type="dxa"/>
              <w:bottom w:w="0" w:type="dxa"/>
              <w:right w:w="0" w:type="dxa"/>
            </w:tcMar>
            <w:vAlign w:val="center"/>
          </w:tcPr>
          <w:p>
            <w:pPr>
              <w:pStyle w:val="TableContents"/>
              <w:bidi w:val="0"/>
              <w:spacing w:before="0" w:after="283"/>
              <w:jc w:val="left"/>
              <w:rPr>
                <w:rFonts w:ascii="Arial" w:hAnsi="Arial"/>
                <w:color w:val="002668"/>
                <w:sz w:val="20"/>
              </w:rPr>
            </w:pPr>
            <w:r>
              <w:rPr>
                <w:rFonts w:ascii="Arial" w:hAnsi="Arial"/>
                <w:color w:val="002668"/>
                <w:sz w:val="20"/>
              </w:rPr>
              <w:t>Board and Governance Matters</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836" w:type="dxa"/>
            <w:tcBorders>
              <w:bottom w:val="single" w:sz="8" w:space="0" w:color="002668"/>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both"/>
        <w:rPr>
          <w:rFonts w:ascii="Arial" w:hAnsi="Arial"/>
          <w:color w:val="002668"/>
          <w:sz w:val="24"/>
          <w:u w:val="single"/>
        </w:rPr>
      </w:pPr>
      <w:r>
        <w:rPr>
          <w:rFonts w:ascii="Arial" w:hAnsi="Arial"/>
          <w:color w:val="002668"/>
          <w:sz w:val="24"/>
          <w:u w:val="single"/>
        </w:rPr>
        <w:t>Director Time Commitments</w:t>
      </w:r>
    </w:p>
    <w:p>
      <w:pPr>
        <w:pStyle w:val="TextBody"/>
        <w:bidi w:val="0"/>
        <w:jc w:val="both"/>
        <w:rPr>
          <w:rFonts w:ascii="Times New Roman" w:hAnsi="Times New Roman"/>
          <w:sz w:val="20"/>
        </w:rPr>
      </w:pPr>
      <w:r>
        <w:rPr>
          <w:rFonts w:ascii="Arial" w:hAnsi="Arial"/>
          <w:color w:val="000000"/>
          <w:sz w:val="20"/>
        </w:rPr>
        <w:t>Our directors may not serve on more than three other public company boards, unless it is determined, based on the individual facts, that such service will not interfere with service on the Board. In connection with evaluating these facts, the Chairman of the Board and Chair of the NCG Committee will consider the time commitment required by the director’s service, if any, in leadership positions (e.g., board chair, committee chair, lead independent director, etc.) on the Board and any other public company board of directors. None of our director nominees serves on more than one other public company board, and our CEO does not serve on any other public company board. We track the time commitments of our independent directors, and the NCG Committee reviews this information annually.</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color w:val="002668"/>
          <w:sz w:val="24"/>
          <w:u w:val="single"/>
        </w:rPr>
        <w:t>Director Nominees</w:t>
      </w:r>
      <w:r>
        <w:rPr>
          <w:rFonts w:ascii="Times New Roman" w:hAnsi="Times New Roman"/>
          <w:color w:val="002668"/>
          <w:sz w:val="20"/>
        </w:rPr>
        <w:t xml:space="preserve"> </w:t>
      </w:r>
    </w:p>
    <w:p>
      <w:pPr>
        <w:pStyle w:val="TextBody"/>
        <w:bidi w:val="0"/>
        <w:jc w:val="both"/>
        <w:rPr>
          <w:rFonts w:ascii="Arial" w:hAnsi="Arial"/>
          <w:color w:val="000000"/>
          <w:sz w:val="20"/>
        </w:rPr>
      </w:pPr>
      <w:r>
        <w:rPr>
          <w:rFonts w:ascii="Arial" w:hAnsi="Arial"/>
          <w:color w:val="000000"/>
          <w:sz w:val="20"/>
        </w:rPr>
        <w:t>The Board has seven members. Pursuant to the recommendation of the NCG Committee, the Board has nominated six of the seven current directors for election at the 2026 Annual Meeting. If elected, each director nominee will hold office until the 2027 Annual Meeting and until his or her successor is elected and qualified. If any director nominee is unable or declines to serve as a director at the time of the 2026 Annual Meeting, the proxies will be voted for any director nominee designated by our current Board to fill the vacancy. We do not expect that any director nominee will be unable or will decline to serve as a director.</w:t>
      </w:r>
    </w:p>
    <w:p>
      <w:pPr>
        <w:pStyle w:val="TextBody"/>
        <w:bidi w:val="0"/>
        <w:jc w:val="both"/>
        <w:rPr>
          <w:rFonts w:ascii="Times New Roman" w:hAnsi="Times New Roman"/>
          <w:sz w:val="20"/>
        </w:rPr>
      </w:pPr>
      <w:r>
        <w:rPr>
          <w:rFonts w:ascii="Arial" w:hAnsi="Arial"/>
          <w:color w:val="000000"/>
          <w:sz w:val="20"/>
        </w:rPr>
        <w:t>Set forth below is information about each director nominee, including a description of his or her qualifications to serve on the Board and a listing of certain key skills and experiences from the Skills Matrix possessed by each director nominee.</w:t>
      </w:r>
      <w:r>
        <w:rPr>
          <w:rFonts w:ascii="Times New Roman" w:hAnsi="Times New Roman"/>
          <w:color w:val="000000"/>
          <w:sz w:val="20"/>
        </w:rPr>
        <w:t xml:space="preserve">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793"/>
        <w:gridCol w:w="8412"/>
      </w:tblGrid>
      <w:tr>
        <w:trPr/>
        <w:tc>
          <w:tcPr>
            <w:tcW w:w="1793" w:type="dxa"/>
            <w:tcBorders/>
            <w:vAlign w:val="center"/>
          </w:tcPr>
          <w:p>
            <w:pPr>
              <w:pStyle w:val="TableContents"/>
              <w:bidi w:val="0"/>
              <w:spacing w:before="0" w:after="283"/>
              <w:jc w:val="left"/>
              <w:rPr>
                <w:sz w:val="4"/>
                <w:szCs w:val="4"/>
              </w:rPr>
            </w:pPr>
            <w:r>
              <w:rPr>
                <w:sz w:val="4"/>
                <w:szCs w:val="4"/>
              </w:rPr>
            </w:r>
          </w:p>
        </w:tc>
        <w:tc>
          <w:tcPr>
            <w:tcW w:w="8412" w:type="dxa"/>
            <w:tcBorders/>
            <w:vAlign w:val="center"/>
          </w:tcPr>
          <w:p>
            <w:pPr>
              <w:pStyle w:val="TableContents"/>
              <w:bidi w:val="0"/>
              <w:spacing w:before="0" w:after="283"/>
              <w:ind w:left="0" w:right="0" w:firstLine="80"/>
              <w:jc w:val="left"/>
              <w:rPr>
                <w:sz w:val="4"/>
                <w:szCs w:val="4"/>
              </w:rPr>
            </w:pPr>
            <w:r>
              <w:rPr>
                <w:sz w:val="4"/>
                <w:szCs w:val="4"/>
              </w:rPr>
            </w:r>
          </w:p>
        </w:tc>
      </w:tr>
      <w:tr>
        <w:trPr/>
        <w:tc>
          <w:tcPr>
            <w:tcW w:w="10205" w:type="dxa"/>
            <w:gridSpan w:val="2"/>
            <w:tcBorders/>
            <w:shd w:fill="004B87" w:val="clear"/>
            <w:tcMar>
              <w:top w:w="0" w:type="dxa"/>
              <w:left w:w="0" w:type="dxa"/>
              <w:bottom w:w="0" w:type="dxa"/>
              <w:right w:w="0" w:type="dxa"/>
            </w:tcMar>
            <w:vAlign w:val="center"/>
          </w:tcPr>
          <w:p>
            <w:pPr>
              <w:pStyle w:val="TableContents"/>
              <w:bidi w:val="0"/>
              <w:spacing w:before="120" w:after="120"/>
              <w:ind w:left="0" w:right="0" w:firstLine="80"/>
              <w:jc w:val="both"/>
              <w:rPr>
                <w:rFonts w:ascii="Arial" w:hAnsi="Arial"/>
                <w:b/>
                <w:color w:val="FFFFFF"/>
                <w:sz w:val="20"/>
              </w:rPr>
            </w:pPr>
            <w:r>
              <w:rPr>
                <w:rFonts w:ascii="Arial" w:hAnsi="Arial"/>
                <w:b/>
                <w:color w:val="FFFFFF"/>
                <w:sz w:val="20"/>
              </w:rPr>
              <w:t>ANITA D. BRITT</w:t>
            </w:r>
          </w:p>
        </w:tc>
      </w:tr>
      <w:tr>
        <w:trPr/>
        <w:tc>
          <w:tcPr>
            <w:tcW w:w="1793" w:type="dxa"/>
            <w:vMerge w:val="restart"/>
            <w:tcBorders/>
            <w:tcMar>
              <w:top w:w="0" w:type="dxa"/>
              <w:left w:w="0" w:type="dxa"/>
              <w:bottom w:w="0" w:type="dxa"/>
              <w:right w:w="0" w:type="dxa"/>
            </w:tcMar>
            <w:vAlign w:val="center"/>
          </w:tcPr>
          <w:p>
            <w:pPr>
              <w:pStyle w:val="TableContents"/>
              <w:bidi w:val="0"/>
              <w:spacing w:before="80" w:after="283"/>
              <w:ind w:left="0" w:right="0" w:firstLine="80"/>
              <w:jc w:val="both"/>
              <w:rPr>
                <w:rFonts w:ascii="Times New Roman" w:hAnsi="Times New Roman"/>
                <w:sz w:val="18"/>
              </w:rPr>
            </w:pPr>
            <w:r>
              <w:rPr>
                <w:rFonts w:ascii="Arial" w:hAnsi="Arial"/>
                <w:b/>
                <w:color w:val="002668"/>
                <w:sz w:val="18"/>
              </w:rPr>
              <w:t>Age:</w:t>
            </w:r>
            <w:r>
              <w:rPr>
                <w:rFonts w:ascii="Times New Roman" w:hAnsi="Times New Roman"/>
                <w:color w:val="004B87"/>
                <w:sz w:val="18"/>
              </w:rPr>
              <w:t xml:space="preserve"> </w:t>
            </w:r>
            <w:r>
              <w:rPr>
                <w:rFonts w:ascii="Arial" w:hAnsi="Arial"/>
                <w:color w:val="000000"/>
                <w:sz w:val="18"/>
              </w:rPr>
              <w:t>63</w:t>
            </w:r>
          </w:p>
          <w:p>
            <w:pPr>
              <w:pStyle w:val="TableContents"/>
              <w:bidi w:val="0"/>
              <w:spacing w:before="120" w:after="283"/>
              <w:ind w:left="0" w:right="0" w:firstLine="80"/>
              <w:jc w:val="both"/>
              <w:rPr>
                <w:rFonts w:ascii="Times New Roman" w:hAnsi="Times New Roman"/>
                <w:sz w:val="18"/>
              </w:rPr>
            </w:pPr>
            <w:r>
              <w:rPr>
                <w:rFonts w:ascii="Arial" w:hAnsi="Arial"/>
                <w:b/>
                <w:color w:val="002668"/>
                <w:sz w:val="18"/>
              </w:rPr>
              <w:t>Director since:</w:t>
            </w:r>
            <w:r>
              <w:rPr>
                <w:rFonts w:ascii="Times New Roman" w:hAnsi="Times New Roman"/>
                <w:color w:val="004B87"/>
                <w:sz w:val="18"/>
              </w:rPr>
              <w:t xml:space="preserve"> </w:t>
            </w:r>
            <w:r>
              <w:rPr>
                <w:rFonts w:ascii="Arial" w:hAnsi="Arial"/>
                <w:color w:val="000000"/>
                <w:sz w:val="18"/>
              </w:rPr>
              <w:t>2018</w:t>
            </w:r>
          </w:p>
          <w:p>
            <w:pPr>
              <w:pStyle w:val="TableContents"/>
              <w:bidi w:val="0"/>
              <w:spacing w:before="120" w:after="283"/>
              <w:ind w:left="0" w:right="0" w:firstLine="80"/>
              <w:jc w:val="both"/>
              <w:rPr>
                <w:rFonts w:ascii="Arial" w:hAnsi="Arial"/>
                <w:b/>
                <w:color w:val="002668"/>
                <w:sz w:val="18"/>
              </w:rPr>
            </w:pPr>
            <w:r>
              <w:rPr>
                <w:rFonts w:ascii="Arial" w:hAnsi="Arial"/>
                <w:b/>
                <w:color w:val="002668"/>
                <w:sz w:val="18"/>
              </w:rPr>
              <w:t>Independent</w:t>
            </w:r>
          </w:p>
          <w:p>
            <w:pPr>
              <w:pStyle w:val="TableContents"/>
              <w:bidi w:val="0"/>
              <w:spacing w:before="120" w:after="283"/>
              <w:ind w:left="0" w:right="0" w:firstLine="80"/>
              <w:jc w:val="both"/>
              <w:rPr>
                <w:rFonts w:ascii="Arial" w:hAnsi="Arial"/>
                <w:b/>
                <w:color w:val="002668"/>
                <w:sz w:val="18"/>
              </w:rPr>
            </w:pPr>
            <w:r>
              <w:rPr>
                <w:rFonts w:ascii="Arial" w:hAnsi="Arial"/>
                <w:b/>
                <w:color w:val="002668"/>
                <w:sz w:val="18"/>
              </w:rPr>
              <w:t>Board committees:</w:t>
            </w:r>
          </w:p>
          <w:p>
            <w:pPr>
              <w:pStyle w:val="TableContents"/>
              <w:bidi w:val="0"/>
              <w:ind w:left="0" w:right="0" w:firstLine="80"/>
              <w:jc w:val="both"/>
              <w:rPr>
                <w:rFonts w:ascii="Arial" w:hAnsi="Arial"/>
                <w:color w:val="000000"/>
                <w:sz w:val="18"/>
              </w:rPr>
            </w:pPr>
            <w:r>
              <w:rPr>
                <w:rFonts w:ascii="Arial" w:hAnsi="Arial"/>
                <w:color w:val="000000"/>
                <w:sz w:val="18"/>
              </w:rPr>
              <w:t> Audit</w:t>
            </w:r>
          </w:p>
          <w:p>
            <w:pPr>
              <w:pStyle w:val="TableContents"/>
              <w:bidi w:val="0"/>
              <w:ind w:left="0" w:right="0" w:firstLine="80"/>
              <w:jc w:val="both"/>
              <w:rPr>
                <w:rFonts w:ascii="Times New Roman" w:hAnsi="Times New Roman"/>
                <w:sz w:val="18"/>
              </w:rPr>
            </w:pPr>
            <w:r>
              <w:rPr>
                <w:rFonts w:ascii="Arial" w:hAnsi="Arial"/>
                <w:color w:val="000000"/>
                <w:sz w:val="18"/>
              </w:rPr>
              <w:t> Compensation</w:t>
            </w:r>
            <w:r>
              <w:rPr>
                <w:rFonts w:ascii="Times New Roman" w:hAnsi="Times New Roman"/>
                <w:color w:val="000000"/>
                <w:sz w:val="18"/>
              </w:rPr>
              <w:t xml:space="preserve"> </w:t>
            </w:r>
          </w:p>
          <w:p>
            <w:pPr>
              <w:pStyle w:val="TableContents"/>
              <w:bidi w:val="0"/>
              <w:ind w:left="0" w:right="0" w:firstLine="80"/>
              <w:jc w:val="both"/>
              <w:rPr>
                <w:rFonts w:ascii="Arial" w:hAnsi="Arial"/>
                <w:color w:val="000000"/>
                <w:sz w:val="18"/>
              </w:rPr>
            </w:pPr>
            <w:r>
              <w:rPr>
                <w:rFonts w:ascii="Arial" w:hAnsi="Arial"/>
                <w:color w:val="000000"/>
                <w:sz w:val="18"/>
              </w:rPr>
              <w:t> Sustainability</w:t>
            </w:r>
          </w:p>
          <w:p>
            <w:pPr>
              <w:pStyle w:val="TableContents"/>
              <w:bidi w:val="0"/>
              <w:spacing w:before="120" w:after="283"/>
              <w:ind w:left="0" w:right="0" w:firstLine="80"/>
              <w:jc w:val="both"/>
              <w:rPr>
                <w:rFonts w:ascii="Arial" w:hAnsi="Arial"/>
                <w:b/>
                <w:color w:val="002668"/>
                <w:sz w:val="18"/>
              </w:rPr>
            </w:pPr>
            <w:r>
              <w:rPr>
                <w:rFonts w:ascii="Arial" w:hAnsi="Arial"/>
                <w:b/>
                <w:color w:val="002668"/>
                <w:sz w:val="18"/>
              </w:rPr>
              <w:t>Other public company boards:</w:t>
            </w:r>
          </w:p>
          <w:p>
            <w:pPr>
              <w:pStyle w:val="TableContents"/>
              <w:bidi w:val="0"/>
              <w:ind w:left="0" w:right="0" w:firstLine="80"/>
              <w:jc w:val="both"/>
              <w:rPr>
                <w:rFonts w:ascii="Arial" w:hAnsi="Arial"/>
                <w:color w:val="000000"/>
                <w:sz w:val="18"/>
              </w:rPr>
            </w:pPr>
            <w:r>
              <w:rPr>
                <w:rFonts w:ascii="Arial" w:hAnsi="Arial"/>
                <w:color w:val="000000"/>
                <w:sz w:val="18"/>
              </w:rPr>
              <w:t> VSE Corporation</w:t>
            </w:r>
          </w:p>
          <w:p>
            <w:pPr>
              <w:pStyle w:val="TableContents"/>
              <w:bidi w:val="0"/>
              <w:spacing w:before="120" w:after="283"/>
              <w:ind w:left="0" w:right="0" w:firstLine="80"/>
              <w:jc w:val="both"/>
              <w:rPr>
                <w:rFonts w:ascii="Arial" w:hAnsi="Arial"/>
                <w:b/>
                <w:color w:val="002668"/>
                <w:sz w:val="18"/>
              </w:rPr>
            </w:pPr>
            <w:r>
              <w:rPr>
                <w:rFonts w:ascii="Arial" w:hAnsi="Arial"/>
                <w:b/>
                <w:color w:val="002668"/>
                <w:sz w:val="18"/>
              </w:rPr>
              <w:t>Other public company boards within five years:</w:t>
            </w:r>
          </w:p>
          <w:p>
            <w:pPr>
              <w:pStyle w:val="TableContents"/>
              <w:bidi w:val="0"/>
              <w:ind w:left="0" w:right="0" w:firstLine="80"/>
              <w:jc w:val="both"/>
              <w:rPr>
                <w:rFonts w:ascii="Arial" w:hAnsi="Arial"/>
                <w:color w:val="000000"/>
                <w:sz w:val="18"/>
              </w:rPr>
            </w:pPr>
            <w:r>
              <w:rPr>
                <w:rFonts w:ascii="Arial" w:hAnsi="Arial"/>
                <w:color w:val="000000"/>
                <w:sz w:val="18"/>
              </w:rPr>
              <w:t> Delta Apparel, Inc.</w:t>
            </w:r>
          </w:p>
          <w:p>
            <w:pPr>
              <w:pStyle w:val="TableContents"/>
              <w:bidi w:val="0"/>
              <w:ind w:left="0" w:right="0" w:firstLine="80"/>
              <w:jc w:val="both"/>
              <w:rPr>
                <w:rFonts w:ascii="Arial" w:hAnsi="Arial"/>
                <w:color w:val="000000"/>
                <w:sz w:val="18"/>
              </w:rPr>
            </w:pPr>
            <w:r>
              <w:rPr>
                <w:rFonts w:ascii="Arial" w:hAnsi="Arial"/>
                <w:color w:val="000000"/>
                <w:sz w:val="18"/>
              </w:rPr>
              <w:t> urban-gro, Inc.</w:t>
            </w:r>
          </w:p>
          <w:p>
            <w:pPr>
              <w:pStyle w:val="TableContents"/>
              <w:bidi w:val="0"/>
              <w:spacing w:before="0" w:after="283"/>
              <w:ind w:left="0" w:right="0" w:firstLine="80"/>
              <w:jc w:val="left"/>
              <w:rPr/>
            </w:pPr>
            <w:r>
              <w:rPr/>
              <w:t> </w:t>
            </w:r>
          </w:p>
        </w:tc>
        <w:tc>
          <w:tcPr>
            <w:tcW w:w="8412" w:type="dxa"/>
            <w:tcBorders/>
            <w:shd w:fill="D9D9D9" w:val="clear"/>
            <w:tcMar>
              <w:top w:w="0" w:type="dxa"/>
              <w:left w:w="0" w:type="dxa"/>
              <w:bottom w:w="0" w:type="dxa"/>
              <w:right w:w="0" w:type="dxa"/>
            </w:tcMar>
            <w:vAlign w:val="center"/>
          </w:tcPr>
          <w:p>
            <w:pPr>
              <w:pStyle w:val="TableContents"/>
              <w:bidi w:val="0"/>
              <w:spacing w:before="80" w:after="283"/>
              <w:ind w:left="0" w:right="0" w:firstLine="80"/>
              <w:jc w:val="both"/>
              <w:rPr>
                <w:rFonts w:ascii="Arial" w:hAnsi="Arial"/>
                <w:b/>
                <w:color w:val="004B87"/>
                <w:sz w:val="18"/>
              </w:rPr>
            </w:pPr>
            <w:r>
              <w:rPr>
                <w:rFonts w:ascii="Arial" w:hAnsi="Arial"/>
                <w:b/>
                <w:color w:val="004B87"/>
                <w:sz w:val="18"/>
              </w:rPr>
              <w:t>Background:</w:t>
            </w:r>
          </w:p>
          <w:p>
            <w:pPr>
              <w:pStyle w:val="TableContents"/>
              <w:bidi w:val="0"/>
              <w:spacing w:before="0" w:after="283"/>
              <w:ind w:left="0" w:right="0" w:firstLine="80"/>
              <w:jc w:val="left"/>
              <w:rPr>
                <w:rFonts w:ascii="Arial" w:hAnsi="Arial"/>
                <w:color w:val="000000"/>
                <w:sz w:val="18"/>
              </w:rPr>
            </w:pPr>
            <w:r>
              <w:rPr>
                <w:rFonts w:ascii="Arial" w:hAnsi="Arial"/>
                <w:color w:val="000000"/>
                <w:sz w:val="18"/>
              </w:rPr>
              <w:t>Ms. Britt served as CFO of Perry Ellis International, Inc. from 2009 to 2017 and held senior financial leadership positions at Jones Apparel Group, Inc. (1993 to 2006) and Urban Brands, Inc. (2006 to 2009). Ms. Britt is a CPA and a member of the American Institute of Certified Public Accountants. She is also a Board Leadership Fellow, as designated by the National Association of Corporate Directors. Ms. Britt holds a Carnegie Mellon Cybersecurity Oversight Certification, a Harvard Kennedy School Executive Education Certificate in Cybersecurity: The Intersection of Policy and Technology, and a MIT Sloan School of Management Cybersecurity Governance for the Board of Directors certification.</w:t>
            </w:r>
          </w:p>
        </w:tc>
      </w:tr>
      <w:tr>
        <w:trPr/>
        <w:tc>
          <w:tcPr>
            <w:tcW w:w="1793" w:type="dxa"/>
            <w:vMerge w:val="continue"/>
            <w:tcBorders/>
            <w:tcMar>
              <w:top w:w="0" w:type="dxa"/>
              <w:left w:w="0" w:type="dxa"/>
              <w:bottom w:w="0" w:type="dxa"/>
              <w:right w:w="0" w:type="dxa"/>
            </w:tcMar>
            <w:vAlign w:val="center"/>
          </w:tcPr>
          <w:p>
            <w:pPr>
              <w:pStyle w:val="Normal"/>
              <w:bidi w:val="0"/>
              <w:jc w:val="left"/>
              <w:rPr/>
            </w:pPr>
            <w:r>
              <w:rPr/>
            </w:r>
          </w:p>
        </w:tc>
        <w:tc>
          <w:tcPr>
            <w:tcW w:w="8412" w:type="dxa"/>
            <w:tcBorders/>
            <w:tcMar>
              <w:top w:w="0" w:type="dxa"/>
              <w:left w:w="0" w:type="dxa"/>
              <w:bottom w:w="0" w:type="dxa"/>
              <w:right w:w="0" w:type="dxa"/>
            </w:tcMar>
            <w:vAlign w:val="center"/>
          </w:tcPr>
          <w:p>
            <w:pPr>
              <w:pStyle w:val="TableContents"/>
              <w:bidi w:val="0"/>
              <w:spacing w:before="80" w:after="283"/>
              <w:ind w:left="0" w:right="0" w:firstLine="80"/>
              <w:jc w:val="left"/>
              <w:rPr>
                <w:rFonts w:ascii="Arial" w:hAnsi="Arial"/>
                <w:b/>
                <w:color w:val="004B87"/>
                <w:sz w:val="18"/>
              </w:rPr>
            </w:pPr>
            <w:r>
              <w:rPr>
                <w:rFonts w:ascii="Arial" w:hAnsi="Arial"/>
                <w:b/>
                <w:color w:val="004B87"/>
                <w:sz w:val="18"/>
              </w:rPr>
              <w:t>Key Qualifications and Skills Include:</w:t>
            </w:r>
          </w:p>
          <w:p>
            <w:pPr>
              <w:pStyle w:val="TableContents"/>
              <w:bidi w:val="0"/>
              <w:ind w:left="0" w:right="0" w:firstLine="80"/>
              <w:jc w:val="both"/>
              <w:rPr/>
            </w:pPr>
            <w:r>
              <w:rPr>
                <w:color w:val="000000"/>
              </w:rPr>
              <w:t>   </w:t>
            </w:r>
            <w:r>
              <w:rPr>
                <w:rFonts w:ascii="Arial" w:hAnsi="Arial"/>
                <w:b/>
                <w:color w:val="000000"/>
                <w:sz w:val="18"/>
              </w:rPr>
              <w:t>Financial</w:t>
            </w:r>
            <w:r>
              <w:rPr>
                <w:rFonts w:ascii="Arial" w:hAnsi="Arial"/>
                <w:color w:val="000000"/>
                <w:sz w:val="18"/>
              </w:rPr>
              <w:t>. Extensive corporate finance, investor relations, and capital markets</w:t>
            </w:r>
          </w:p>
          <w:p>
            <w:pPr>
              <w:pStyle w:val="TableContents"/>
              <w:bidi w:val="0"/>
              <w:ind w:left="0" w:right="0" w:firstLine="80"/>
              <w:jc w:val="both"/>
              <w:rPr>
                <w:color w:val="000000"/>
              </w:rPr>
            </w:pPr>
            <w:r>
              <w:rPr>
                <w:color w:val="000000"/>
              </w:rPr>
              <w:t> </w:t>
            </w:r>
            <w:r>
              <w:rPr>
                <w:rFonts w:ascii="Arial" w:hAnsi="Arial"/>
                <w:color w:val="000000"/>
                <w:sz w:val="18"/>
              </w:rPr>
              <w:t>experience gained through service as a public company CFO and other senior</w:t>
            </w:r>
          </w:p>
          <w:p>
            <w:pPr>
              <w:pStyle w:val="TableContents"/>
              <w:bidi w:val="0"/>
              <w:ind w:left="0" w:right="0" w:firstLine="80"/>
              <w:jc w:val="both"/>
              <w:rPr>
                <w:color w:val="000000"/>
              </w:rPr>
            </w:pPr>
            <w:r>
              <w:rPr>
                <w:color w:val="000000"/>
              </w:rPr>
              <w:t>   </w:t>
            </w:r>
            <w:r>
              <w:rPr>
                <w:rFonts w:ascii="Arial" w:hAnsi="Arial"/>
                <w:color w:val="000000"/>
                <w:sz w:val="18"/>
              </w:rPr>
              <w:t>financial roles; certified public accountant</w:t>
            </w:r>
          </w:p>
          <w:p>
            <w:pPr>
              <w:pStyle w:val="TableContents"/>
              <w:bidi w:val="0"/>
              <w:spacing w:before="20" w:after="283"/>
              <w:ind w:left="0" w:right="0" w:firstLine="80"/>
              <w:jc w:val="both"/>
              <w:rPr/>
            </w:pPr>
            <w:r>
              <w:rPr>
                <w:color w:val="000000"/>
              </w:rPr>
              <w:t>   </w:t>
            </w:r>
            <w:r>
              <w:rPr>
                <w:rFonts w:ascii="Arial" w:hAnsi="Arial"/>
                <w:b/>
                <w:color w:val="000000"/>
                <w:sz w:val="18"/>
              </w:rPr>
              <w:t>Public Company Board</w:t>
            </w:r>
            <w:r>
              <w:rPr>
                <w:rFonts w:ascii="Arial" w:hAnsi="Arial"/>
                <w:color w:val="000000"/>
                <w:sz w:val="18"/>
              </w:rPr>
              <w:t>. Service on two other boards (see related caption)</w:t>
            </w:r>
          </w:p>
          <w:p>
            <w:pPr>
              <w:pStyle w:val="TableContents"/>
              <w:bidi w:val="0"/>
              <w:spacing w:before="20" w:after="283"/>
              <w:ind w:left="0" w:right="0" w:firstLine="80"/>
              <w:jc w:val="both"/>
              <w:rPr/>
            </w:pPr>
            <w:r>
              <w:rPr>
                <w:color w:val="000000"/>
              </w:rPr>
              <w:t>   </w:t>
            </w:r>
            <w:r>
              <w:rPr>
                <w:rFonts w:ascii="Arial" w:hAnsi="Arial"/>
                <w:b/>
                <w:color w:val="000000"/>
                <w:sz w:val="18"/>
              </w:rPr>
              <w:t>Risk Management</w:t>
            </w:r>
            <w:r>
              <w:rPr>
                <w:rFonts w:ascii="Arial" w:hAnsi="Arial"/>
                <w:color w:val="000000"/>
                <w:sz w:val="18"/>
              </w:rPr>
              <w:t>. Certified public accountant; former public company</w:t>
            </w:r>
          </w:p>
          <w:p>
            <w:pPr>
              <w:pStyle w:val="TableContents"/>
              <w:bidi w:val="0"/>
              <w:spacing w:before="0" w:after="283"/>
              <w:ind w:left="0" w:right="0" w:firstLine="86"/>
              <w:jc w:val="left"/>
              <w:rPr>
                <w:rFonts w:ascii="Arial" w:hAnsi="Arial"/>
                <w:color w:val="000000"/>
                <w:sz w:val="18"/>
              </w:rPr>
            </w:pPr>
            <w:r>
              <w:rPr>
                <w:rFonts w:ascii="Arial" w:hAnsi="Arial"/>
                <w:color w:val="000000"/>
                <w:sz w:val="18"/>
              </w:rPr>
              <w:t>CFO; holds multiple cybersecurity certifications (see above)</w:t>
            </w:r>
          </w:p>
        </w:tc>
      </w:tr>
      <w:tr>
        <w:trPr/>
        <w:tc>
          <w:tcPr>
            <w:tcW w:w="10205" w:type="dxa"/>
            <w:gridSpan w:val="2"/>
            <w:tcBorders/>
            <w:shd w:fill="004B87" w:val="clear"/>
            <w:tcMar>
              <w:top w:w="0" w:type="dxa"/>
              <w:left w:w="0" w:type="dxa"/>
              <w:bottom w:w="0" w:type="dxa"/>
              <w:right w:w="0" w:type="dxa"/>
            </w:tcMar>
            <w:vAlign w:val="center"/>
          </w:tcPr>
          <w:p>
            <w:pPr>
              <w:pStyle w:val="TableContents"/>
              <w:bidi w:val="0"/>
              <w:spacing w:before="100" w:after="100"/>
              <w:ind w:left="0" w:right="0" w:firstLine="80"/>
              <w:jc w:val="both"/>
              <w:rPr>
                <w:rFonts w:ascii="Arial" w:hAnsi="Arial"/>
                <w:b/>
                <w:color w:val="FFFFFF"/>
                <w:sz w:val="20"/>
              </w:rPr>
            </w:pPr>
            <w:r>
              <w:rPr>
                <w:rFonts w:ascii="Arial" w:hAnsi="Arial"/>
                <w:b/>
                <w:color w:val="FFFFFF"/>
                <w:sz w:val="20"/>
              </w:rPr>
              <w:t>MICHELLE J. LOHMEIER</w:t>
            </w:r>
          </w:p>
        </w:tc>
      </w:tr>
      <w:tr>
        <w:trPr/>
        <w:tc>
          <w:tcPr>
            <w:tcW w:w="1793" w:type="dxa"/>
            <w:vMerge w:val="restart"/>
            <w:tcBorders/>
            <w:tcMar>
              <w:top w:w="0" w:type="dxa"/>
              <w:left w:w="0" w:type="dxa"/>
              <w:bottom w:w="0" w:type="dxa"/>
              <w:right w:w="0" w:type="dxa"/>
            </w:tcMar>
            <w:vAlign w:val="center"/>
          </w:tcPr>
          <w:p>
            <w:pPr>
              <w:pStyle w:val="TableContents"/>
              <w:bidi w:val="0"/>
              <w:spacing w:before="80" w:after="283"/>
              <w:ind w:left="0" w:right="0" w:firstLine="80"/>
              <w:jc w:val="both"/>
              <w:rPr>
                <w:rFonts w:ascii="Times New Roman" w:hAnsi="Times New Roman"/>
                <w:sz w:val="18"/>
              </w:rPr>
            </w:pPr>
            <w:r>
              <w:rPr>
                <w:rFonts w:ascii="Arial" w:hAnsi="Arial"/>
                <w:b/>
                <w:color w:val="002668"/>
                <w:sz w:val="18"/>
              </w:rPr>
              <w:t>Age:</w:t>
            </w:r>
            <w:r>
              <w:rPr>
                <w:rFonts w:ascii="Times New Roman" w:hAnsi="Times New Roman"/>
                <w:color w:val="004B87"/>
                <w:sz w:val="18"/>
              </w:rPr>
              <w:t xml:space="preserve"> </w:t>
            </w:r>
            <w:r>
              <w:rPr>
                <w:rFonts w:ascii="Arial" w:hAnsi="Arial"/>
                <w:color w:val="000000"/>
                <w:sz w:val="18"/>
              </w:rPr>
              <w:t>63</w:t>
            </w:r>
          </w:p>
          <w:p>
            <w:pPr>
              <w:pStyle w:val="TableContents"/>
              <w:bidi w:val="0"/>
              <w:spacing w:before="120" w:after="283"/>
              <w:ind w:left="0" w:right="0" w:firstLine="80"/>
              <w:jc w:val="both"/>
              <w:rPr>
                <w:rFonts w:ascii="Times New Roman" w:hAnsi="Times New Roman"/>
                <w:sz w:val="18"/>
              </w:rPr>
            </w:pPr>
            <w:r>
              <w:rPr>
                <w:rFonts w:ascii="Arial" w:hAnsi="Arial"/>
                <w:b/>
                <w:color w:val="002668"/>
                <w:sz w:val="18"/>
              </w:rPr>
              <w:t>Director since:</w:t>
            </w:r>
            <w:r>
              <w:rPr>
                <w:rFonts w:ascii="Times New Roman" w:hAnsi="Times New Roman"/>
                <w:color w:val="004B87"/>
                <w:sz w:val="18"/>
              </w:rPr>
              <w:t xml:space="preserve"> </w:t>
            </w:r>
            <w:r>
              <w:rPr>
                <w:rFonts w:ascii="Arial" w:hAnsi="Arial"/>
                <w:color w:val="000000"/>
                <w:sz w:val="18"/>
              </w:rPr>
              <w:t>2023</w:t>
            </w:r>
          </w:p>
          <w:p>
            <w:pPr>
              <w:pStyle w:val="TableContents"/>
              <w:bidi w:val="0"/>
              <w:spacing w:before="120" w:after="283"/>
              <w:ind w:left="0" w:right="0" w:firstLine="80"/>
              <w:jc w:val="both"/>
              <w:rPr>
                <w:rFonts w:ascii="Arial" w:hAnsi="Arial"/>
                <w:b/>
                <w:color w:val="002668"/>
                <w:sz w:val="18"/>
              </w:rPr>
            </w:pPr>
            <w:r>
              <w:rPr>
                <w:rFonts w:ascii="Arial" w:hAnsi="Arial"/>
                <w:b/>
                <w:color w:val="002668"/>
                <w:sz w:val="18"/>
              </w:rPr>
              <w:t>Independent</w:t>
            </w:r>
          </w:p>
          <w:p>
            <w:pPr>
              <w:pStyle w:val="TableContents"/>
              <w:bidi w:val="0"/>
              <w:spacing w:before="120" w:after="283"/>
              <w:ind w:left="0" w:right="0" w:firstLine="80"/>
              <w:jc w:val="both"/>
              <w:rPr>
                <w:rFonts w:ascii="Arial" w:hAnsi="Arial"/>
                <w:b/>
                <w:color w:val="002668"/>
                <w:sz w:val="18"/>
              </w:rPr>
            </w:pPr>
            <w:r>
              <w:rPr>
                <w:rFonts w:ascii="Arial" w:hAnsi="Arial"/>
                <w:b/>
                <w:color w:val="002668"/>
                <w:sz w:val="18"/>
              </w:rPr>
              <w:t>Board committees:</w:t>
            </w:r>
          </w:p>
          <w:p>
            <w:pPr>
              <w:pStyle w:val="TableContents"/>
              <w:bidi w:val="0"/>
              <w:ind w:left="0" w:right="0" w:firstLine="80"/>
              <w:jc w:val="both"/>
              <w:rPr>
                <w:rFonts w:ascii="Arial" w:hAnsi="Arial"/>
                <w:color w:val="000000"/>
                <w:sz w:val="18"/>
              </w:rPr>
            </w:pPr>
            <w:r>
              <w:rPr>
                <w:rFonts w:ascii="Arial" w:hAnsi="Arial"/>
                <w:color w:val="000000"/>
                <w:sz w:val="18"/>
              </w:rPr>
              <w:t> Audit</w:t>
            </w:r>
          </w:p>
          <w:p>
            <w:pPr>
              <w:pStyle w:val="TableContents"/>
              <w:bidi w:val="0"/>
              <w:ind w:left="0" w:right="0" w:firstLine="80"/>
              <w:jc w:val="both"/>
              <w:rPr>
                <w:rFonts w:ascii="Arial" w:hAnsi="Arial"/>
                <w:color w:val="000000"/>
                <w:sz w:val="18"/>
              </w:rPr>
            </w:pPr>
            <w:r>
              <w:rPr>
                <w:rFonts w:ascii="Arial" w:hAnsi="Arial"/>
                <w:color w:val="000000"/>
                <w:sz w:val="18"/>
              </w:rPr>
              <w:t> Compensation</w:t>
            </w:r>
          </w:p>
          <w:p>
            <w:pPr>
              <w:pStyle w:val="TableContents"/>
              <w:bidi w:val="0"/>
              <w:ind w:left="0" w:right="0" w:firstLine="80"/>
              <w:jc w:val="both"/>
              <w:rPr>
                <w:rFonts w:ascii="Arial" w:hAnsi="Arial"/>
                <w:color w:val="000000"/>
                <w:sz w:val="18"/>
              </w:rPr>
            </w:pPr>
            <w:r>
              <w:rPr>
                <w:rFonts w:ascii="Arial" w:hAnsi="Arial"/>
                <w:color w:val="000000"/>
                <w:sz w:val="18"/>
              </w:rPr>
              <w:t> Sustainability</w:t>
            </w:r>
          </w:p>
          <w:p>
            <w:pPr>
              <w:pStyle w:val="TableContents"/>
              <w:bidi w:val="0"/>
              <w:spacing w:before="120" w:after="283"/>
              <w:ind w:left="0" w:right="0" w:firstLine="80"/>
              <w:jc w:val="both"/>
              <w:rPr>
                <w:rFonts w:ascii="Arial" w:hAnsi="Arial"/>
                <w:b/>
                <w:color w:val="002668"/>
                <w:sz w:val="18"/>
              </w:rPr>
            </w:pPr>
            <w:r>
              <w:rPr>
                <w:rFonts w:ascii="Arial" w:hAnsi="Arial"/>
                <w:b/>
                <w:color w:val="002668"/>
                <w:sz w:val="18"/>
              </w:rPr>
              <w:t>Other public company boards:</w:t>
            </w:r>
          </w:p>
          <w:p>
            <w:pPr>
              <w:pStyle w:val="TableContents"/>
              <w:bidi w:val="0"/>
              <w:ind w:left="0" w:right="0" w:firstLine="80"/>
              <w:jc w:val="both"/>
              <w:rPr>
                <w:rFonts w:ascii="Times New Roman" w:hAnsi="Times New Roman"/>
                <w:sz w:val="18"/>
              </w:rPr>
            </w:pPr>
            <w:r>
              <w:rPr>
                <w:rFonts w:ascii="Arial" w:hAnsi="Arial"/>
                <w:color w:val="1F497D"/>
                <w:sz w:val="18"/>
              </w:rPr>
              <w:t xml:space="preserve"> </w:t>
            </w:r>
            <w:r>
              <w:rPr>
                <w:rFonts w:ascii="Times New Roman" w:hAnsi="Times New Roman"/>
                <w:color w:val="000000"/>
                <w:sz w:val="18"/>
              </w:rPr>
              <w:t> </w:t>
            </w:r>
            <w:r>
              <w:rPr>
                <w:rFonts w:ascii="Arial" w:hAnsi="Arial"/>
                <w:color w:val="000000"/>
                <w:sz w:val="18"/>
              </w:rPr>
              <w:t>Mistras Group, Inc.</w:t>
            </w:r>
            <w:r>
              <w:rPr>
                <w:rFonts w:ascii="Times New Roman" w:hAnsi="Times New Roman"/>
                <w:color w:val="000000"/>
                <w:sz w:val="18"/>
              </w:rPr>
              <w:t xml:space="preserve"> </w:t>
            </w:r>
          </w:p>
          <w:p>
            <w:pPr>
              <w:pStyle w:val="TableContents"/>
              <w:bidi w:val="0"/>
              <w:spacing w:before="120" w:after="283"/>
              <w:ind w:left="0" w:right="0" w:firstLine="80"/>
              <w:jc w:val="both"/>
              <w:rPr>
                <w:rFonts w:ascii="Arial" w:hAnsi="Arial"/>
                <w:b/>
                <w:color w:val="002668"/>
                <w:sz w:val="18"/>
              </w:rPr>
            </w:pPr>
            <w:r>
              <w:rPr>
                <w:rFonts w:ascii="Arial" w:hAnsi="Arial"/>
                <w:b/>
                <w:color w:val="002668"/>
                <w:sz w:val="18"/>
              </w:rPr>
              <w:t>Other public company boards within five years:</w:t>
            </w:r>
          </w:p>
        </w:tc>
        <w:tc>
          <w:tcPr>
            <w:tcW w:w="8412" w:type="dxa"/>
            <w:tcBorders/>
            <w:shd w:fill="D9D9D9" w:val="clear"/>
            <w:tcMar>
              <w:top w:w="0" w:type="dxa"/>
              <w:left w:w="0" w:type="dxa"/>
              <w:bottom w:w="0" w:type="dxa"/>
              <w:right w:w="0" w:type="dxa"/>
            </w:tcMar>
            <w:vAlign w:val="center"/>
          </w:tcPr>
          <w:p>
            <w:pPr>
              <w:pStyle w:val="TableContents"/>
              <w:bidi w:val="0"/>
              <w:spacing w:before="80" w:after="283"/>
              <w:ind w:left="0" w:right="0" w:firstLine="80"/>
              <w:jc w:val="both"/>
              <w:rPr>
                <w:rFonts w:ascii="Arial" w:hAnsi="Arial"/>
                <w:b/>
                <w:color w:val="004B87"/>
                <w:sz w:val="18"/>
              </w:rPr>
            </w:pPr>
            <w:r>
              <w:rPr>
                <w:rFonts w:ascii="Arial" w:hAnsi="Arial"/>
                <w:b/>
                <w:color w:val="004B87"/>
                <w:sz w:val="18"/>
              </w:rPr>
              <w:t>Background:</w:t>
            </w:r>
          </w:p>
          <w:p>
            <w:pPr>
              <w:pStyle w:val="TableContents"/>
              <w:bidi w:val="0"/>
              <w:spacing w:before="0" w:after="283"/>
              <w:ind w:left="0" w:right="0" w:firstLine="80"/>
              <w:jc w:val="left"/>
              <w:rPr>
                <w:rFonts w:ascii="Times New Roman" w:hAnsi="Times New Roman"/>
                <w:sz w:val="18"/>
              </w:rPr>
            </w:pPr>
            <w:r>
              <w:rPr>
                <w:rFonts w:ascii="Arial" w:hAnsi="Arial"/>
                <w:color w:val="000000"/>
                <w:sz w:val="18"/>
              </w:rPr>
              <w:t>Ms. Lohmeier is a former senior advisor to the CEO of Spirit AeroSystems Holdings, Inc., having served in that position from 2019 to 2021. Prior to that, she had served as SVP and General Manager of Airbus Programs at Spirit AeroSystems. Before joining Spirit AeroSystems, Ms. Lohmeier held senior positions at Raytheon Company, including VP of the Land Warfare Systems product line at Raytheon Missile Systems. Previously, she was the program director at Raytheon for the design, development, and production implementation of the Standard Missile-6 weapon system for the U.S. Navy. She began her career with Hughes Aircraft Company as a system test engineer in 1985.</w:t>
            </w:r>
            <w:r>
              <w:rPr>
                <w:rFonts w:ascii="Times New Roman" w:hAnsi="Times New Roman"/>
                <w:color w:val="000000"/>
                <w:sz w:val="18"/>
              </w:rPr>
              <w:t xml:space="preserve"> </w:t>
            </w:r>
          </w:p>
        </w:tc>
      </w:tr>
      <w:tr>
        <w:trPr/>
        <w:tc>
          <w:tcPr>
            <w:tcW w:w="1793" w:type="dxa"/>
            <w:vMerge w:val="continue"/>
            <w:tcBorders/>
            <w:tcMar>
              <w:top w:w="0" w:type="dxa"/>
              <w:left w:w="0" w:type="dxa"/>
              <w:bottom w:w="0" w:type="dxa"/>
              <w:right w:w="0" w:type="dxa"/>
            </w:tcMar>
            <w:vAlign w:val="center"/>
          </w:tcPr>
          <w:p>
            <w:pPr>
              <w:pStyle w:val="Normal"/>
              <w:bidi w:val="0"/>
              <w:jc w:val="left"/>
              <w:rPr/>
            </w:pPr>
            <w:r>
              <w:rPr/>
            </w:r>
          </w:p>
        </w:tc>
        <w:tc>
          <w:tcPr>
            <w:tcW w:w="8412" w:type="dxa"/>
            <w:tcBorders/>
            <w:tcMar>
              <w:top w:w="0" w:type="dxa"/>
              <w:left w:w="0" w:type="dxa"/>
              <w:bottom w:w="0" w:type="dxa"/>
              <w:right w:w="0" w:type="dxa"/>
            </w:tcMar>
            <w:vAlign w:val="center"/>
          </w:tcPr>
          <w:p>
            <w:pPr>
              <w:pStyle w:val="TableContents"/>
              <w:bidi w:val="0"/>
              <w:spacing w:before="80" w:after="283"/>
              <w:ind w:left="0" w:right="0" w:firstLine="80"/>
              <w:jc w:val="left"/>
              <w:rPr>
                <w:rFonts w:ascii="Arial" w:hAnsi="Arial"/>
                <w:b/>
                <w:color w:val="004B87"/>
                <w:sz w:val="18"/>
              </w:rPr>
            </w:pPr>
            <w:r>
              <w:rPr>
                <w:rFonts w:ascii="Arial" w:hAnsi="Arial"/>
                <w:b/>
                <w:color w:val="004B87"/>
                <w:sz w:val="18"/>
              </w:rPr>
              <w:t>Key Qualifications and Skills Include:</w:t>
            </w:r>
          </w:p>
        </w:tc>
      </w:tr>
    </w:tbl>
    <w:p>
      <w:pPr>
        <w:pStyle w:val="TextBody"/>
        <w:bidi w:val="0"/>
        <w:jc w:val="left"/>
        <w:rPr/>
      </w:pPr>
      <w:r>
        <w:rPr/>
        <w:t> </w:t>
      </w:r>
    </w:p>
    <w:tbl>
      <w:tblPr>
        <w:tblW w:w="3597" w:type="dxa"/>
        <w:jc w:val="left"/>
        <w:tblInd w:w="0" w:type="dxa"/>
        <w:tblLayout w:type="fixed"/>
        <w:tblCellMar>
          <w:top w:w="28" w:type="dxa"/>
          <w:left w:w="28" w:type="dxa"/>
          <w:bottom w:w="28" w:type="dxa"/>
          <w:right w:w="28" w:type="dxa"/>
        </w:tblCellMar>
      </w:tblPr>
      <w:tblGrid>
        <w:gridCol w:w="2161"/>
        <w:gridCol w:w="1436"/>
      </w:tblGrid>
      <w:tr>
        <w:trPr/>
        <w:tc>
          <w:tcPr>
            <w:tcW w:w="2161"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1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91F2C"/>
                <w:sz w:val="18"/>
              </w:rPr>
              <w:t>6</w:t>
            </w:r>
            <w:r>
              <w:rPr>
                <w:rFonts w:ascii="Times New Roman" w:hAnsi="Times New Roman"/>
                <w:color w:val="091F2C"/>
                <w:sz w:val="18"/>
              </w:rPr>
              <w:t> </w:t>
            </w:r>
            <w:r>
              <w:rPr>
                <w:rFonts w:ascii="Arial" w:hAnsi="Arial"/>
                <w:color w:val="091F2C"/>
                <w:sz w:val="18"/>
              </w:rPr>
              <w:t>I 2026 Proxy Statement</w:t>
            </w:r>
          </w:p>
        </w:tc>
        <w:tc>
          <w:tcPr>
            <w:tcW w:w="143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828675" cy="1905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828675" cy="190500"/>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3027" w:type="dxa"/>
        <w:jc w:val="left"/>
        <w:tblInd w:w="0" w:type="dxa"/>
        <w:tblLayout w:type="fixed"/>
        <w:tblCellMar>
          <w:top w:w="28" w:type="dxa"/>
          <w:left w:w="28" w:type="dxa"/>
          <w:bottom w:w="28" w:type="dxa"/>
          <w:right w:w="28" w:type="dxa"/>
        </w:tblCellMar>
      </w:tblPr>
      <w:tblGrid>
        <w:gridCol w:w="2836"/>
        <w:gridCol w:w="191"/>
      </w:tblGrid>
      <w:tr>
        <w:trPr/>
        <w:tc>
          <w:tcPr>
            <w:tcW w:w="28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36" w:type="dxa"/>
            <w:tcBorders/>
            <w:tcMar>
              <w:top w:w="0" w:type="dxa"/>
              <w:left w:w="0" w:type="dxa"/>
              <w:bottom w:w="0" w:type="dxa"/>
              <w:right w:w="0" w:type="dxa"/>
            </w:tcMar>
            <w:vAlign w:val="center"/>
          </w:tcPr>
          <w:p>
            <w:pPr>
              <w:pStyle w:val="TableContents"/>
              <w:bidi w:val="0"/>
              <w:spacing w:before="0" w:after="283"/>
              <w:jc w:val="left"/>
              <w:rPr>
                <w:rFonts w:ascii="Arial" w:hAnsi="Arial"/>
                <w:color w:val="002668"/>
                <w:sz w:val="20"/>
              </w:rPr>
            </w:pPr>
            <w:r>
              <w:rPr>
                <w:rFonts w:ascii="Arial" w:hAnsi="Arial"/>
                <w:color w:val="002668"/>
                <w:sz w:val="20"/>
              </w:rPr>
              <w:t>Board and Governance Matters</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836" w:type="dxa"/>
            <w:tcBorders>
              <w:bottom w:val="single" w:sz="8" w:space="0" w:color="002668"/>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99"/>
        <w:gridCol w:w="8506"/>
      </w:tblGrid>
      <w:tr>
        <w:trPr/>
        <w:tc>
          <w:tcPr>
            <w:tcW w:w="1699" w:type="dxa"/>
            <w:tcBorders/>
            <w:vAlign w:val="center"/>
          </w:tcPr>
          <w:p>
            <w:pPr>
              <w:pStyle w:val="TableContents"/>
              <w:bidi w:val="0"/>
              <w:spacing w:before="0" w:after="283"/>
              <w:jc w:val="left"/>
              <w:rPr>
                <w:sz w:val="4"/>
                <w:szCs w:val="4"/>
              </w:rPr>
            </w:pPr>
            <w:r>
              <w:rPr>
                <w:sz w:val="4"/>
                <w:szCs w:val="4"/>
              </w:rPr>
            </w:r>
          </w:p>
        </w:tc>
        <w:tc>
          <w:tcPr>
            <w:tcW w:w="8506" w:type="dxa"/>
            <w:tcBorders/>
            <w:vAlign w:val="center"/>
          </w:tcPr>
          <w:p>
            <w:pPr>
              <w:pStyle w:val="TableContents"/>
              <w:bidi w:val="0"/>
              <w:spacing w:before="0" w:after="283"/>
              <w:jc w:val="left"/>
              <w:rPr>
                <w:sz w:val="4"/>
                <w:szCs w:val="4"/>
              </w:rPr>
            </w:pPr>
            <w:r>
              <w:rPr>
                <w:sz w:val="4"/>
                <w:szCs w:val="4"/>
              </w:rPr>
            </w:r>
          </w:p>
        </w:tc>
      </w:tr>
      <w:tr>
        <w:trPr/>
        <w:tc>
          <w:tcPr>
            <w:tcW w:w="1699" w:type="dxa"/>
            <w:tcBorders/>
            <w:tcMar>
              <w:top w:w="0" w:type="dxa"/>
              <w:left w:w="0" w:type="dxa"/>
              <w:bottom w:w="0" w:type="dxa"/>
              <w:right w:w="0" w:type="dxa"/>
            </w:tcMar>
            <w:vAlign w:val="center"/>
          </w:tcPr>
          <w:p>
            <w:pPr>
              <w:pStyle w:val="TableContents"/>
              <w:bidi w:val="0"/>
              <w:spacing w:before="0" w:after="283"/>
              <w:jc w:val="left"/>
              <w:rPr/>
            </w:pPr>
            <w:r>
              <w:rPr/>
              <w:t> </w:t>
            </w:r>
          </w:p>
        </w:tc>
        <w:tc>
          <w:tcPr>
            <w:tcW w:w="8506" w:type="dxa"/>
            <w:tcBorders/>
            <w:tcMar>
              <w:top w:w="0" w:type="dxa"/>
              <w:left w:w="0" w:type="dxa"/>
              <w:bottom w:w="0" w:type="dxa"/>
              <w:right w:w="0" w:type="dxa"/>
            </w:tcMar>
            <w:vAlign w:val="center"/>
          </w:tcPr>
          <w:p>
            <w:pPr>
              <w:pStyle w:val="TableContents"/>
              <w:bidi w:val="0"/>
              <w:jc w:val="both"/>
              <w:rPr/>
            </w:pPr>
            <w:r>
              <w:rPr>
                <w:color w:val="000000"/>
              </w:rPr>
              <w:t>    </w:t>
            </w:r>
            <w:r>
              <w:rPr>
                <w:rFonts w:ascii="Arial" w:hAnsi="Arial"/>
                <w:b/>
                <w:color w:val="000000"/>
                <w:sz w:val="18"/>
              </w:rPr>
              <w:t>Manufacturing</w:t>
            </w:r>
            <w:r>
              <w:rPr>
                <w:rFonts w:ascii="Arial" w:hAnsi="Arial"/>
                <w:color w:val="000000"/>
                <w:sz w:val="18"/>
              </w:rPr>
              <w:t>. Extensive operations experience gained through roles with</w:t>
            </w:r>
          </w:p>
          <w:p>
            <w:pPr>
              <w:pStyle w:val="TableContents"/>
              <w:bidi w:val="0"/>
              <w:jc w:val="both"/>
              <w:rPr>
                <w:color w:val="000000"/>
              </w:rPr>
            </w:pPr>
            <w:r>
              <w:rPr>
                <w:color w:val="000000"/>
              </w:rPr>
              <w:t>    </w:t>
            </w:r>
            <w:r>
              <w:rPr>
                <w:rFonts w:ascii="Arial" w:hAnsi="Arial"/>
                <w:color w:val="000000"/>
                <w:sz w:val="18"/>
              </w:rPr>
              <w:t>Spirit AeroSystems, Raytheon, and Hughes Aircraft</w:t>
            </w:r>
          </w:p>
          <w:p>
            <w:pPr>
              <w:pStyle w:val="TableContents"/>
              <w:bidi w:val="0"/>
              <w:spacing w:before="20" w:after="283"/>
              <w:jc w:val="both"/>
              <w:rPr/>
            </w:pPr>
            <w:r>
              <w:rPr>
                <w:color w:val="000000"/>
              </w:rPr>
              <w:t>    </w:t>
            </w:r>
            <w:r>
              <w:rPr>
                <w:rFonts w:ascii="Arial" w:hAnsi="Arial"/>
                <w:b/>
                <w:color w:val="000000"/>
                <w:sz w:val="18"/>
              </w:rPr>
              <w:t>Public Company Board</w:t>
            </w:r>
            <w:r>
              <w:rPr>
                <w:rFonts w:ascii="Arial" w:hAnsi="Arial"/>
                <w:color w:val="000000"/>
                <w:sz w:val="18"/>
              </w:rPr>
              <w:t>. Service on another board (see related caption)</w:t>
            </w:r>
          </w:p>
          <w:p>
            <w:pPr>
              <w:pStyle w:val="TableContents"/>
              <w:bidi w:val="0"/>
              <w:spacing w:before="20" w:after="283"/>
              <w:jc w:val="both"/>
              <w:rPr/>
            </w:pPr>
            <w:r>
              <w:rPr>
                <w:color w:val="000000"/>
              </w:rPr>
              <w:t>    </w:t>
            </w:r>
            <w:r>
              <w:rPr>
                <w:rFonts w:ascii="Arial" w:hAnsi="Arial"/>
                <w:b/>
                <w:color w:val="000000"/>
                <w:sz w:val="18"/>
              </w:rPr>
              <w:t>Regulated Industry/Government</w:t>
            </w:r>
            <w:r>
              <w:rPr>
                <w:rFonts w:ascii="Arial" w:hAnsi="Arial"/>
                <w:color w:val="000000"/>
                <w:sz w:val="18"/>
              </w:rPr>
              <w:t>. Extensive experience in the highly</w:t>
            </w:r>
          </w:p>
          <w:p>
            <w:pPr>
              <w:pStyle w:val="TableContents"/>
              <w:bidi w:val="0"/>
              <w:spacing w:before="0" w:after="283"/>
              <w:ind w:left="0" w:right="0" w:firstLine="461"/>
              <w:jc w:val="both"/>
              <w:rPr>
                <w:color w:val="000000"/>
              </w:rPr>
            </w:pPr>
            <w:r>
              <w:rPr>
                <w:color w:val="000000"/>
              </w:rPr>
              <w:t>    </w:t>
            </w:r>
            <w:r>
              <w:rPr>
                <w:rFonts w:ascii="Arial" w:hAnsi="Arial"/>
                <w:color w:val="000000"/>
                <w:sz w:val="18"/>
              </w:rPr>
              <w:t>regulated aerospace and defense industries</w:t>
            </w:r>
          </w:p>
        </w:tc>
      </w:tr>
      <w:tr>
        <w:trPr/>
        <w:tc>
          <w:tcPr>
            <w:tcW w:w="10205" w:type="dxa"/>
            <w:gridSpan w:val="2"/>
            <w:tcBorders/>
            <w:tcMar>
              <w:top w:w="0" w:type="dxa"/>
              <w:left w:w="0" w:type="dxa"/>
              <w:bottom w:w="0" w:type="dxa"/>
              <w:right w:w="0" w:type="dxa"/>
            </w:tcMar>
            <w:vAlign w:val="center"/>
          </w:tcPr>
          <w:p>
            <w:pPr>
              <w:pStyle w:val="TableContents"/>
              <w:bidi w:val="0"/>
              <w:spacing w:before="0" w:after="283"/>
              <w:ind w:left="0" w:right="0" w:firstLine="80"/>
              <w:jc w:val="both"/>
              <w:rPr>
                <w:rFonts w:ascii="Times New Roman" w:hAnsi="Times New Roman"/>
                <w:sz w:val="18"/>
              </w:rPr>
            </w:pPr>
            <w:r>
              <w:rPr>
                <w:rFonts w:ascii="Arial" w:hAnsi="Arial"/>
                <w:color w:val="1F497D"/>
                <w:sz w:val="18"/>
              </w:rPr>
              <w:t xml:space="preserve"> </w:t>
            </w:r>
            <w:r>
              <w:rPr>
                <w:rFonts w:ascii="Times New Roman" w:hAnsi="Times New Roman"/>
                <w:color w:val="000000"/>
                <w:sz w:val="18"/>
              </w:rPr>
              <w:t> </w:t>
            </w:r>
            <w:r>
              <w:rPr>
                <w:rFonts w:ascii="Arial" w:hAnsi="Arial"/>
                <w:color w:val="000000"/>
                <w:sz w:val="18"/>
              </w:rPr>
              <w:t>Kaman Corp.</w:t>
            </w:r>
          </w:p>
        </w:tc>
      </w:tr>
      <w:tr>
        <w:trPr/>
        <w:tc>
          <w:tcPr>
            <w:tcW w:w="1699" w:type="dxa"/>
            <w:vMerge w:val="restart"/>
            <w:tcBorders/>
            <w:tcMar>
              <w:top w:w="0" w:type="dxa"/>
              <w:left w:w="0" w:type="dxa"/>
              <w:bottom w:w="0" w:type="dxa"/>
              <w:right w:w="0" w:type="dxa"/>
            </w:tcMar>
            <w:vAlign w:val="center"/>
          </w:tcPr>
          <w:p>
            <w:pPr>
              <w:pStyle w:val="TableContents"/>
              <w:bidi w:val="0"/>
              <w:spacing w:before="80" w:after="283"/>
              <w:ind w:left="0" w:right="0" w:firstLine="80"/>
              <w:jc w:val="both"/>
              <w:rPr>
                <w:rFonts w:ascii="Times New Roman" w:hAnsi="Times New Roman"/>
                <w:sz w:val="18"/>
              </w:rPr>
            </w:pPr>
            <w:r>
              <w:rPr>
                <w:rFonts w:ascii="Arial" w:hAnsi="Arial"/>
                <w:b/>
                <w:color w:val="002668"/>
                <w:sz w:val="18"/>
              </w:rPr>
              <w:t>Age:</w:t>
            </w:r>
            <w:r>
              <w:rPr>
                <w:rFonts w:ascii="Times New Roman" w:hAnsi="Times New Roman"/>
                <w:color w:val="004B87"/>
                <w:sz w:val="18"/>
              </w:rPr>
              <w:t xml:space="preserve"> </w:t>
            </w:r>
            <w:r>
              <w:rPr>
                <w:rFonts w:ascii="Arial" w:hAnsi="Arial"/>
                <w:color w:val="000000"/>
                <w:sz w:val="18"/>
              </w:rPr>
              <w:t>79</w:t>
            </w:r>
          </w:p>
          <w:p>
            <w:pPr>
              <w:pStyle w:val="TableContents"/>
              <w:bidi w:val="0"/>
              <w:spacing w:before="120" w:after="283"/>
              <w:ind w:left="0" w:right="0" w:firstLine="80"/>
              <w:jc w:val="both"/>
              <w:rPr>
                <w:rFonts w:ascii="Times New Roman" w:hAnsi="Times New Roman"/>
                <w:sz w:val="18"/>
              </w:rPr>
            </w:pPr>
            <w:r>
              <w:rPr>
                <w:rFonts w:ascii="Arial" w:hAnsi="Arial"/>
                <w:b/>
                <w:color w:val="002668"/>
                <w:sz w:val="18"/>
              </w:rPr>
              <w:t>Director since:</w:t>
            </w:r>
            <w:r>
              <w:rPr>
                <w:rFonts w:ascii="Times New Roman" w:hAnsi="Times New Roman"/>
                <w:color w:val="004B87"/>
                <w:sz w:val="18"/>
              </w:rPr>
              <w:t xml:space="preserve"> </w:t>
            </w:r>
            <w:r>
              <w:rPr>
                <w:rFonts w:ascii="Arial" w:hAnsi="Arial"/>
                <w:color w:val="000000"/>
                <w:sz w:val="18"/>
              </w:rPr>
              <w:t>2004</w:t>
            </w:r>
          </w:p>
          <w:p>
            <w:pPr>
              <w:pStyle w:val="TableContents"/>
              <w:bidi w:val="0"/>
              <w:spacing w:before="120" w:after="283"/>
              <w:ind w:left="0" w:right="0" w:firstLine="80"/>
              <w:jc w:val="both"/>
              <w:rPr>
                <w:rFonts w:ascii="Arial" w:hAnsi="Arial"/>
                <w:b/>
                <w:color w:val="002668"/>
                <w:sz w:val="18"/>
              </w:rPr>
            </w:pPr>
            <w:r>
              <w:rPr>
                <w:rFonts w:ascii="Arial" w:hAnsi="Arial"/>
                <w:b/>
                <w:color w:val="002668"/>
                <w:sz w:val="18"/>
              </w:rPr>
              <w:t>Independent</w:t>
            </w:r>
          </w:p>
          <w:p>
            <w:pPr>
              <w:pStyle w:val="TableContents"/>
              <w:bidi w:val="0"/>
              <w:spacing w:before="120" w:after="283"/>
              <w:ind w:left="0" w:right="0" w:firstLine="80"/>
              <w:jc w:val="both"/>
              <w:rPr>
                <w:rFonts w:ascii="Arial" w:hAnsi="Arial"/>
                <w:b/>
                <w:color w:val="002668"/>
                <w:sz w:val="18"/>
              </w:rPr>
            </w:pPr>
            <w:r>
              <w:rPr>
                <w:rFonts w:ascii="Arial" w:hAnsi="Arial"/>
                <w:b/>
                <w:color w:val="002668"/>
                <w:sz w:val="18"/>
              </w:rPr>
              <w:t>Board committees:</w:t>
            </w:r>
          </w:p>
          <w:p>
            <w:pPr>
              <w:pStyle w:val="TableContents"/>
              <w:bidi w:val="0"/>
              <w:ind w:left="0" w:right="0" w:firstLine="80"/>
              <w:jc w:val="both"/>
              <w:rPr>
                <w:rFonts w:ascii="Arial" w:hAnsi="Arial"/>
                <w:color w:val="000000"/>
                <w:sz w:val="18"/>
              </w:rPr>
            </w:pPr>
            <w:r>
              <w:rPr>
                <w:rFonts w:ascii="Arial" w:hAnsi="Arial"/>
                <w:color w:val="000000"/>
                <w:sz w:val="18"/>
              </w:rPr>
              <w:t> Compensation</w:t>
            </w:r>
          </w:p>
          <w:p>
            <w:pPr>
              <w:pStyle w:val="TableContents"/>
              <w:bidi w:val="0"/>
              <w:ind w:left="0" w:right="0" w:firstLine="80"/>
              <w:jc w:val="both"/>
              <w:rPr>
                <w:rFonts w:ascii="Arial" w:hAnsi="Arial"/>
                <w:color w:val="000000"/>
                <w:sz w:val="18"/>
              </w:rPr>
            </w:pPr>
            <w:r>
              <w:rPr>
                <w:rFonts w:ascii="Arial" w:hAnsi="Arial"/>
                <w:color w:val="000000"/>
                <w:sz w:val="18"/>
              </w:rPr>
              <w:t> NCG</w:t>
            </w:r>
          </w:p>
          <w:p>
            <w:pPr>
              <w:pStyle w:val="TableContents"/>
              <w:bidi w:val="0"/>
              <w:spacing w:before="120" w:after="283"/>
              <w:ind w:left="0" w:right="0" w:firstLine="80"/>
              <w:jc w:val="both"/>
              <w:rPr>
                <w:rFonts w:ascii="Arial" w:hAnsi="Arial"/>
                <w:b/>
                <w:color w:val="002668"/>
                <w:sz w:val="18"/>
              </w:rPr>
            </w:pPr>
            <w:r>
              <w:rPr>
                <w:rFonts w:ascii="Arial" w:hAnsi="Arial"/>
                <w:b/>
                <w:color w:val="002668"/>
                <w:sz w:val="18"/>
              </w:rPr>
              <w:t>Other public company boards:</w:t>
            </w:r>
          </w:p>
          <w:p>
            <w:pPr>
              <w:pStyle w:val="TableContents"/>
              <w:bidi w:val="0"/>
              <w:ind w:left="0" w:right="0" w:firstLine="80"/>
              <w:jc w:val="both"/>
              <w:rPr>
                <w:rFonts w:ascii="Times New Roman" w:hAnsi="Times New Roman"/>
                <w:sz w:val="18"/>
              </w:rPr>
            </w:pPr>
            <w:r>
              <w:rPr>
                <w:rFonts w:ascii="Arial" w:hAnsi="Arial"/>
                <w:color w:val="000000"/>
                <w:sz w:val="18"/>
              </w:rPr>
              <w:t> American Outdoor Brands, Inc</w:t>
            </w:r>
            <w:r>
              <w:rPr>
                <w:rFonts w:ascii="Arial" w:hAnsi="Arial"/>
                <w:color w:val="1F497D"/>
                <w:sz w:val="18"/>
              </w:rPr>
              <w:t>.</w:t>
            </w:r>
          </w:p>
          <w:p>
            <w:pPr>
              <w:pStyle w:val="TableContents"/>
              <w:bidi w:val="0"/>
              <w:spacing w:before="120" w:after="283"/>
              <w:ind w:left="0" w:right="0" w:firstLine="80"/>
              <w:jc w:val="both"/>
              <w:rPr>
                <w:rFonts w:ascii="Arial" w:hAnsi="Arial"/>
                <w:b/>
                <w:color w:val="002668"/>
                <w:sz w:val="18"/>
              </w:rPr>
            </w:pPr>
            <w:r>
              <w:rPr>
                <w:rFonts w:ascii="Arial" w:hAnsi="Arial"/>
                <w:b/>
                <w:color w:val="002668"/>
                <w:sz w:val="18"/>
              </w:rPr>
              <w:t>Other public company boards within five years:</w:t>
            </w:r>
          </w:p>
          <w:p>
            <w:pPr>
              <w:pStyle w:val="TableContents"/>
              <w:bidi w:val="0"/>
              <w:spacing w:before="0" w:after="283"/>
              <w:ind w:left="0" w:right="0" w:firstLine="80"/>
              <w:jc w:val="left"/>
              <w:rPr>
                <w:rFonts w:ascii="Arial" w:hAnsi="Arial"/>
                <w:color w:val="000000"/>
                <w:sz w:val="18"/>
              </w:rPr>
            </w:pPr>
            <w:r>
              <w:rPr>
                <w:rFonts w:ascii="Arial" w:hAnsi="Arial"/>
                <w:color w:val="000000"/>
                <w:sz w:val="18"/>
              </w:rPr>
              <w:t> None</w:t>
            </w:r>
          </w:p>
        </w:tc>
        <w:tc>
          <w:tcPr>
            <w:tcW w:w="8506" w:type="dxa"/>
            <w:tcBorders/>
            <w:shd w:fill="D9D9D9" w:val="clear"/>
            <w:tcMar>
              <w:top w:w="0" w:type="dxa"/>
              <w:left w:w="0" w:type="dxa"/>
              <w:bottom w:w="0" w:type="dxa"/>
              <w:right w:w="0" w:type="dxa"/>
            </w:tcMar>
            <w:vAlign w:val="center"/>
          </w:tcPr>
          <w:p>
            <w:pPr>
              <w:pStyle w:val="TableContents"/>
              <w:bidi w:val="0"/>
              <w:spacing w:before="80" w:after="283"/>
              <w:ind w:left="0" w:right="0" w:firstLine="80"/>
              <w:jc w:val="both"/>
              <w:rPr>
                <w:rFonts w:ascii="Arial" w:hAnsi="Arial"/>
                <w:b/>
                <w:color w:val="004B87"/>
                <w:sz w:val="18"/>
              </w:rPr>
            </w:pPr>
            <w:r>
              <w:rPr>
                <w:rFonts w:ascii="Arial" w:hAnsi="Arial"/>
                <w:b/>
                <w:color w:val="004B87"/>
                <w:sz w:val="18"/>
              </w:rPr>
              <w:t>Background:</w:t>
            </w:r>
          </w:p>
          <w:p>
            <w:pPr>
              <w:pStyle w:val="TableContents"/>
              <w:bidi w:val="0"/>
              <w:spacing w:before="0" w:after="283"/>
              <w:ind w:left="0" w:right="0" w:firstLine="80"/>
              <w:jc w:val="left"/>
              <w:rPr>
                <w:rFonts w:ascii="Times New Roman" w:hAnsi="Times New Roman"/>
                <w:sz w:val="20"/>
              </w:rPr>
            </w:pPr>
            <w:r>
              <w:rPr>
                <w:rFonts w:ascii="Arial" w:hAnsi="Arial"/>
                <w:color w:val="000000"/>
                <w:sz w:val="18"/>
              </w:rPr>
              <w:t>Mr. Monheit served as Chairman of the Board from 2004 until the completion (on August 24, 2020) of the spin-off of our former outdoor products and accessories business (the “Separation”). Since the Separation, he has served as Chairman of American Outdoor Brands, Inc. From 2020 to July 2023, Mr. Monheit served as a Senior Managing Director of J.S. Held, LLC, a consulting company providing services in forensic accounting, fraud investigations, receivership and restructuring, and lost profit exams. He formerly served as President and CEO of Quest Resource Holding Corp., a publicly traded company, as a Senior Managing Director of FTI Palladium Partners, in various capacities with FTI Consulting, Inc., including President of its Financial Consulting Division, and as a partner with Arthur Andersen &amp; Co., where he served as partner-in-charge of its New York Consulting Division and its U.S. Bankruptcy and Reorganization Practice.</w:t>
            </w:r>
            <w:r>
              <w:rPr>
                <w:rFonts w:ascii="Times New Roman" w:hAnsi="Times New Roman"/>
                <w:color w:val="000000"/>
                <w:sz w:val="20"/>
              </w:rPr>
              <w:t xml:space="preserve"> </w:t>
            </w:r>
          </w:p>
        </w:tc>
      </w:tr>
      <w:tr>
        <w:trPr/>
        <w:tc>
          <w:tcPr>
            <w:tcW w:w="1699" w:type="dxa"/>
            <w:vMerge w:val="continue"/>
            <w:tcBorders/>
            <w:tcMar>
              <w:top w:w="0" w:type="dxa"/>
              <w:left w:w="0" w:type="dxa"/>
              <w:bottom w:w="0" w:type="dxa"/>
              <w:right w:w="0" w:type="dxa"/>
            </w:tcMar>
            <w:vAlign w:val="center"/>
          </w:tcPr>
          <w:p>
            <w:pPr>
              <w:pStyle w:val="Normal"/>
              <w:bidi w:val="0"/>
              <w:jc w:val="left"/>
              <w:rPr/>
            </w:pPr>
            <w:r>
              <w:rPr/>
            </w:r>
          </w:p>
        </w:tc>
        <w:tc>
          <w:tcPr>
            <w:tcW w:w="8506" w:type="dxa"/>
            <w:tcBorders/>
            <w:tcMar>
              <w:top w:w="0" w:type="dxa"/>
              <w:left w:w="0" w:type="dxa"/>
              <w:bottom w:w="0" w:type="dxa"/>
              <w:right w:w="0" w:type="dxa"/>
            </w:tcMar>
            <w:vAlign w:val="center"/>
          </w:tcPr>
          <w:p>
            <w:pPr>
              <w:pStyle w:val="TableContents"/>
              <w:bidi w:val="0"/>
              <w:spacing w:before="80" w:after="283"/>
              <w:ind w:left="0" w:right="0" w:firstLine="80"/>
              <w:jc w:val="left"/>
              <w:rPr>
                <w:rFonts w:ascii="Arial" w:hAnsi="Arial"/>
                <w:b/>
                <w:color w:val="004B87"/>
                <w:sz w:val="18"/>
              </w:rPr>
            </w:pPr>
            <w:r>
              <w:rPr>
                <w:rFonts w:ascii="Arial" w:hAnsi="Arial"/>
                <w:b/>
                <w:color w:val="004B87"/>
                <w:sz w:val="18"/>
              </w:rPr>
              <w:t>Key Qualifications and Skills Include:</w:t>
            </w:r>
          </w:p>
          <w:p>
            <w:pPr>
              <w:pStyle w:val="TableContents"/>
              <w:bidi w:val="0"/>
              <w:ind w:left="0" w:right="0" w:firstLine="80"/>
              <w:jc w:val="left"/>
              <w:rPr/>
            </w:pPr>
            <w:r>
              <w:rPr>
                <w:color w:val="000000"/>
              </w:rPr>
              <w:t>    </w:t>
            </w:r>
            <w:r>
              <w:rPr>
                <w:rFonts w:ascii="Arial" w:hAnsi="Arial"/>
                <w:b/>
                <w:color w:val="000000"/>
                <w:sz w:val="18"/>
              </w:rPr>
              <w:t>Executive</w:t>
            </w:r>
            <w:r>
              <w:rPr>
                <w:rFonts w:ascii="Arial" w:hAnsi="Arial"/>
                <w:color w:val="000000"/>
                <w:sz w:val="18"/>
              </w:rPr>
              <w:t>. Former CEO of Quest Resource; Division President of FTI</w:t>
            </w:r>
          </w:p>
          <w:p>
            <w:pPr>
              <w:pStyle w:val="TableContents"/>
              <w:bidi w:val="0"/>
              <w:ind w:left="0" w:right="0" w:firstLine="80"/>
              <w:jc w:val="left"/>
              <w:rPr>
                <w:rFonts w:ascii="Arial" w:hAnsi="Arial"/>
                <w:color w:val="000000"/>
                <w:sz w:val="18"/>
              </w:rPr>
            </w:pPr>
            <w:r>
              <w:rPr>
                <w:rFonts w:ascii="Arial" w:hAnsi="Arial"/>
                <w:color w:val="000000"/>
                <w:sz w:val="18"/>
              </w:rPr>
              <w:t>Consulting; and partner of Arthur Andersen</w:t>
            </w:r>
          </w:p>
          <w:p>
            <w:pPr>
              <w:pStyle w:val="TableContents"/>
              <w:bidi w:val="0"/>
              <w:ind w:left="0" w:right="0" w:firstLine="80"/>
              <w:jc w:val="left"/>
              <w:rPr/>
            </w:pPr>
            <w:r>
              <w:rPr>
                <w:color w:val="000000"/>
              </w:rPr>
              <w:t>    </w:t>
            </w:r>
            <w:r>
              <w:rPr>
                <w:rFonts w:ascii="Arial" w:hAnsi="Arial"/>
                <w:b/>
                <w:color w:val="000000"/>
                <w:sz w:val="18"/>
              </w:rPr>
              <w:t>Financial</w:t>
            </w:r>
            <w:r>
              <w:rPr>
                <w:rFonts w:ascii="Arial" w:hAnsi="Arial"/>
                <w:color w:val="000000"/>
                <w:sz w:val="18"/>
              </w:rPr>
              <w:t>. Retired certified public accountant; former partner of</w:t>
              <w:br/>
              <w:t>    Arthur Andersen</w:t>
            </w:r>
          </w:p>
          <w:p>
            <w:pPr>
              <w:pStyle w:val="TableContents"/>
              <w:bidi w:val="0"/>
              <w:spacing w:before="0" w:after="283"/>
              <w:ind w:left="0" w:right="0" w:firstLine="80"/>
              <w:jc w:val="left"/>
              <w:rPr/>
            </w:pPr>
            <w:r>
              <w:rPr>
                <w:color w:val="000000"/>
              </w:rPr>
              <w:t>    </w:t>
            </w:r>
            <w:r>
              <w:rPr>
                <w:rFonts w:ascii="Arial" w:hAnsi="Arial"/>
                <w:b/>
                <w:color w:val="000000"/>
                <w:sz w:val="18"/>
              </w:rPr>
              <w:t>Public Company Board</w:t>
            </w:r>
            <w:r>
              <w:rPr>
                <w:rFonts w:ascii="Arial" w:hAnsi="Arial"/>
                <w:color w:val="000000"/>
                <w:sz w:val="18"/>
              </w:rPr>
              <w:t>. Current Chairman of American Outdoor Brands, Inc.</w:t>
            </w:r>
          </w:p>
        </w:tc>
      </w:tr>
    </w:tbl>
    <w:p>
      <w:pPr>
        <w:pStyle w:val="TextBody"/>
        <w:bidi w:val="0"/>
        <w:jc w:val="left"/>
        <w:rPr/>
      </w:pPr>
      <w:r>
        <w:rPr/>
        <w:t> </w:t>
      </w:r>
    </w:p>
    <w:tbl>
      <w:tblPr>
        <w:tblW w:w="3597" w:type="dxa"/>
        <w:jc w:val="left"/>
        <w:tblInd w:w="0" w:type="dxa"/>
        <w:tblLayout w:type="fixed"/>
        <w:tblCellMar>
          <w:top w:w="28" w:type="dxa"/>
          <w:left w:w="28" w:type="dxa"/>
          <w:bottom w:w="28" w:type="dxa"/>
          <w:right w:w="28" w:type="dxa"/>
        </w:tblCellMar>
      </w:tblPr>
      <w:tblGrid>
        <w:gridCol w:w="2161"/>
        <w:gridCol w:w="1436"/>
      </w:tblGrid>
      <w:tr>
        <w:trPr/>
        <w:tc>
          <w:tcPr>
            <w:tcW w:w="2161"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1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91F2C"/>
                <w:sz w:val="18"/>
              </w:rPr>
              <w:t>7</w:t>
            </w:r>
            <w:r>
              <w:rPr>
                <w:rFonts w:ascii="Times New Roman" w:hAnsi="Times New Roman"/>
                <w:color w:val="091F2C"/>
                <w:sz w:val="18"/>
              </w:rPr>
              <w:t> </w:t>
            </w:r>
            <w:r>
              <w:rPr>
                <w:rFonts w:ascii="Arial" w:hAnsi="Arial"/>
                <w:color w:val="091F2C"/>
                <w:sz w:val="18"/>
              </w:rPr>
              <w:t>I 2026 Proxy Statement</w:t>
            </w:r>
          </w:p>
        </w:tc>
        <w:tc>
          <w:tcPr>
            <w:tcW w:w="143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828675" cy="1905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828675" cy="190500"/>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3027" w:type="dxa"/>
        <w:jc w:val="left"/>
        <w:tblInd w:w="0" w:type="dxa"/>
        <w:tblLayout w:type="fixed"/>
        <w:tblCellMar>
          <w:top w:w="28" w:type="dxa"/>
          <w:left w:w="28" w:type="dxa"/>
          <w:bottom w:w="28" w:type="dxa"/>
          <w:right w:w="28" w:type="dxa"/>
        </w:tblCellMar>
      </w:tblPr>
      <w:tblGrid>
        <w:gridCol w:w="2836"/>
        <w:gridCol w:w="191"/>
      </w:tblGrid>
      <w:tr>
        <w:trPr/>
        <w:tc>
          <w:tcPr>
            <w:tcW w:w="28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36" w:type="dxa"/>
            <w:tcBorders/>
            <w:tcMar>
              <w:top w:w="0" w:type="dxa"/>
              <w:left w:w="0" w:type="dxa"/>
              <w:bottom w:w="0" w:type="dxa"/>
              <w:right w:w="0" w:type="dxa"/>
            </w:tcMar>
            <w:vAlign w:val="center"/>
          </w:tcPr>
          <w:p>
            <w:pPr>
              <w:pStyle w:val="TableContents"/>
              <w:bidi w:val="0"/>
              <w:spacing w:before="0" w:after="283"/>
              <w:jc w:val="left"/>
              <w:rPr>
                <w:rFonts w:ascii="Arial" w:hAnsi="Arial"/>
                <w:color w:val="002668"/>
                <w:sz w:val="20"/>
              </w:rPr>
            </w:pPr>
            <w:r>
              <w:rPr>
                <w:rFonts w:ascii="Arial" w:hAnsi="Arial"/>
                <w:color w:val="002668"/>
                <w:sz w:val="20"/>
              </w:rPr>
              <w:t>Board and Governance Matters</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836" w:type="dxa"/>
            <w:tcBorders>
              <w:bottom w:val="single" w:sz="8" w:space="0" w:color="002668"/>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527"/>
        <w:gridCol w:w="8678"/>
      </w:tblGrid>
      <w:tr>
        <w:trPr/>
        <w:tc>
          <w:tcPr>
            <w:tcW w:w="1527" w:type="dxa"/>
            <w:tcBorders/>
            <w:vAlign w:val="center"/>
          </w:tcPr>
          <w:p>
            <w:pPr>
              <w:pStyle w:val="TableContents"/>
              <w:bidi w:val="0"/>
              <w:spacing w:before="0" w:after="283"/>
              <w:jc w:val="left"/>
              <w:rPr>
                <w:sz w:val="4"/>
                <w:szCs w:val="4"/>
              </w:rPr>
            </w:pPr>
            <w:r>
              <w:rPr>
                <w:sz w:val="4"/>
                <w:szCs w:val="4"/>
              </w:rPr>
            </w:r>
          </w:p>
        </w:tc>
        <w:tc>
          <w:tcPr>
            <w:tcW w:w="8678" w:type="dxa"/>
            <w:tcBorders/>
            <w:vAlign w:val="center"/>
          </w:tcPr>
          <w:p>
            <w:pPr>
              <w:pStyle w:val="TableContents"/>
              <w:bidi w:val="0"/>
              <w:spacing w:before="0" w:after="283"/>
              <w:ind w:left="0" w:right="0" w:firstLine="80"/>
              <w:jc w:val="left"/>
              <w:rPr>
                <w:sz w:val="4"/>
                <w:szCs w:val="4"/>
              </w:rPr>
            </w:pPr>
            <w:r>
              <w:rPr>
                <w:sz w:val="4"/>
                <w:szCs w:val="4"/>
              </w:rPr>
            </w:r>
          </w:p>
        </w:tc>
      </w:tr>
      <w:tr>
        <w:trPr/>
        <w:tc>
          <w:tcPr>
            <w:tcW w:w="10205" w:type="dxa"/>
            <w:gridSpan w:val="2"/>
            <w:tcBorders/>
            <w:shd w:fill="004B87" w:val="clear"/>
            <w:tcMar>
              <w:top w:w="0" w:type="dxa"/>
              <w:left w:w="0" w:type="dxa"/>
              <w:bottom w:w="0" w:type="dxa"/>
              <w:right w:w="0" w:type="dxa"/>
            </w:tcMar>
            <w:vAlign w:val="center"/>
          </w:tcPr>
          <w:p>
            <w:pPr>
              <w:pStyle w:val="TableContents"/>
              <w:bidi w:val="0"/>
              <w:spacing w:before="120" w:after="120"/>
              <w:ind w:left="0" w:right="0" w:firstLine="80"/>
              <w:jc w:val="both"/>
              <w:rPr>
                <w:rFonts w:ascii="Arial" w:hAnsi="Arial"/>
                <w:b/>
                <w:color w:val="FFFFFF"/>
                <w:sz w:val="20"/>
              </w:rPr>
            </w:pPr>
            <w:r>
              <w:rPr>
                <w:rFonts w:ascii="Arial" w:hAnsi="Arial"/>
                <w:b/>
                <w:color w:val="FFFFFF"/>
                <w:sz w:val="20"/>
              </w:rPr>
              <w:t>ROBERT L. SCOTT</w:t>
            </w:r>
          </w:p>
        </w:tc>
      </w:tr>
      <w:tr>
        <w:trPr/>
        <w:tc>
          <w:tcPr>
            <w:tcW w:w="1527" w:type="dxa"/>
            <w:vMerge w:val="restart"/>
            <w:tcBorders/>
            <w:tcMar>
              <w:top w:w="0" w:type="dxa"/>
              <w:left w:w="0" w:type="dxa"/>
              <w:bottom w:w="0" w:type="dxa"/>
              <w:right w:w="0" w:type="dxa"/>
            </w:tcMar>
            <w:vAlign w:val="center"/>
          </w:tcPr>
          <w:p>
            <w:pPr>
              <w:pStyle w:val="TableContents"/>
              <w:bidi w:val="0"/>
              <w:spacing w:before="80" w:after="283"/>
              <w:ind w:left="0" w:right="0" w:firstLine="80"/>
              <w:jc w:val="both"/>
              <w:rPr>
                <w:rFonts w:ascii="Times New Roman" w:hAnsi="Times New Roman"/>
                <w:sz w:val="18"/>
              </w:rPr>
            </w:pPr>
            <w:r>
              <w:rPr>
                <w:rFonts w:ascii="Arial" w:hAnsi="Arial"/>
                <w:b/>
                <w:color w:val="002668"/>
                <w:sz w:val="18"/>
              </w:rPr>
              <w:t>Age:</w:t>
            </w:r>
            <w:r>
              <w:rPr>
                <w:rFonts w:ascii="Times New Roman" w:hAnsi="Times New Roman"/>
                <w:color w:val="004B87"/>
                <w:sz w:val="18"/>
              </w:rPr>
              <w:t xml:space="preserve"> </w:t>
            </w:r>
            <w:r>
              <w:rPr>
                <w:rFonts w:ascii="Arial" w:hAnsi="Arial"/>
                <w:color w:val="000000"/>
                <w:sz w:val="18"/>
              </w:rPr>
              <w:t>80</w:t>
            </w:r>
          </w:p>
          <w:p>
            <w:pPr>
              <w:pStyle w:val="TableContents"/>
              <w:bidi w:val="0"/>
              <w:spacing w:before="120" w:after="283"/>
              <w:ind w:left="0" w:right="0" w:firstLine="80"/>
              <w:jc w:val="both"/>
              <w:rPr>
                <w:rFonts w:ascii="Times New Roman" w:hAnsi="Times New Roman"/>
                <w:sz w:val="18"/>
              </w:rPr>
            </w:pPr>
            <w:r>
              <w:rPr>
                <w:rFonts w:ascii="Arial" w:hAnsi="Arial"/>
                <w:b/>
                <w:color w:val="002668"/>
                <w:sz w:val="18"/>
              </w:rPr>
              <w:t>Director since:</w:t>
            </w:r>
            <w:r>
              <w:rPr>
                <w:rFonts w:ascii="Times New Roman" w:hAnsi="Times New Roman"/>
                <w:color w:val="004B87"/>
                <w:sz w:val="18"/>
              </w:rPr>
              <w:t xml:space="preserve"> </w:t>
            </w:r>
            <w:r>
              <w:rPr>
                <w:rFonts w:ascii="Arial" w:hAnsi="Arial"/>
                <w:color w:val="000000"/>
                <w:sz w:val="18"/>
              </w:rPr>
              <w:t>1999</w:t>
            </w:r>
          </w:p>
          <w:p>
            <w:pPr>
              <w:pStyle w:val="TableContents"/>
              <w:bidi w:val="0"/>
              <w:spacing w:before="120" w:after="283"/>
              <w:ind w:left="0" w:right="0" w:firstLine="80"/>
              <w:jc w:val="both"/>
              <w:rPr>
                <w:rFonts w:ascii="Arial" w:hAnsi="Arial"/>
                <w:b/>
                <w:color w:val="002668"/>
                <w:sz w:val="18"/>
              </w:rPr>
            </w:pPr>
            <w:r>
              <w:rPr>
                <w:rFonts w:ascii="Arial" w:hAnsi="Arial"/>
                <w:b/>
                <w:color w:val="002668"/>
                <w:sz w:val="18"/>
              </w:rPr>
              <w:t>Independent</w:t>
            </w:r>
          </w:p>
          <w:p>
            <w:pPr>
              <w:pStyle w:val="TableContents"/>
              <w:bidi w:val="0"/>
              <w:spacing w:before="120" w:after="283"/>
              <w:ind w:left="0" w:right="0" w:firstLine="80"/>
              <w:jc w:val="both"/>
              <w:rPr>
                <w:rFonts w:ascii="Arial" w:hAnsi="Arial"/>
                <w:b/>
                <w:color w:val="002668"/>
                <w:sz w:val="18"/>
              </w:rPr>
            </w:pPr>
            <w:r>
              <w:rPr>
                <w:rFonts w:ascii="Arial" w:hAnsi="Arial"/>
                <w:b/>
                <w:color w:val="002668"/>
                <w:sz w:val="18"/>
              </w:rPr>
              <w:t>Board committees:</w:t>
            </w:r>
          </w:p>
          <w:p>
            <w:pPr>
              <w:pStyle w:val="TableContents"/>
              <w:bidi w:val="0"/>
              <w:ind w:left="0" w:right="0" w:firstLine="80"/>
              <w:jc w:val="both"/>
              <w:rPr>
                <w:rFonts w:ascii="Arial" w:hAnsi="Arial"/>
                <w:color w:val="000000"/>
                <w:sz w:val="18"/>
              </w:rPr>
            </w:pPr>
            <w:r>
              <w:rPr>
                <w:rFonts w:ascii="Arial" w:hAnsi="Arial"/>
                <w:color w:val="000000"/>
                <w:sz w:val="18"/>
              </w:rPr>
              <w:t> Audit</w:t>
            </w:r>
          </w:p>
          <w:p>
            <w:pPr>
              <w:pStyle w:val="TableContents"/>
              <w:bidi w:val="0"/>
              <w:ind w:left="0" w:right="0" w:firstLine="80"/>
              <w:jc w:val="both"/>
              <w:rPr>
                <w:rFonts w:ascii="Arial" w:hAnsi="Arial"/>
                <w:color w:val="000000"/>
                <w:sz w:val="18"/>
              </w:rPr>
            </w:pPr>
            <w:r>
              <w:rPr>
                <w:rFonts w:ascii="Arial" w:hAnsi="Arial"/>
                <w:color w:val="000000"/>
                <w:sz w:val="18"/>
              </w:rPr>
              <w:t> NCG</w:t>
            </w:r>
          </w:p>
          <w:p>
            <w:pPr>
              <w:pStyle w:val="TableContents"/>
              <w:bidi w:val="0"/>
              <w:spacing w:before="120" w:after="283"/>
              <w:ind w:left="0" w:right="0" w:firstLine="80"/>
              <w:jc w:val="both"/>
              <w:rPr>
                <w:rFonts w:ascii="Arial" w:hAnsi="Arial"/>
                <w:b/>
                <w:color w:val="002668"/>
                <w:sz w:val="18"/>
              </w:rPr>
            </w:pPr>
            <w:r>
              <w:rPr>
                <w:rFonts w:ascii="Arial" w:hAnsi="Arial"/>
                <w:b/>
                <w:color w:val="002668"/>
                <w:sz w:val="18"/>
              </w:rPr>
              <w:t>Other public company boards:</w:t>
            </w:r>
          </w:p>
          <w:p>
            <w:pPr>
              <w:pStyle w:val="TableContents"/>
              <w:bidi w:val="0"/>
              <w:ind w:left="0" w:right="0" w:firstLine="80"/>
              <w:jc w:val="both"/>
              <w:rPr>
                <w:rFonts w:ascii="Arial" w:hAnsi="Arial"/>
                <w:color w:val="000000"/>
                <w:sz w:val="18"/>
              </w:rPr>
            </w:pPr>
            <w:r>
              <w:rPr>
                <w:rFonts w:ascii="Arial" w:hAnsi="Arial"/>
                <w:color w:val="000000"/>
                <w:sz w:val="18"/>
              </w:rPr>
              <w:t> None</w:t>
            </w:r>
          </w:p>
          <w:p>
            <w:pPr>
              <w:pStyle w:val="TableContents"/>
              <w:bidi w:val="0"/>
              <w:spacing w:before="120" w:after="283"/>
              <w:ind w:left="0" w:right="0" w:firstLine="80"/>
              <w:jc w:val="both"/>
              <w:rPr>
                <w:rFonts w:ascii="Arial" w:hAnsi="Arial"/>
                <w:b/>
                <w:color w:val="002668"/>
                <w:sz w:val="18"/>
              </w:rPr>
            </w:pPr>
            <w:r>
              <w:rPr>
                <w:rFonts w:ascii="Arial" w:hAnsi="Arial"/>
                <w:b/>
                <w:color w:val="002668"/>
                <w:sz w:val="18"/>
              </w:rPr>
              <w:t>Other public company boards within five years:</w:t>
            </w:r>
          </w:p>
          <w:p>
            <w:pPr>
              <w:pStyle w:val="TableContents"/>
              <w:bidi w:val="0"/>
              <w:spacing w:before="0" w:after="283"/>
              <w:ind w:left="0" w:right="0" w:firstLine="80"/>
              <w:jc w:val="both"/>
              <w:rPr>
                <w:rFonts w:ascii="Arial" w:hAnsi="Arial"/>
                <w:color w:val="000000"/>
                <w:sz w:val="18"/>
              </w:rPr>
            </w:pPr>
            <w:r>
              <w:rPr>
                <w:rFonts w:ascii="Arial" w:hAnsi="Arial"/>
                <w:color w:val="000000"/>
                <w:sz w:val="18"/>
              </w:rPr>
              <w:t> None</w:t>
            </w:r>
          </w:p>
        </w:tc>
        <w:tc>
          <w:tcPr>
            <w:tcW w:w="8678" w:type="dxa"/>
            <w:tcBorders/>
            <w:shd w:fill="D9D9D9" w:val="clear"/>
            <w:tcMar>
              <w:top w:w="0" w:type="dxa"/>
              <w:left w:w="0" w:type="dxa"/>
              <w:bottom w:w="0" w:type="dxa"/>
              <w:right w:w="0" w:type="dxa"/>
            </w:tcMar>
            <w:vAlign w:val="center"/>
          </w:tcPr>
          <w:p>
            <w:pPr>
              <w:pStyle w:val="TableContents"/>
              <w:bidi w:val="0"/>
              <w:spacing w:before="80" w:after="283"/>
              <w:ind w:left="0" w:right="0" w:firstLine="80"/>
              <w:jc w:val="both"/>
              <w:rPr>
                <w:rFonts w:ascii="Arial" w:hAnsi="Arial"/>
                <w:b/>
                <w:color w:val="004B87"/>
                <w:sz w:val="18"/>
              </w:rPr>
            </w:pPr>
            <w:r>
              <w:rPr>
                <w:rFonts w:ascii="Arial" w:hAnsi="Arial"/>
                <w:b/>
                <w:color w:val="004B87"/>
                <w:sz w:val="18"/>
              </w:rPr>
              <w:t>Background:</w:t>
            </w:r>
          </w:p>
          <w:p>
            <w:pPr>
              <w:pStyle w:val="TableContents"/>
              <w:bidi w:val="0"/>
              <w:spacing w:before="0" w:after="283"/>
              <w:ind w:left="0" w:right="0" w:firstLine="80"/>
              <w:jc w:val="left"/>
              <w:rPr>
                <w:rFonts w:ascii="Arial" w:hAnsi="Arial"/>
                <w:color w:val="000000"/>
                <w:sz w:val="18"/>
              </w:rPr>
            </w:pPr>
            <w:r>
              <w:rPr>
                <w:rFonts w:ascii="Arial" w:hAnsi="Arial"/>
                <w:color w:val="000000"/>
                <w:sz w:val="18"/>
              </w:rPr>
              <w:t>Mr. Scott has served as our Chairman since 2020. He also serves as Chairman of the National Shooting Sports Foundation (“NSSF”), and served from 2005 to 2008 on the board of directors of the Sporting Arms and Ammunition Manufacturers' Institute (“SAAMI”). Mr. Scott served as a consultant to us (2004 to 2006); our President (1999 to 2002); Chairman of our wholly owned subsidiary, Smith &amp; Wesson Corp. (2003); and President of Smith &amp; Wesson Corp. (2001 to 2002). From 1989 to 1999, he served as Vice President of Sales and Marketing and later as Vice President of Business Development of Smith &amp; Wesson Corp. prior to its acquisition by us. Prior to that, Mr. Scott served in senior positions with Berkley &amp; Company and Tasco Sales Inc., two leading companies in the outdoor industry. He previously served as a director of Primos Hunting, a leader in the hunting category, and OPT Holdings, a hunting accessories marketer.</w:t>
            </w:r>
          </w:p>
        </w:tc>
      </w:tr>
      <w:tr>
        <w:trPr/>
        <w:tc>
          <w:tcPr>
            <w:tcW w:w="1527" w:type="dxa"/>
            <w:vMerge w:val="continue"/>
            <w:tcBorders/>
            <w:tcMar>
              <w:top w:w="0" w:type="dxa"/>
              <w:left w:w="0" w:type="dxa"/>
              <w:bottom w:w="0" w:type="dxa"/>
              <w:right w:w="0" w:type="dxa"/>
            </w:tcMar>
            <w:vAlign w:val="center"/>
          </w:tcPr>
          <w:p>
            <w:pPr>
              <w:pStyle w:val="Normal"/>
              <w:bidi w:val="0"/>
              <w:jc w:val="left"/>
              <w:rPr/>
            </w:pPr>
            <w:r>
              <w:rPr/>
            </w:r>
          </w:p>
        </w:tc>
        <w:tc>
          <w:tcPr>
            <w:tcW w:w="8678" w:type="dxa"/>
            <w:tcBorders/>
            <w:tcMar>
              <w:top w:w="0" w:type="dxa"/>
              <w:left w:w="0" w:type="dxa"/>
              <w:bottom w:w="0" w:type="dxa"/>
              <w:right w:w="0" w:type="dxa"/>
            </w:tcMar>
            <w:vAlign w:val="center"/>
          </w:tcPr>
          <w:p>
            <w:pPr>
              <w:pStyle w:val="TableContents"/>
              <w:bidi w:val="0"/>
              <w:spacing w:before="80" w:after="283"/>
              <w:ind w:left="0" w:right="0" w:firstLine="80"/>
              <w:jc w:val="left"/>
              <w:rPr>
                <w:rFonts w:ascii="Arial" w:hAnsi="Arial"/>
                <w:b/>
                <w:color w:val="004B87"/>
                <w:sz w:val="18"/>
              </w:rPr>
            </w:pPr>
            <w:r>
              <w:rPr>
                <w:rFonts w:ascii="Arial" w:hAnsi="Arial"/>
                <w:b/>
                <w:color w:val="004B87"/>
                <w:sz w:val="18"/>
              </w:rPr>
              <w:t>Key Qualifications and Skills Include:</w:t>
            </w:r>
          </w:p>
          <w:p>
            <w:pPr>
              <w:pStyle w:val="TableContents"/>
              <w:bidi w:val="0"/>
              <w:ind w:left="0" w:right="0" w:firstLine="80"/>
              <w:jc w:val="both"/>
              <w:rPr/>
            </w:pPr>
            <w:r>
              <w:rPr>
                <w:color w:val="000000"/>
              </w:rPr>
              <w:t>   </w:t>
            </w:r>
            <w:r>
              <w:rPr>
                <w:rFonts w:ascii="Arial" w:hAnsi="Arial"/>
                <w:b/>
                <w:color w:val="000000"/>
                <w:sz w:val="18"/>
              </w:rPr>
              <w:t>Executive</w:t>
            </w:r>
            <w:r>
              <w:rPr>
                <w:rFonts w:ascii="Arial" w:hAnsi="Arial"/>
                <w:color w:val="000000"/>
                <w:sz w:val="18"/>
              </w:rPr>
              <w:t>. Our former President, VP of Sales and Marketing, and</w:t>
            </w:r>
            <w:r>
              <w:rPr>
                <w:rFonts w:ascii="Times New Roman" w:hAnsi="Times New Roman"/>
                <w:color w:val="000000"/>
                <w:sz w:val="18"/>
              </w:rPr>
              <w:t xml:space="preserve"> </w:t>
            </w:r>
          </w:p>
          <w:p>
            <w:pPr>
              <w:pStyle w:val="TableContents"/>
              <w:bidi w:val="0"/>
              <w:ind w:left="0" w:right="0" w:firstLine="80"/>
              <w:jc w:val="both"/>
              <w:rPr>
                <w:rFonts w:ascii="Arial" w:hAnsi="Arial"/>
                <w:color w:val="000000"/>
                <w:sz w:val="18"/>
              </w:rPr>
            </w:pPr>
            <w:r>
              <w:rPr>
                <w:rFonts w:ascii="Arial" w:hAnsi="Arial"/>
                <w:color w:val="000000"/>
                <w:sz w:val="18"/>
              </w:rPr>
              <w:t>VP of Business Development</w:t>
            </w:r>
          </w:p>
          <w:p>
            <w:pPr>
              <w:pStyle w:val="TableContents"/>
              <w:bidi w:val="0"/>
              <w:spacing w:before="20" w:after="283"/>
              <w:ind w:left="0" w:right="0" w:firstLine="80"/>
              <w:jc w:val="both"/>
              <w:rPr/>
            </w:pPr>
            <w:r>
              <w:rPr>
                <w:color w:val="000000"/>
              </w:rPr>
              <w:t>   </w:t>
            </w:r>
            <w:r>
              <w:rPr>
                <w:rFonts w:ascii="Arial" w:hAnsi="Arial"/>
                <w:b/>
                <w:color w:val="000000"/>
                <w:sz w:val="18"/>
              </w:rPr>
              <w:t>Regulated Industry/Government</w:t>
            </w:r>
            <w:r>
              <w:rPr>
                <w:rFonts w:ascii="Arial" w:hAnsi="Arial"/>
                <w:color w:val="000000"/>
                <w:sz w:val="18"/>
              </w:rPr>
              <w:t>. Extensive leadership experience in</w:t>
            </w:r>
          </w:p>
          <w:p>
            <w:pPr>
              <w:pStyle w:val="TableContents"/>
              <w:bidi w:val="0"/>
              <w:ind w:left="0" w:right="0" w:firstLine="80"/>
              <w:jc w:val="both"/>
              <w:rPr>
                <w:rFonts w:ascii="Arial" w:hAnsi="Arial"/>
                <w:color w:val="000000"/>
                <w:sz w:val="18"/>
              </w:rPr>
            </w:pPr>
            <w:r>
              <w:rPr>
                <w:rFonts w:ascii="Arial" w:hAnsi="Arial"/>
                <w:color w:val="000000"/>
                <w:sz w:val="18"/>
              </w:rPr>
              <w:t>firearm and outdoor industries through affiliations with us, NSSF, SAAMI,</w:t>
            </w:r>
          </w:p>
          <w:p>
            <w:pPr>
              <w:pStyle w:val="TableContents"/>
              <w:bidi w:val="0"/>
              <w:ind w:left="0" w:right="0" w:firstLine="80"/>
              <w:jc w:val="both"/>
              <w:rPr>
                <w:color w:val="000000"/>
              </w:rPr>
            </w:pPr>
            <w:r>
              <w:rPr>
                <w:color w:val="000000"/>
              </w:rPr>
              <w:t>   </w:t>
            </w:r>
            <w:r>
              <w:rPr>
                <w:rFonts w:ascii="Arial" w:hAnsi="Arial"/>
                <w:color w:val="000000"/>
                <w:sz w:val="18"/>
              </w:rPr>
              <w:t>Primos Hunting, and OPT Holdings</w:t>
            </w:r>
          </w:p>
          <w:p>
            <w:pPr>
              <w:pStyle w:val="TableContents"/>
              <w:bidi w:val="0"/>
              <w:spacing w:before="20" w:after="283"/>
              <w:ind w:left="0" w:right="0" w:firstLine="80"/>
              <w:jc w:val="both"/>
              <w:rPr/>
            </w:pPr>
            <w:r>
              <w:rPr>
                <w:color w:val="000000"/>
              </w:rPr>
              <w:t>   </w:t>
            </w:r>
            <w:r>
              <w:rPr>
                <w:rFonts w:ascii="Arial" w:hAnsi="Arial"/>
                <w:b/>
                <w:color w:val="000000"/>
                <w:sz w:val="18"/>
              </w:rPr>
              <w:t>Sales and Marketing</w:t>
            </w:r>
            <w:r>
              <w:rPr>
                <w:rFonts w:ascii="Arial" w:hAnsi="Arial"/>
                <w:color w:val="000000"/>
                <w:sz w:val="18"/>
              </w:rPr>
              <w:t>. Our former VP of Sales and Marketing;</w:t>
            </w:r>
            <w:r>
              <w:rPr>
                <w:rFonts w:ascii="Times New Roman" w:hAnsi="Times New Roman"/>
                <w:color w:val="000000"/>
                <w:sz w:val="18"/>
              </w:rPr>
              <w:t xml:space="preserve"> </w:t>
            </w:r>
          </w:p>
          <w:p>
            <w:pPr>
              <w:pStyle w:val="TableContents"/>
              <w:bidi w:val="0"/>
              <w:spacing w:before="0" w:after="283"/>
              <w:ind w:left="0" w:right="0" w:firstLine="80"/>
              <w:jc w:val="left"/>
              <w:rPr>
                <w:rFonts w:ascii="Arial" w:hAnsi="Arial"/>
                <w:color w:val="000000"/>
                <w:sz w:val="18"/>
              </w:rPr>
            </w:pPr>
            <w:r>
              <w:rPr>
                <w:rFonts w:ascii="Arial" w:hAnsi="Arial"/>
                <w:color w:val="000000"/>
                <w:sz w:val="18"/>
              </w:rPr>
              <w:t>previously served in senior sales roles with Berkley and Tasco Sales</w:t>
            </w:r>
          </w:p>
        </w:tc>
      </w:tr>
      <w:tr>
        <w:trPr/>
        <w:tc>
          <w:tcPr>
            <w:tcW w:w="10205" w:type="dxa"/>
            <w:gridSpan w:val="2"/>
            <w:tcBorders/>
            <w:shd w:fill="004B87" w:val="clear"/>
            <w:tcMar>
              <w:top w:w="0" w:type="dxa"/>
              <w:left w:w="0" w:type="dxa"/>
              <w:bottom w:w="0" w:type="dxa"/>
              <w:right w:w="0" w:type="dxa"/>
            </w:tcMar>
            <w:vAlign w:val="center"/>
          </w:tcPr>
          <w:p>
            <w:pPr>
              <w:pStyle w:val="TableContents"/>
              <w:bidi w:val="0"/>
              <w:spacing w:before="120" w:after="120"/>
              <w:ind w:left="0" w:right="0" w:firstLine="80"/>
              <w:jc w:val="both"/>
              <w:rPr>
                <w:rFonts w:ascii="Arial" w:hAnsi="Arial"/>
                <w:b/>
                <w:color w:val="FFFFFF"/>
                <w:sz w:val="20"/>
              </w:rPr>
            </w:pPr>
            <w:r>
              <w:rPr>
                <w:rFonts w:ascii="Arial" w:hAnsi="Arial"/>
                <w:b/>
                <w:color w:val="FFFFFF"/>
                <w:sz w:val="20"/>
              </w:rPr>
              <w:t>MARK P. SMITH</w:t>
            </w:r>
          </w:p>
        </w:tc>
      </w:tr>
      <w:tr>
        <w:trPr/>
        <w:tc>
          <w:tcPr>
            <w:tcW w:w="1527" w:type="dxa"/>
            <w:vMerge w:val="restart"/>
            <w:tcBorders/>
            <w:tcMar>
              <w:top w:w="0" w:type="dxa"/>
              <w:left w:w="0" w:type="dxa"/>
              <w:bottom w:w="0" w:type="dxa"/>
              <w:right w:w="0" w:type="dxa"/>
            </w:tcMar>
            <w:vAlign w:val="center"/>
          </w:tcPr>
          <w:p>
            <w:pPr>
              <w:pStyle w:val="TableContents"/>
              <w:bidi w:val="0"/>
              <w:spacing w:before="80" w:after="120"/>
              <w:ind w:left="0" w:right="0" w:firstLine="80"/>
              <w:jc w:val="both"/>
              <w:rPr>
                <w:rFonts w:ascii="Times New Roman" w:hAnsi="Times New Roman"/>
                <w:sz w:val="18"/>
              </w:rPr>
            </w:pPr>
            <w:r>
              <w:rPr>
                <w:rFonts w:ascii="Arial" w:hAnsi="Arial"/>
                <w:b/>
                <w:color w:val="002668"/>
                <w:sz w:val="18"/>
              </w:rPr>
              <w:t>Age:</w:t>
            </w:r>
            <w:r>
              <w:rPr>
                <w:rFonts w:ascii="Times New Roman" w:hAnsi="Times New Roman"/>
                <w:color w:val="004B87"/>
                <w:sz w:val="18"/>
              </w:rPr>
              <w:t xml:space="preserve"> </w:t>
            </w:r>
            <w:r>
              <w:rPr>
                <w:rFonts w:ascii="Arial" w:hAnsi="Arial"/>
                <w:color w:val="000000"/>
                <w:sz w:val="18"/>
              </w:rPr>
              <w:t>50</w:t>
            </w:r>
          </w:p>
          <w:p>
            <w:pPr>
              <w:pStyle w:val="TableContents"/>
              <w:bidi w:val="0"/>
              <w:spacing w:before="0" w:after="120"/>
              <w:ind w:left="0" w:right="0" w:firstLine="80"/>
              <w:jc w:val="both"/>
              <w:rPr>
                <w:rFonts w:ascii="Times New Roman" w:hAnsi="Times New Roman"/>
                <w:sz w:val="18"/>
              </w:rPr>
            </w:pPr>
            <w:r>
              <w:rPr>
                <w:rFonts w:ascii="Arial" w:hAnsi="Arial"/>
                <w:b/>
                <w:color w:val="002668"/>
                <w:sz w:val="18"/>
              </w:rPr>
              <w:t>Director since:</w:t>
            </w:r>
            <w:r>
              <w:rPr>
                <w:rFonts w:ascii="Times New Roman" w:hAnsi="Times New Roman"/>
                <w:color w:val="004B87"/>
                <w:sz w:val="18"/>
              </w:rPr>
              <w:t xml:space="preserve"> </w:t>
            </w:r>
            <w:r>
              <w:rPr>
                <w:rFonts w:ascii="Arial" w:hAnsi="Arial"/>
                <w:color w:val="000000"/>
                <w:sz w:val="18"/>
              </w:rPr>
              <w:t>2020</w:t>
            </w:r>
          </w:p>
          <w:p>
            <w:pPr>
              <w:pStyle w:val="TableContents"/>
              <w:bidi w:val="0"/>
              <w:spacing w:before="0" w:after="120"/>
              <w:ind w:left="0" w:right="0" w:firstLine="80"/>
              <w:jc w:val="both"/>
              <w:rPr>
                <w:rFonts w:ascii="Arial" w:hAnsi="Arial"/>
                <w:b/>
                <w:color w:val="002668"/>
                <w:sz w:val="18"/>
              </w:rPr>
            </w:pPr>
            <w:r>
              <w:rPr>
                <w:rFonts w:ascii="Arial" w:hAnsi="Arial"/>
                <w:b/>
                <w:color w:val="002668"/>
                <w:sz w:val="18"/>
              </w:rPr>
              <w:t>Not Independent</w:t>
            </w:r>
          </w:p>
          <w:p>
            <w:pPr>
              <w:pStyle w:val="TableContents"/>
              <w:bidi w:val="0"/>
              <w:ind w:left="0" w:right="0" w:firstLine="80"/>
              <w:jc w:val="both"/>
              <w:rPr>
                <w:rFonts w:ascii="Arial" w:hAnsi="Arial"/>
                <w:b/>
                <w:color w:val="002668"/>
                <w:sz w:val="18"/>
              </w:rPr>
            </w:pPr>
            <w:r>
              <w:rPr>
                <w:rFonts w:ascii="Arial" w:hAnsi="Arial"/>
                <w:b/>
                <w:color w:val="002668"/>
                <w:sz w:val="18"/>
              </w:rPr>
              <w:t>Board committees:</w:t>
            </w:r>
          </w:p>
          <w:p>
            <w:pPr>
              <w:pStyle w:val="TableContents"/>
              <w:bidi w:val="0"/>
              <w:ind w:left="0" w:right="0" w:firstLine="80"/>
              <w:jc w:val="both"/>
              <w:rPr>
                <w:rFonts w:ascii="Arial" w:hAnsi="Arial"/>
                <w:color w:val="000000"/>
                <w:sz w:val="18"/>
              </w:rPr>
            </w:pPr>
            <w:r>
              <w:rPr>
                <w:rFonts w:ascii="Arial" w:hAnsi="Arial"/>
                <w:color w:val="000000"/>
                <w:sz w:val="18"/>
              </w:rPr>
              <w:t> None</w:t>
            </w:r>
          </w:p>
          <w:p>
            <w:pPr>
              <w:pStyle w:val="TableContents"/>
              <w:bidi w:val="0"/>
              <w:spacing w:before="120" w:after="283"/>
              <w:ind w:left="0" w:right="0" w:firstLine="80"/>
              <w:jc w:val="both"/>
              <w:rPr>
                <w:rFonts w:ascii="Arial" w:hAnsi="Arial"/>
                <w:b/>
                <w:color w:val="002668"/>
                <w:sz w:val="18"/>
              </w:rPr>
            </w:pPr>
            <w:r>
              <w:rPr>
                <w:rFonts w:ascii="Arial" w:hAnsi="Arial"/>
                <w:b/>
                <w:color w:val="002668"/>
                <w:sz w:val="18"/>
              </w:rPr>
              <w:t>Other public company boards:</w:t>
            </w:r>
          </w:p>
          <w:p>
            <w:pPr>
              <w:pStyle w:val="TableContents"/>
              <w:bidi w:val="0"/>
              <w:ind w:left="0" w:right="0" w:firstLine="80"/>
              <w:jc w:val="both"/>
              <w:rPr>
                <w:rFonts w:ascii="Times New Roman" w:hAnsi="Times New Roman"/>
                <w:sz w:val="18"/>
              </w:rPr>
            </w:pPr>
            <w:r>
              <w:rPr>
                <w:rFonts w:ascii="Arial" w:hAnsi="Arial"/>
                <w:color w:val="1F497D"/>
                <w:sz w:val="18"/>
              </w:rPr>
              <w:t xml:space="preserve"> </w:t>
            </w:r>
            <w:r>
              <w:rPr>
                <w:rFonts w:ascii="Arial" w:hAnsi="Arial"/>
                <w:color w:val="000000"/>
                <w:sz w:val="18"/>
              </w:rPr>
              <w:t>None</w:t>
            </w:r>
          </w:p>
          <w:p>
            <w:pPr>
              <w:pStyle w:val="TableContents"/>
              <w:bidi w:val="0"/>
              <w:spacing w:before="120" w:after="283"/>
              <w:ind w:left="0" w:right="0" w:firstLine="80"/>
              <w:jc w:val="both"/>
              <w:rPr>
                <w:rFonts w:ascii="Arial" w:hAnsi="Arial"/>
                <w:b/>
                <w:color w:val="002668"/>
                <w:sz w:val="18"/>
              </w:rPr>
            </w:pPr>
            <w:r>
              <w:rPr>
                <w:rFonts w:ascii="Arial" w:hAnsi="Arial"/>
                <w:b/>
                <w:color w:val="002668"/>
                <w:sz w:val="18"/>
              </w:rPr>
              <w:t>Other public company boards within five years:</w:t>
            </w:r>
          </w:p>
          <w:p>
            <w:pPr>
              <w:pStyle w:val="TableContents"/>
              <w:bidi w:val="0"/>
              <w:spacing w:before="0" w:after="283"/>
              <w:ind w:left="0" w:right="0" w:firstLine="80"/>
              <w:jc w:val="both"/>
              <w:rPr>
                <w:rFonts w:ascii="Times New Roman" w:hAnsi="Times New Roman"/>
                <w:sz w:val="18"/>
              </w:rPr>
            </w:pPr>
            <w:r>
              <w:rPr>
                <w:rFonts w:ascii="Arial" w:hAnsi="Arial"/>
                <w:color w:val="1F497D"/>
                <w:sz w:val="18"/>
              </w:rPr>
              <w:t xml:space="preserve"> </w:t>
            </w:r>
            <w:r>
              <w:rPr>
                <w:rFonts w:ascii="Arial" w:hAnsi="Arial"/>
                <w:color w:val="000000"/>
                <w:sz w:val="18"/>
              </w:rPr>
              <w:t>None</w:t>
            </w:r>
          </w:p>
        </w:tc>
        <w:tc>
          <w:tcPr>
            <w:tcW w:w="8678" w:type="dxa"/>
            <w:tcBorders/>
            <w:shd w:fill="D9D9D9" w:val="clear"/>
            <w:tcMar>
              <w:top w:w="0" w:type="dxa"/>
              <w:left w:w="0" w:type="dxa"/>
              <w:bottom w:w="0" w:type="dxa"/>
              <w:right w:w="0" w:type="dxa"/>
            </w:tcMar>
            <w:vAlign w:val="center"/>
          </w:tcPr>
          <w:p>
            <w:pPr>
              <w:pStyle w:val="TableContents"/>
              <w:bidi w:val="0"/>
              <w:spacing w:before="80" w:after="283"/>
              <w:ind w:left="0" w:right="0" w:firstLine="80"/>
              <w:jc w:val="both"/>
              <w:rPr>
                <w:rFonts w:ascii="Arial" w:hAnsi="Arial"/>
                <w:b/>
                <w:color w:val="004B87"/>
                <w:sz w:val="18"/>
              </w:rPr>
            </w:pPr>
            <w:r>
              <w:rPr>
                <w:rFonts w:ascii="Arial" w:hAnsi="Arial"/>
                <w:b/>
                <w:color w:val="004B87"/>
                <w:sz w:val="18"/>
              </w:rPr>
              <w:t>Background:</w:t>
            </w:r>
          </w:p>
          <w:p>
            <w:pPr>
              <w:pStyle w:val="TableContents"/>
              <w:bidi w:val="0"/>
              <w:spacing w:before="0" w:after="283"/>
              <w:ind w:left="0" w:right="0" w:firstLine="80"/>
              <w:jc w:val="left"/>
              <w:rPr>
                <w:rFonts w:ascii="Arial" w:hAnsi="Arial"/>
                <w:color w:val="000000"/>
                <w:sz w:val="18"/>
              </w:rPr>
            </w:pPr>
            <w:r>
              <w:rPr>
                <w:rFonts w:ascii="Arial" w:hAnsi="Arial"/>
                <w:color w:val="000000"/>
                <w:sz w:val="18"/>
              </w:rPr>
              <w:t>Mr. Smith has served as our President and CEO and as a director since 2020. Since joining us in 2010, he has served in a number of roles with increasing responsibility, including Vice President of Supply Chain Management (2010 to 2011), Vice President of Manufacturing and Supply Chain Management (2011 to 2016), President, Manufacturing Services (2016 to 2020), and Co-President and Co-Chief Executive Officer (January 2020 to August 2020). Prior to joining us, Mr. Smith served as Director Supply Chain Solutions for Alvarez &amp; Marsal Business Consulting, LLC (2007 to 2010), in various positions with Ecolab, Inc. (2001 to 2007) and as a Production Supervisor for Bell Aromatics (1999 to 2001).</w:t>
            </w:r>
          </w:p>
        </w:tc>
      </w:tr>
      <w:tr>
        <w:trPr/>
        <w:tc>
          <w:tcPr>
            <w:tcW w:w="1527" w:type="dxa"/>
            <w:vMerge w:val="continue"/>
            <w:tcBorders/>
            <w:tcMar>
              <w:top w:w="0" w:type="dxa"/>
              <w:left w:w="0" w:type="dxa"/>
              <w:bottom w:w="0" w:type="dxa"/>
              <w:right w:w="0" w:type="dxa"/>
            </w:tcMar>
            <w:vAlign w:val="center"/>
          </w:tcPr>
          <w:p>
            <w:pPr>
              <w:pStyle w:val="Normal"/>
              <w:bidi w:val="0"/>
              <w:jc w:val="left"/>
              <w:rPr/>
            </w:pPr>
            <w:r>
              <w:rPr/>
            </w:r>
          </w:p>
        </w:tc>
        <w:tc>
          <w:tcPr>
            <w:tcW w:w="8678" w:type="dxa"/>
            <w:tcBorders/>
            <w:tcMar>
              <w:top w:w="0" w:type="dxa"/>
              <w:left w:w="0" w:type="dxa"/>
              <w:bottom w:w="0" w:type="dxa"/>
              <w:right w:w="0" w:type="dxa"/>
            </w:tcMar>
            <w:vAlign w:val="center"/>
          </w:tcPr>
          <w:p>
            <w:pPr>
              <w:pStyle w:val="TableContents"/>
              <w:bidi w:val="0"/>
              <w:spacing w:before="80" w:after="283"/>
              <w:ind w:left="0" w:right="0" w:firstLine="80"/>
              <w:jc w:val="left"/>
              <w:rPr>
                <w:rFonts w:ascii="Arial" w:hAnsi="Arial"/>
                <w:b/>
                <w:color w:val="004B87"/>
                <w:sz w:val="18"/>
              </w:rPr>
            </w:pPr>
            <w:r>
              <w:rPr>
                <w:rFonts w:ascii="Arial" w:hAnsi="Arial"/>
                <w:b/>
                <w:color w:val="004B87"/>
                <w:sz w:val="18"/>
              </w:rPr>
              <w:t>Key Qualifications and Skills Include:</w:t>
            </w:r>
          </w:p>
          <w:p>
            <w:pPr>
              <w:pStyle w:val="TableContents"/>
              <w:bidi w:val="0"/>
              <w:ind w:left="0" w:right="0" w:firstLine="80"/>
              <w:jc w:val="both"/>
              <w:rPr/>
            </w:pPr>
            <w:r>
              <w:rPr>
                <w:color w:val="000000"/>
              </w:rPr>
              <w:t>    </w:t>
            </w:r>
            <w:r>
              <w:rPr>
                <w:rFonts w:ascii="Arial" w:hAnsi="Arial"/>
                <w:b/>
                <w:color w:val="000000"/>
                <w:sz w:val="18"/>
              </w:rPr>
              <w:t>Executive</w:t>
            </w:r>
            <w:r>
              <w:rPr>
                <w:rFonts w:ascii="Arial" w:hAnsi="Arial"/>
                <w:color w:val="000000"/>
                <w:sz w:val="18"/>
              </w:rPr>
              <w:t>. Our President and CEO</w:t>
            </w:r>
          </w:p>
          <w:p>
            <w:pPr>
              <w:pStyle w:val="TableContents"/>
              <w:bidi w:val="0"/>
              <w:spacing w:before="20" w:after="283"/>
              <w:ind w:left="0" w:right="0" w:firstLine="80"/>
              <w:jc w:val="both"/>
              <w:rPr/>
            </w:pPr>
            <w:r>
              <w:rPr>
                <w:color w:val="000000"/>
              </w:rPr>
              <w:t>    </w:t>
            </w:r>
            <w:r>
              <w:rPr>
                <w:rFonts w:ascii="Arial" w:hAnsi="Arial"/>
                <w:b/>
                <w:color w:val="000000"/>
                <w:sz w:val="18"/>
              </w:rPr>
              <w:t>Manufacturing</w:t>
            </w:r>
            <w:r>
              <w:rPr>
                <w:rFonts w:ascii="Arial" w:hAnsi="Arial"/>
                <w:color w:val="000000"/>
                <w:sz w:val="18"/>
              </w:rPr>
              <w:t>. Extensive operations experience gained through roles with us,</w:t>
            </w:r>
          </w:p>
          <w:p>
            <w:pPr>
              <w:pStyle w:val="TableContents"/>
              <w:bidi w:val="0"/>
              <w:ind w:left="0" w:right="0" w:firstLine="80"/>
              <w:jc w:val="both"/>
              <w:rPr>
                <w:color w:val="000000"/>
              </w:rPr>
            </w:pPr>
            <w:r>
              <w:rPr>
                <w:color w:val="000000"/>
              </w:rPr>
              <w:t>  </w:t>
            </w:r>
            <w:r>
              <w:rPr>
                <w:rFonts w:ascii="Arial" w:hAnsi="Arial"/>
                <w:color w:val="000000"/>
                <w:sz w:val="18"/>
              </w:rPr>
              <w:t>including as President, Manufacturing Services and VP of</w:t>
            </w:r>
          </w:p>
          <w:p>
            <w:pPr>
              <w:pStyle w:val="TableContents"/>
              <w:bidi w:val="0"/>
              <w:ind w:left="0" w:right="0" w:firstLine="80"/>
              <w:jc w:val="left"/>
              <w:rPr>
                <w:color w:val="000000"/>
              </w:rPr>
            </w:pPr>
            <w:r>
              <w:rPr>
                <w:color w:val="000000"/>
              </w:rPr>
              <w:t>    </w:t>
            </w:r>
            <w:r>
              <w:rPr>
                <w:rFonts w:ascii="Arial" w:hAnsi="Arial"/>
                <w:color w:val="000000"/>
                <w:sz w:val="18"/>
              </w:rPr>
              <w:t>Manufacturing and Supply Chain Management, and Alvarez &amp; Marsal</w:t>
            </w:r>
          </w:p>
          <w:p>
            <w:pPr>
              <w:pStyle w:val="TableContents"/>
              <w:bidi w:val="0"/>
              <w:spacing w:before="20" w:after="283"/>
              <w:ind w:left="0" w:right="0" w:firstLine="80"/>
              <w:jc w:val="both"/>
              <w:rPr/>
            </w:pPr>
            <w:r>
              <w:rPr>
                <w:color w:val="000000"/>
              </w:rPr>
              <w:t>    </w:t>
            </w:r>
            <w:r>
              <w:rPr>
                <w:rFonts w:ascii="Arial" w:hAnsi="Arial"/>
                <w:b/>
                <w:color w:val="000000"/>
                <w:sz w:val="18"/>
              </w:rPr>
              <w:t>Regulated Industry/Government</w:t>
            </w:r>
            <w:r>
              <w:rPr>
                <w:rFonts w:ascii="Arial" w:hAnsi="Arial"/>
                <w:color w:val="000000"/>
                <w:sz w:val="18"/>
              </w:rPr>
              <w:t>. Extensive leadership experience in</w:t>
            </w:r>
          </w:p>
          <w:p>
            <w:pPr>
              <w:pStyle w:val="TableContents"/>
              <w:bidi w:val="0"/>
              <w:spacing w:before="0" w:after="283"/>
              <w:ind w:left="0" w:right="0" w:firstLine="80"/>
              <w:jc w:val="both"/>
              <w:rPr>
                <w:color w:val="000000"/>
              </w:rPr>
            </w:pPr>
            <w:r>
              <w:rPr>
                <w:color w:val="000000"/>
              </w:rPr>
              <w:t>  </w:t>
            </w:r>
            <w:r>
              <w:rPr>
                <w:rFonts w:ascii="Arial" w:hAnsi="Arial"/>
                <w:color w:val="000000"/>
                <w:sz w:val="18"/>
              </w:rPr>
              <w:t>firearm industry through affiliation with us</w:t>
            </w:r>
          </w:p>
        </w:tc>
      </w:tr>
    </w:tbl>
    <w:p>
      <w:pPr>
        <w:pStyle w:val="TextBody"/>
        <w:bidi w:val="0"/>
        <w:jc w:val="both"/>
        <w:rPr/>
      </w:pPr>
      <w:r>
        <w:rPr/>
        <w:t> </w:t>
      </w:r>
    </w:p>
    <w:p>
      <w:pPr>
        <w:pStyle w:val="TextBody"/>
        <w:bidi w:val="0"/>
        <w:jc w:val="left"/>
        <w:rPr/>
      </w:pPr>
      <w:r>
        <w:rPr/>
        <w:t> </w:t>
      </w:r>
    </w:p>
    <w:tbl>
      <w:tblPr>
        <w:tblW w:w="3597" w:type="dxa"/>
        <w:jc w:val="left"/>
        <w:tblInd w:w="0" w:type="dxa"/>
        <w:tblLayout w:type="fixed"/>
        <w:tblCellMar>
          <w:top w:w="28" w:type="dxa"/>
          <w:left w:w="28" w:type="dxa"/>
          <w:bottom w:w="28" w:type="dxa"/>
          <w:right w:w="28" w:type="dxa"/>
        </w:tblCellMar>
      </w:tblPr>
      <w:tblGrid>
        <w:gridCol w:w="2161"/>
        <w:gridCol w:w="1436"/>
      </w:tblGrid>
      <w:tr>
        <w:trPr/>
        <w:tc>
          <w:tcPr>
            <w:tcW w:w="2161"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1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91F2C"/>
                <w:sz w:val="18"/>
              </w:rPr>
              <w:t>8</w:t>
            </w:r>
            <w:r>
              <w:rPr>
                <w:rFonts w:ascii="Times New Roman" w:hAnsi="Times New Roman"/>
                <w:color w:val="091F2C"/>
                <w:sz w:val="18"/>
              </w:rPr>
              <w:t> </w:t>
            </w:r>
            <w:r>
              <w:rPr>
                <w:rFonts w:ascii="Arial" w:hAnsi="Arial"/>
                <w:color w:val="091F2C"/>
                <w:sz w:val="18"/>
              </w:rPr>
              <w:t>I 2026 Proxy Statement</w:t>
            </w:r>
          </w:p>
        </w:tc>
        <w:tc>
          <w:tcPr>
            <w:tcW w:w="143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828675" cy="1905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828675" cy="190500"/>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3027" w:type="dxa"/>
        <w:jc w:val="left"/>
        <w:tblInd w:w="0" w:type="dxa"/>
        <w:tblLayout w:type="fixed"/>
        <w:tblCellMar>
          <w:top w:w="28" w:type="dxa"/>
          <w:left w:w="28" w:type="dxa"/>
          <w:bottom w:w="28" w:type="dxa"/>
          <w:right w:w="28" w:type="dxa"/>
        </w:tblCellMar>
      </w:tblPr>
      <w:tblGrid>
        <w:gridCol w:w="2836"/>
        <w:gridCol w:w="191"/>
      </w:tblGrid>
      <w:tr>
        <w:trPr/>
        <w:tc>
          <w:tcPr>
            <w:tcW w:w="28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36" w:type="dxa"/>
            <w:tcBorders/>
            <w:tcMar>
              <w:top w:w="0" w:type="dxa"/>
              <w:left w:w="0" w:type="dxa"/>
              <w:bottom w:w="0" w:type="dxa"/>
              <w:right w:w="0" w:type="dxa"/>
            </w:tcMar>
            <w:vAlign w:val="center"/>
          </w:tcPr>
          <w:p>
            <w:pPr>
              <w:pStyle w:val="TableContents"/>
              <w:bidi w:val="0"/>
              <w:spacing w:before="0" w:after="283"/>
              <w:jc w:val="left"/>
              <w:rPr>
                <w:rFonts w:ascii="Arial" w:hAnsi="Arial"/>
                <w:color w:val="002668"/>
                <w:sz w:val="20"/>
              </w:rPr>
            </w:pPr>
            <w:r>
              <w:rPr>
                <w:rFonts w:ascii="Arial" w:hAnsi="Arial"/>
                <w:color w:val="002668"/>
                <w:sz w:val="20"/>
              </w:rPr>
              <w:t>Board and Governance Matters</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836" w:type="dxa"/>
            <w:tcBorders>
              <w:bottom w:val="single" w:sz="8" w:space="0" w:color="002668"/>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816"/>
        <w:gridCol w:w="8389"/>
      </w:tblGrid>
      <w:tr>
        <w:trPr/>
        <w:tc>
          <w:tcPr>
            <w:tcW w:w="1816" w:type="dxa"/>
            <w:tcBorders/>
            <w:vAlign w:val="center"/>
          </w:tcPr>
          <w:p>
            <w:pPr>
              <w:pStyle w:val="TableContents"/>
              <w:bidi w:val="0"/>
              <w:spacing w:before="0" w:after="283"/>
              <w:jc w:val="left"/>
              <w:rPr>
                <w:sz w:val="4"/>
                <w:szCs w:val="4"/>
              </w:rPr>
            </w:pPr>
            <w:r>
              <w:rPr>
                <w:sz w:val="4"/>
                <w:szCs w:val="4"/>
              </w:rPr>
            </w:r>
          </w:p>
        </w:tc>
        <w:tc>
          <w:tcPr>
            <w:tcW w:w="8389" w:type="dxa"/>
            <w:tcBorders/>
            <w:vAlign w:val="center"/>
          </w:tcPr>
          <w:p>
            <w:pPr>
              <w:pStyle w:val="TableContents"/>
              <w:bidi w:val="0"/>
              <w:spacing w:before="0" w:after="283"/>
              <w:ind w:left="0" w:right="0" w:firstLine="80"/>
              <w:jc w:val="left"/>
              <w:rPr>
                <w:sz w:val="4"/>
                <w:szCs w:val="4"/>
              </w:rPr>
            </w:pPr>
            <w:r>
              <w:rPr>
                <w:sz w:val="4"/>
                <w:szCs w:val="4"/>
              </w:rPr>
            </w:r>
          </w:p>
        </w:tc>
      </w:tr>
      <w:tr>
        <w:trPr/>
        <w:tc>
          <w:tcPr>
            <w:tcW w:w="10205" w:type="dxa"/>
            <w:gridSpan w:val="2"/>
            <w:tcBorders/>
            <w:shd w:fill="004B87" w:val="clear"/>
            <w:tcMar>
              <w:top w:w="0" w:type="dxa"/>
              <w:left w:w="0" w:type="dxa"/>
              <w:bottom w:w="0" w:type="dxa"/>
              <w:right w:w="0" w:type="dxa"/>
            </w:tcMar>
            <w:vAlign w:val="center"/>
          </w:tcPr>
          <w:p>
            <w:pPr>
              <w:pStyle w:val="TableContents"/>
              <w:bidi w:val="0"/>
              <w:spacing w:before="120" w:after="120"/>
              <w:ind w:left="0" w:right="0" w:firstLine="80"/>
              <w:jc w:val="both"/>
              <w:rPr>
                <w:rFonts w:ascii="Arial" w:hAnsi="Arial"/>
                <w:b/>
                <w:color w:val="FFFFFF"/>
                <w:sz w:val="20"/>
              </w:rPr>
            </w:pPr>
            <w:r>
              <w:rPr>
                <w:rFonts w:ascii="Arial" w:hAnsi="Arial"/>
                <w:b/>
                <w:color w:val="FFFFFF"/>
                <w:sz w:val="20"/>
              </w:rPr>
              <w:t>DENIS G. SUGGS</w:t>
            </w:r>
          </w:p>
        </w:tc>
      </w:tr>
      <w:tr>
        <w:trPr/>
        <w:tc>
          <w:tcPr>
            <w:tcW w:w="1816" w:type="dxa"/>
            <w:vMerge w:val="restart"/>
            <w:tcBorders/>
            <w:tcMar>
              <w:top w:w="0" w:type="dxa"/>
              <w:left w:w="0" w:type="dxa"/>
              <w:bottom w:w="0" w:type="dxa"/>
              <w:right w:w="0" w:type="dxa"/>
            </w:tcMar>
            <w:vAlign w:val="center"/>
          </w:tcPr>
          <w:p>
            <w:pPr>
              <w:pStyle w:val="TableContents"/>
              <w:bidi w:val="0"/>
              <w:spacing w:before="80" w:after="283"/>
              <w:ind w:left="0" w:right="0" w:firstLine="80"/>
              <w:jc w:val="both"/>
              <w:rPr>
                <w:rFonts w:ascii="Times New Roman" w:hAnsi="Times New Roman"/>
                <w:sz w:val="18"/>
              </w:rPr>
            </w:pPr>
            <w:r>
              <w:rPr>
                <w:rFonts w:ascii="Arial" w:hAnsi="Arial"/>
                <w:b/>
                <w:color w:val="002668"/>
                <w:sz w:val="18"/>
              </w:rPr>
              <w:t>Age:</w:t>
            </w:r>
            <w:r>
              <w:rPr>
                <w:rFonts w:ascii="Times New Roman" w:hAnsi="Times New Roman"/>
                <w:color w:val="004B87"/>
                <w:sz w:val="18"/>
              </w:rPr>
              <w:t xml:space="preserve"> </w:t>
            </w:r>
            <w:r>
              <w:rPr>
                <w:rFonts w:ascii="Arial" w:hAnsi="Arial"/>
                <w:color w:val="000000"/>
                <w:sz w:val="18"/>
              </w:rPr>
              <w:t>60</w:t>
            </w:r>
          </w:p>
          <w:p>
            <w:pPr>
              <w:pStyle w:val="TableContents"/>
              <w:bidi w:val="0"/>
              <w:spacing w:before="120" w:after="283"/>
              <w:ind w:left="0" w:right="0" w:firstLine="80"/>
              <w:jc w:val="both"/>
              <w:rPr>
                <w:rFonts w:ascii="Times New Roman" w:hAnsi="Times New Roman"/>
                <w:sz w:val="18"/>
              </w:rPr>
            </w:pPr>
            <w:r>
              <w:rPr>
                <w:rFonts w:ascii="Arial" w:hAnsi="Arial"/>
                <w:b/>
                <w:color w:val="002668"/>
                <w:sz w:val="18"/>
              </w:rPr>
              <w:t>Director since:</w:t>
            </w:r>
            <w:r>
              <w:rPr>
                <w:rFonts w:ascii="Times New Roman" w:hAnsi="Times New Roman"/>
                <w:color w:val="004B87"/>
                <w:sz w:val="18"/>
              </w:rPr>
              <w:t xml:space="preserve"> </w:t>
            </w:r>
            <w:r>
              <w:rPr>
                <w:rFonts w:ascii="Arial" w:hAnsi="Arial"/>
                <w:color w:val="000000"/>
                <w:sz w:val="18"/>
              </w:rPr>
              <w:t>2021</w:t>
            </w:r>
          </w:p>
          <w:p>
            <w:pPr>
              <w:pStyle w:val="TableContents"/>
              <w:bidi w:val="0"/>
              <w:spacing w:before="120" w:after="283"/>
              <w:ind w:left="0" w:right="0" w:firstLine="80"/>
              <w:jc w:val="both"/>
              <w:rPr>
                <w:rFonts w:ascii="Arial" w:hAnsi="Arial"/>
                <w:b/>
                <w:color w:val="002668"/>
                <w:sz w:val="18"/>
              </w:rPr>
            </w:pPr>
            <w:r>
              <w:rPr>
                <w:rFonts w:ascii="Arial" w:hAnsi="Arial"/>
                <w:b/>
                <w:color w:val="002668"/>
                <w:sz w:val="18"/>
              </w:rPr>
              <w:t>Independent</w:t>
            </w:r>
          </w:p>
          <w:p>
            <w:pPr>
              <w:pStyle w:val="TableContents"/>
              <w:bidi w:val="0"/>
              <w:spacing w:before="120" w:after="283"/>
              <w:ind w:left="0" w:right="0" w:firstLine="80"/>
              <w:jc w:val="both"/>
              <w:rPr>
                <w:rFonts w:ascii="Arial" w:hAnsi="Arial"/>
                <w:b/>
                <w:color w:val="002668"/>
                <w:sz w:val="18"/>
              </w:rPr>
            </w:pPr>
            <w:r>
              <w:rPr>
                <w:rFonts w:ascii="Arial" w:hAnsi="Arial"/>
                <w:b/>
                <w:color w:val="002668"/>
                <w:sz w:val="18"/>
              </w:rPr>
              <w:t>Board committees:</w:t>
            </w:r>
          </w:p>
          <w:p>
            <w:pPr>
              <w:pStyle w:val="TableContents"/>
              <w:bidi w:val="0"/>
              <w:ind w:left="0" w:right="0" w:firstLine="80"/>
              <w:jc w:val="both"/>
              <w:rPr>
                <w:rFonts w:ascii="Arial" w:hAnsi="Arial"/>
                <w:color w:val="000000"/>
                <w:sz w:val="18"/>
              </w:rPr>
            </w:pPr>
            <w:r>
              <w:rPr>
                <w:rFonts w:ascii="Arial" w:hAnsi="Arial"/>
                <w:color w:val="000000"/>
                <w:sz w:val="18"/>
              </w:rPr>
              <w:t> Audit</w:t>
            </w:r>
          </w:p>
          <w:p>
            <w:pPr>
              <w:pStyle w:val="TableContents"/>
              <w:bidi w:val="0"/>
              <w:ind w:left="0" w:right="0" w:firstLine="80"/>
              <w:jc w:val="both"/>
              <w:rPr>
                <w:rFonts w:ascii="Arial" w:hAnsi="Arial"/>
                <w:color w:val="000000"/>
                <w:sz w:val="18"/>
              </w:rPr>
            </w:pPr>
            <w:r>
              <w:rPr>
                <w:rFonts w:ascii="Arial" w:hAnsi="Arial"/>
                <w:color w:val="000000"/>
                <w:sz w:val="18"/>
              </w:rPr>
              <w:t> NCG</w:t>
            </w:r>
          </w:p>
          <w:p>
            <w:pPr>
              <w:pStyle w:val="TableContents"/>
              <w:bidi w:val="0"/>
              <w:spacing w:before="120" w:after="283"/>
              <w:ind w:left="0" w:right="0" w:firstLine="80"/>
              <w:jc w:val="left"/>
              <w:rPr>
                <w:rFonts w:ascii="Arial" w:hAnsi="Arial"/>
                <w:b/>
                <w:color w:val="002668"/>
                <w:sz w:val="18"/>
              </w:rPr>
            </w:pPr>
            <w:r>
              <w:rPr>
                <w:rFonts w:ascii="Arial" w:hAnsi="Arial"/>
                <w:b/>
                <w:color w:val="002668"/>
                <w:sz w:val="18"/>
              </w:rPr>
              <w:t>Other public company boards:</w:t>
            </w:r>
          </w:p>
          <w:p>
            <w:pPr>
              <w:pStyle w:val="TableContents"/>
              <w:bidi w:val="0"/>
              <w:ind w:left="0" w:right="0" w:firstLine="80"/>
              <w:jc w:val="both"/>
              <w:rPr>
                <w:rFonts w:ascii="Arial" w:hAnsi="Arial"/>
                <w:color w:val="000000"/>
                <w:sz w:val="18"/>
              </w:rPr>
            </w:pPr>
            <w:r>
              <w:rPr>
                <w:rFonts w:ascii="Arial" w:hAnsi="Arial"/>
                <w:color w:val="000000"/>
                <w:sz w:val="18"/>
              </w:rPr>
              <w:t> Patrick Industries</w:t>
            </w:r>
          </w:p>
          <w:p>
            <w:pPr>
              <w:pStyle w:val="TableContents"/>
              <w:bidi w:val="0"/>
              <w:spacing w:before="120" w:after="283"/>
              <w:ind w:left="0" w:right="0" w:firstLine="80"/>
              <w:jc w:val="both"/>
              <w:rPr>
                <w:rFonts w:ascii="Arial" w:hAnsi="Arial"/>
                <w:b/>
                <w:color w:val="002668"/>
                <w:sz w:val="18"/>
              </w:rPr>
            </w:pPr>
            <w:r>
              <w:rPr>
                <w:rFonts w:ascii="Arial" w:hAnsi="Arial"/>
                <w:b/>
                <w:color w:val="002668"/>
                <w:sz w:val="18"/>
              </w:rPr>
              <w:t>Other public company boards within five years:</w:t>
            </w:r>
          </w:p>
          <w:p>
            <w:pPr>
              <w:pStyle w:val="TableContents"/>
              <w:bidi w:val="0"/>
              <w:spacing w:before="0" w:after="283"/>
              <w:ind w:left="0" w:right="0" w:firstLine="80"/>
              <w:jc w:val="both"/>
              <w:rPr>
                <w:rFonts w:ascii="Arial" w:hAnsi="Arial"/>
                <w:color w:val="000000"/>
                <w:sz w:val="18"/>
              </w:rPr>
            </w:pPr>
            <w:r>
              <w:rPr>
                <w:rFonts w:ascii="Arial" w:hAnsi="Arial"/>
                <w:color w:val="000000"/>
                <w:sz w:val="18"/>
              </w:rPr>
              <w:t> None</w:t>
            </w:r>
          </w:p>
        </w:tc>
        <w:tc>
          <w:tcPr>
            <w:tcW w:w="8389" w:type="dxa"/>
            <w:tcBorders/>
            <w:shd w:fill="D9D9D9" w:val="clear"/>
            <w:tcMar>
              <w:top w:w="0" w:type="dxa"/>
              <w:left w:w="0" w:type="dxa"/>
              <w:bottom w:w="0" w:type="dxa"/>
              <w:right w:w="0" w:type="dxa"/>
            </w:tcMar>
            <w:vAlign w:val="center"/>
          </w:tcPr>
          <w:p>
            <w:pPr>
              <w:pStyle w:val="TableContents"/>
              <w:bidi w:val="0"/>
              <w:spacing w:before="80" w:after="283"/>
              <w:ind w:left="0" w:right="0" w:firstLine="80"/>
              <w:jc w:val="both"/>
              <w:rPr>
                <w:rFonts w:ascii="Arial" w:hAnsi="Arial"/>
                <w:b/>
                <w:color w:val="004B87"/>
                <w:sz w:val="18"/>
              </w:rPr>
            </w:pPr>
            <w:r>
              <w:rPr>
                <w:rFonts w:ascii="Arial" w:hAnsi="Arial"/>
                <w:b/>
                <w:color w:val="004B87"/>
                <w:sz w:val="18"/>
              </w:rPr>
              <w:t>Background:</w:t>
            </w:r>
          </w:p>
          <w:p>
            <w:pPr>
              <w:pStyle w:val="TableContents"/>
              <w:bidi w:val="0"/>
              <w:spacing w:before="0" w:after="283"/>
              <w:ind w:left="0" w:right="0" w:firstLine="80"/>
              <w:jc w:val="left"/>
              <w:rPr>
                <w:rFonts w:ascii="Arial" w:hAnsi="Arial"/>
                <w:color w:val="000000"/>
                <w:sz w:val="18"/>
              </w:rPr>
            </w:pPr>
            <w:r>
              <w:rPr>
                <w:rFonts w:ascii="Arial" w:hAnsi="Arial"/>
                <w:color w:val="000000"/>
                <w:sz w:val="18"/>
              </w:rPr>
              <w:t>Mr. Suggs has served as CEO of LCP Transportation LLC, a non-emergency medical transportation provider, since 2020 and CEO of Lancio, an agentic artificial intelligence company, since May 2026. From 2014 to 2020, he served as President and CEO of Strategic Materials, Inc., a provider of environmental services. Mr. Suggs previously served in executive capacities with Belden, Inc., Danaher Corporation, Public Storage Inc., and IBM Corporation.</w:t>
            </w:r>
          </w:p>
        </w:tc>
      </w:tr>
      <w:tr>
        <w:trPr/>
        <w:tc>
          <w:tcPr>
            <w:tcW w:w="1816" w:type="dxa"/>
            <w:vMerge w:val="continue"/>
            <w:tcBorders/>
            <w:tcMar>
              <w:top w:w="0" w:type="dxa"/>
              <w:left w:w="0" w:type="dxa"/>
              <w:bottom w:w="0" w:type="dxa"/>
              <w:right w:w="0" w:type="dxa"/>
            </w:tcMar>
            <w:vAlign w:val="center"/>
          </w:tcPr>
          <w:p>
            <w:pPr>
              <w:pStyle w:val="Normal"/>
              <w:bidi w:val="0"/>
              <w:jc w:val="left"/>
              <w:rPr/>
            </w:pPr>
            <w:r>
              <w:rPr/>
            </w:r>
          </w:p>
        </w:tc>
        <w:tc>
          <w:tcPr>
            <w:tcW w:w="8389" w:type="dxa"/>
            <w:tcBorders/>
            <w:tcMar>
              <w:top w:w="0" w:type="dxa"/>
              <w:left w:w="0" w:type="dxa"/>
              <w:bottom w:w="0" w:type="dxa"/>
              <w:right w:w="0" w:type="dxa"/>
            </w:tcMar>
            <w:vAlign w:val="center"/>
          </w:tcPr>
          <w:p>
            <w:pPr>
              <w:pStyle w:val="TableContents"/>
              <w:bidi w:val="0"/>
              <w:spacing w:before="80" w:after="283"/>
              <w:ind w:left="0" w:right="0" w:firstLine="80"/>
              <w:jc w:val="left"/>
              <w:rPr>
                <w:rFonts w:ascii="Arial" w:hAnsi="Arial"/>
                <w:b/>
                <w:color w:val="004B87"/>
                <w:sz w:val="18"/>
              </w:rPr>
            </w:pPr>
            <w:r>
              <w:rPr>
                <w:rFonts w:ascii="Arial" w:hAnsi="Arial"/>
                <w:b/>
                <w:color w:val="004B87"/>
                <w:sz w:val="18"/>
              </w:rPr>
              <w:t>Key Qualifications and Skills Include:</w:t>
            </w:r>
          </w:p>
          <w:p>
            <w:pPr>
              <w:pStyle w:val="TableContents"/>
              <w:bidi w:val="0"/>
              <w:spacing w:before="20" w:after="283"/>
              <w:ind w:left="0" w:right="0" w:firstLine="80"/>
              <w:jc w:val="both"/>
              <w:rPr/>
            </w:pPr>
            <w:r>
              <w:rPr>
                <w:color w:val="000000"/>
              </w:rPr>
              <w:t>   </w:t>
            </w:r>
            <w:r>
              <w:rPr>
                <w:rFonts w:ascii="Arial" w:hAnsi="Arial"/>
                <w:b/>
                <w:color w:val="000000"/>
                <w:sz w:val="18"/>
              </w:rPr>
              <w:t>Manufacturing</w:t>
            </w:r>
            <w:r>
              <w:rPr>
                <w:rFonts w:ascii="Arial" w:hAnsi="Arial"/>
                <w:color w:val="000000"/>
                <w:sz w:val="18"/>
              </w:rPr>
              <w:t>. Extensive operations experience gained through service as</w:t>
            </w:r>
            <w:r>
              <w:rPr>
                <w:rFonts w:ascii="Times New Roman" w:hAnsi="Times New Roman"/>
                <w:color w:val="000000"/>
                <w:sz w:val="18"/>
              </w:rPr>
              <w:t xml:space="preserve"> </w:t>
            </w:r>
          </w:p>
          <w:p>
            <w:pPr>
              <w:pStyle w:val="TableContents"/>
              <w:bidi w:val="0"/>
              <w:ind w:left="0" w:right="0" w:firstLine="80"/>
              <w:jc w:val="left"/>
              <w:rPr>
                <w:rFonts w:ascii="Times New Roman" w:hAnsi="Times New Roman"/>
                <w:sz w:val="18"/>
              </w:rPr>
            </w:pPr>
            <w:r>
              <w:rPr>
                <w:rFonts w:ascii="Arial" w:hAnsi="Arial"/>
                <w:color w:val="000000"/>
                <w:sz w:val="18"/>
              </w:rPr>
              <w:t>executive of Belden and Danaher</w:t>
            </w:r>
            <w:r>
              <w:rPr>
                <w:rFonts w:ascii="Times New Roman" w:hAnsi="Times New Roman"/>
                <w:color w:val="000000"/>
                <w:sz w:val="18"/>
              </w:rPr>
              <w:t xml:space="preserve"> </w:t>
            </w:r>
          </w:p>
          <w:p>
            <w:pPr>
              <w:pStyle w:val="TableContents"/>
              <w:bidi w:val="0"/>
              <w:spacing w:before="20" w:after="283"/>
              <w:ind w:left="0" w:right="0" w:firstLine="80"/>
              <w:jc w:val="both"/>
              <w:rPr>
                <w:rFonts w:ascii="Times New Roman" w:hAnsi="Times New Roman"/>
                <w:sz w:val="18"/>
              </w:rPr>
            </w:pPr>
            <w:r>
              <w:rPr>
                <w:rFonts w:ascii="Arial" w:hAnsi="Arial"/>
                <w:b/>
                <w:color w:val="000000"/>
                <w:sz w:val="18"/>
              </w:rPr>
              <w:t>Regulated Industry/Government</w:t>
            </w:r>
            <w:r>
              <w:rPr>
                <w:rFonts w:ascii="Arial" w:hAnsi="Arial"/>
                <w:color w:val="000000"/>
                <w:sz w:val="18"/>
              </w:rPr>
              <w:t>. Experience as CEO of LCP Transportation,</w:t>
            </w:r>
          </w:p>
          <w:p>
            <w:pPr>
              <w:pStyle w:val="TableContents"/>
              <w:bidi w:val="0"/>
              <w:ind w:left="0" w:right="0" w:firstLine="80"/>
              <w:jc w:val="both"/>
              <w:rPr>
                <w:rFonts w:ascii="Times New Roman" w:hAnsi="Times New Roman"/>
                <w:sz w:val="18"/>
              </w:rPr>
            </w:pPr>
            <w:r>
              <w:rPr>
                <w:rFonts w:ascii="Arial" w:hAnsi="Arial"/>
                <w:color w:val="000000"/>
                <w:sz w:val="18"/>
              </w:rPr>
              <w:t>which operates in a heavily regulated industry, as well as leading organizations</w:t>
            </w:r>
            <w:r>
              <w:rPr>
                <w:rFonts w:ascii="Times New Roman" w:hAnsi="Times New Roman"/>
                <w:color w:val="000000"/>
                <w:sz w:val="18"/>
              </w:rPr>
              <w:t xml:space="preserve"> </w:t>
            </w:r>
          </w:p>
          <w:p>
            <w:pPr>
              <w:pStyle w:val="TableContents"/>
              <w:bidi w:val="0"/>
              <w:ind w:left="0" w:right="0" w:firstLine="80"/>
              <w:jc w:val="both"/>
              <w:rPr>
                <w:color w:val="000000"/>
              </w:rPr>
            </w:pPr>
            <w:r>
              <w:rPr>
                <w:color w:val="000000"/>
              </w:rPr>
              <w:t>   </w:t>
            </w:r>
            <w:r>
              <w:rPr>
                <w:rFonts w:ascii="Arial" w:hAnsi="Arial"/>
                <w:color w:val="000000"/>
                <w:sz w:val="18"/>
              </w:rPr>
              <w:t>that serve highly regulated sectors, such as aerospace and defense</w:t>
            </w:r>
          </w:p>
          <w:p>
            <w:pPr>
              <w:pStyle w:val="TableContents"/>
              <w:bidi w:val="0"/>
              <w:spacing w:before="20" w:after="283"/>
              <w:ind w:left="0" w:right="0" w:firstLine="80"/>
              <w:jc w:val="both"/>
              <w:rPr/>
            </w:pPr>
            <w:r>
              <w:rPr>
                <w:color w:val="000000"/>
              </w:rPr>
              <w:t>   </w:t>
            </w:r>
            <w:r>
              <w:rPr>
                <w:rFonts w:ascii="Arial" w:hAnsi="Arial"/>
                <w:b/>
                <w:color w:val="000000"/>
                <w:sz w:val="18"/>
              </w:rPr>
              <w:t>Risk Management</w:t>
            </w:r>
            <w:r>
              <w:rPr>
                <w:rFonts w:ascii="Arial" w:hAnsi="Arial"/>
                <w:color w:val="000000"/>
                <w:sz w:val="18"/>
              </w:rPr>
              <w:t>. Experience as CEO of Lancio, an agentic artificial</w:t>
            </w:r>
            <w:r>
              <w:rPr>
                <w:rFonts w:ascii="Times New Roman" w:hAnsi="Times New Roman"/>
                <w:color w:val="000000"/>
                <w:sz w:val="18"/>
              </w:rPr>
              <w:t xml:space="preserve"> </w:t>
            </w:r>
          </w:p>
          <w:p>
            <w:pPr>
              <w:pStyle w:val="TableContents"/>
              <w:bidi w:val="0"/>
              <w:spacing w:before="20" w:after="283"/>
              <w:ind w:left="0" w:right="0" w:firstLine="80"/>
              <w:jc w:val="both"/>
              <w:rPr/>
            </w:pPr>
            <w:r>
              <w:rPr>
                <w:color w:val="000000"/>
              </w:rPr>
              <w:t>   </w:t>
            </w:r>
            <w:r>
              <w:rPr>
                <w:rFonts w:ascii="Arial" w:hAnsi="Arial"/>
                <w:color w:val="000000"/>
                <w:sz w:val="18"/>
              </w:rPr>
              <w:t>technology company.</w:t>
            </w:r>
            <w:r>
              <w:rPr>
                <w:rFonts w:ascii="Times New Roman" w:hAnsi="Times New Roman"/>
                <w:color w:val="000000"/>
                <w:sz w:val="18"/>
              </w:rPr>
              <w:t xml:space="preserve"> </w:t>
            </w:r>
          </w:p>
        </w:tc>
      </w:tr>
    </w:tbl>
    <w:p>
      <w:pPr>
        <w:pStyle w:val="TextBody"/>
        <w:bidi w:val="0"/>
        <w:spacing w:before="120" w:after="283"/>
        <w:jc w:val="both"/>
        <w:rPr>
          <w:rFonts w:ascii="Arial" w:hAnsi="Arial"/>
          <w:b/>
          <w:color w:val="002668"/>
          <w:sz w:val="28"/>
        </w:rPr>
      </w:pPr>
      <w:r>
        <w:rPr>
          <w:rFonts w:ascii="Arial" w:hAnsi="Arial"/>
          <w:b/>
          <w:color w:val="002668"/>
          <w:sz w:val="28"/>
        </w:rPr>
        <w:t>BOARD AND COMMITTEE GOVERNANCE</w:t>
      </w:r>
    </w:p>
    <w:p>
      <w:pPr>
        <w:pStyle w:val="TextBody"/>
        <w:bidi w:val="0"/>
        <w:spacing w:before="120" w:after="283"/>
        <w:jc w:val="both"/>
        <w:rPr>
          <w:rFonts w:ascii="Arial" w:hAnsi="Arial"/>
          <w:color w:val="002668"/>
          <w:sz w:val="24"/>
          <w:u w:val="single"/>
        </w:rPr>
      </w:pPr>
      <w:r>
        <w:rPr>
          <w:rFonts w:ascii="Arial" w:hAnsi="Arial"/>
          <w:color w:val="002668"/>
          <w:sz w:val="24"/>
          <w:u w:val="single"/>
        </w:rPr>
        <w:t>Risk Oversight</w:t>
      </w:r>
    </w:p>
    <w:p>
      <w:pPr>
        <w:pStyle w:val="TextBody"/>
        <w:bidi w:val="0"/>
        <w:jc w:val="both"/>
        <w:rPr>
          <w:rFonts w:ascii="Arial" w:hAnsi="Arial"/>
          <w:color w:val="000000"/>
          <w:sz w:val="20"/>
        </w:rPr>
      </w:pPr>
      <w:r>
        <w:rPr>
          <w:rFonts w:ascii="Arial" w:hAnsi="Arial"/>
          <w:color w:val="000000"/>
          <w:sz w:val="20"/>
        </w:rPr>
        <w:t>The Board recognizes that risk is inherent in every business. As is the case in virtually all businesses, the Board recognizes that we face a variety of risks, including operational, economic, financial, cybersecurity, legal, regulatory, and competitive risks. While our management is responsible for the day-to-day management of these risks, the Board, as a whole and through its committees, is responsible for the oversight of risk management.</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The Board’s involvement in our business strategy and strategic plans plays a key role in its oversight of risk management, its assessment of management’s risk appetite, and its determination of the appropriate level of enterprise risk. The Board receives updates at least quarterly from senior management and periodically from outside advisors regarding the various risks we face, including operational, economic, financial, cybersecurity, legal, regulatory, and competitive risks. The Board also reviews the various risks we identify in our SEC filings, as well as risks relating to various specific developments, such as new product introductions. In addition, the Board regularly receives reports from senior members of our Internal Audit function and our General Counsel and Chief Compliance Officer.</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6128"/>
        <w:gridCol w:w="226"/>
        <w:gridCol w:w="3851"/>
      </w:tblGrid>
      <w:tr>
        <w:trPr/>
        <w:tc>
          <w:tcPr>
            <w:tcW w:w="612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851" w:type="dxa"/>
            <w:tcBorders/>
            <w:vAlign w:val="center"/>
          </w:tcPr>
          <w:p>
            <w:pPr>
              <w:pStyle w:val="TableContents"/>
              <w:bidi w:val="0"/>
              <w:spacing w:before="0" w:after="283"/>
              <w:jc w:val="left"/>
              <w:rPr>
                <w:sz w:val="4"/>
                <w:szCs w:val="4"/>
              </w:rPr>
            </w:pPr>
            <w:r>
              <w:rPr>
                <w:sz w:val="4"/>
                <w:szCs w:val="4"/>
              </w:rPr>
            </w:r>
          </w:p>
        </w:tc>
      </w:tr>
      <w:tr>
        <w:trPr/>
        <w:tc>
          <w:tcPr>
            <w:tcW w:w="6128"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See Part I, “Item 1A. Risk Factors,” in our annual report on Form 10-K for fiscal 2026 (the “Form 10-K”) to learn more about the risks we face. The risks described in the Form 10-K are not the only risks we face. Additional risks and uncertainties not currently known or that may currently be deemed to be immaterial based on the information known to us also may materially and adversely affect our business, operating results, and financial condition.</w:t>
            </w:r>
          </w:p>
        </w:tc>
        <w:tc>
          <w:tcPr>
            <w:tcW w:w="226" w:type="dxa"/>
            <w:tcBorders>
              <w:right w:val="single" w:sz="4" w:space="0" w:color="002668"/>
            </w:tcBorders>
            <w:tcMar>
              <w:top w:w="0" w:type="dxa"/>
              <w:left w:w="0" w:type="dxa"/>
              <w:bottom w:w="0" w:type="dxa"/>
            </w:tcMar>
            <w:vAlign w:val="center"/>
          </w:tcPr>
          <w:p>
            <w:pPr>
              <w:pStyle w:val="TableContents"/>
              <w:bidi w:val="0"/>
              <w:spacing w:before="0" w:after="120"/>
              <w:ind w:left="0" w:right="0" w:firstLine="80"/>
              <w:jc w:val="both"/>
              <w:rPr/>
            </w:pPr>
            <w:r>
              <w:rPr/>
              <w:t> </w:t>
            </w:r>
          </w:p>
        </w:tc>
        <w:tc>
          <w:tcPr>
            <w:tcW w:w="3851" w:type="dxa"/>
            <w:tcBorders>
              <w:top w:val="single" w:sz="4" w:space="0" w:color="002668"/>
              <w:bottom w:val="single" w:sz="4" w:space="0" w:color="000000"/>
              <w:right w:val="single" w:sz="4" w:space="0" w:color="002668"/>
            </w:tcBorders>
            <w:shd w:fill="DCDDDE" w:val="clear"/>
            <w:tcMar>
              <w:left w:w="0" w:type="dxa"/>
              <w:bottom w:w="115" w:type="dxa"/>
            </w:tcMar>
            <w:vAlign w:val="center"/>
          </w:tcPr>
          <w:p>
            <w:pPr>
              <w:pStyle w:val="TableContents"/>
              <w:bidi w:val="0"/>
              <w:spacing w:before="80" w:after="80"/>
              <w:ind w:left="0" w:right="0" w:firstLine="80"/>
              <w:jc w:val="center"/>
              <w:rPr>
                <w:rFonts w:ascii="Arial" w:hAnsi="Arial"/>
                <w:b/>
                <w:color w:val="1F497D"/>
                <w:sz w:val="20"/>
                <w:u w:val="single"/>
              </w:rPr>
            </w:pPr>
            <w:r>
              <w:rPr>
                <w:rFonts w:ascii="Arial" w:hAnsi="Arial"/>
                <w:b/>
                <w:color w:val="1F497D"/>
                <w:sz w:val="20"/>
                <w:u w:val="single"/>
              </w:rPr>
              <w:t>Governance Spotlight</w:t>
            </w:r>
          </w:p>
          <w:p>
            <w:pPr>
              <w:pStyle w:val="TableContents"/>
              <w:bidi w:val="0"/>
              <w:spacing w:before="0" w:after="283"/>
              <w:ind w:left="0" w:right="0" w:firstLine="80"/>
              <w:jc w:val="center"/>
              <w:rPr>
                <w:rFonts w:ascii="Arial" w:hAnsi="Arial"/>
                <w:color w:val="000000"/>
                <w:sz w:val="18"/>
              </w:rPr>
            </w:pPr>
            <w:r>
              <w:rPr>
                <w:rFonts w:ascii="Arial" w:hAnsi="Arial"/>
                <w:color w:val="000000"/>
                <w:sz w:val="18"/>
              </w:rPr>
              <w:t>Our Audit Committee Chair communicates directly with our Chief Compliance Officer at least quarterly (in between meetings of the Audit Committee) in order to enhance the Board’s oversight of risk and the independence of our compliance function.</w:t>
            </w:r>
          </w:p>
        </w:tc>
      </w:tr>
      <w:tr>
        <w:trPr/>
        <w:tc>
          <w:tcPr>
            <w:tcW w:w="10205" w:type="dxa"/>
            <w:gridSpan w:val="3"/>
            <w:tcBorders/>
            <w:tcMar>
              <w:top w:w="0" w:type="dxa"/>
              <w:left w:w="0" w:type="dxa"/>
              <w:bottom w:w="0" w:type="dxa"/>
              <w:right w:w="0" w:type="dxa"/>
            </w:tcMar>
            <w:vAlign w:val="center"/>
          </w:tcPr>
          <w:p>
            <w:pPr>
              <w:pStyle w:val="TableContents"/>
              <w:bidi w:val="0"/>
              <w:spacing w:before="240" w:after="283"/>
              <w:jc w:val="both"/>
              <w:rPr>
                <w:rFonts w:ascii="Arial" w:hAnsi="Arial"/>
                <w:color w:val="000000"/>
                <w:sz w:val="20"/>
              </w:rPr>
            </w:pPr>
            <w:r>
              <w:rPr>
                <w:rFonts w:ascii="Arial" w:hAnsi="Arial"/>
                <w:color w:val="000000"/>
                <w:sz w:val="20"/>
              </w:rPr>
              <w:t>Given the nature of our business, the Board remains focused on overseeing risk management. During fiscal 2026, the Board discussed the campaign against the firearm industry at each of its regular quarterly meetings.</w:t>
            </w:r>
          </w:p>
        </w:tc>
      </w:tr>
    </w:tbl>
    <w:p>
      <w:pPr>
        <w:pStyle w:val="TextBody"/>
        <w:bidi w:val="0"/>
        <w:jc w:val="left"/>
        <w:rPr/>
      </w:pPr>
      <w:r>
        <w:rPr/>
        <w:t> </w:t>
      </w:r>
    </w:p>
    <w:p>
      <w:pPr>
        <w:pStyle w:val="TextBody"/>
        <w:bidi w:val="0"/>
        <w:jc w:val="left"/>
        <w:rPr/>
      </w:pPr>
      <w:r>
        <w:rPr/>
        <w:t> </w:t>
      </w:r>
    </w:p>
    <w:tbl>
      <w:tblPr>
        <w:tblW w:w="3597" w:type="dxa"/>
        <w:jc w:val="left"/>
        <w:tblInd w:w="0" w:type="dxa"/>
        <w:tblLayout w:type="fixed"/>
        <w:tblCellMar>
          <w:top w:w="28" w:type="dxa"/>
          <w:left w:w="28" w:type="dxa"/>
          <w:bottom w:w="28" w:type="dxa"/>
          <w:right w:w="28" w:type="dxa"/>
        </w:tblCellMar>
      </w:tblPr>
      <w:tblGrid>
        <w:gridCol w:w="2161"/>
        <w:gridCol w:w="1436"/>
      </w:tblGrid>
      <w:tr>
        <w:trPr/>
        <w:tc>
          <w:tcPr>
            <w:tcW w:w="2161"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1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91F2C"/>
                <w:sz w:val="18"/>
              </w:rPr>
              <w:t>9</w:t>
            </w:r>
            <w:r>
              <w:rPr>
                <w:rFonts w:ascii="Times New Roman" w:hAnsi="Times New Roman"/>
                <w:color w:val="091F2C"/>
                <w:sz w:val="18"/>
              </w:rPr>
              <w:t> </w:t>
            </w:r>
            <w:r>
              <w:rPr>
                <w:rFonts w:ascii="Arial" w:hAnsi="Arial"/>
                <w:color w:val="091F2C"/>
                <w:sz w:val="18"/>
              </w:rPr>
              <w:t>I 2026 Proxy Statement</w:t>
            </w:r>
          </w:p>
        </w:tc>
        <w:tc>
          <w:tcPr>
            <w:tcW w:w="143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828675" cy="1905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828675" cy="190500"/>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3027" w:type="dxa"/>
        <w:jc w:val="left"/>
        <w:tblInd w:w="0" w:type="dxa"/>
        <w:tblLayout w:type="fixed"/>
        <w:tblCellMar>
          <w:top w:w="28" w:type="dxa"/>
          <w:left w:w="28" w:type="dxa"/>
          <w:bottom w:w="28" w:type="dxa"/>
          <w:right w:w="28" w:type="dxa"/>
        </w:tblCellMar>
      </w:tblPr>
      <w:tblGrid>
        <w:gridCol w:w="2836"/>
        <w:gridCol w:w="191"/>
      </w:tblGrid>
      <w:tr>
        <w:trPr/>
        <w:tc>
          <w:tcPr>
            <w:tcW w:w="28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36" w:type="dxa"/>
            <w:tcBorders/>
            <w:tcMar>
              <w:top w:w="0" w:type="dxa"/>
              <w:left w:w="0" w:type="dxa"/>
              <w:bottom w:w="0" w:type="dxa"/>
              <w:right w:w="0" w:type="dxa"/>
            </w:tcMar>
            <w:vAlign w:val="center"/>
          </w:tcPr>
          <w:p>
            <w:pPr>
              <w:pStyle w:val="TableContents"/>
              <w:bidi w:val="0"/>
              <w:spacing w:before="0" w:after="283"/>
              <w:jc w:val="left"/>
              <w:rPr>
                <w:rFonts w:ascii="Arial" w:hAnsi="Arial"/>
                <w:color w:val="002668"/>
                <w:sz w:val="20"/>
              </w:rPr>
            </w:pPr>
            <w:r>
              <w:rPr>
                <w:rFonts w:ascii="Arial" w:hAnsi="Arial"/>
                <w:color w:val="002668"/>
                <w:sz w:val="20"/>
              </w:rPr>
              <w:t>Board and Governance Matters</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836" w:type="dxa"/>
            <w:tcBorders>
              <w:bottom w:val="single" w:sz="8" w:space="0" w:color="002668"/>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20"/>
        <w:jc w:val="both"/>
        <w:rPr>
          <w:rFonts w:ascii="Arial" w:hAnsi="Arial"/>
          <w:color w:val="000000"/>
          <w:sz w:val="20"/>
        </w:rPr>
      </w:pPr>
      <w:r>
        <w:rPr>
          <w:rFonts w:ascii="Arial" w:hAnsi="Arial"/>
          <w:color w:val="000000"/>
          <w:sz w:val="20"/>
        </w:rPr>
        <w:t>Set forth below are the key responsibilities of the committees in assisting the Board in fulfilling its risk oversight role.</w:t>
      </w:r>
    </w:p>
    <w:tbl>
      <w:tblPr>
        <w:tblW w:w="10205" w:type="dxa"/>
        <w:jc w:val="left"/>
        <w:tblInd w:w="0" w:type="dxa"/>
        <w:tblLayout w:type="fixed"/>
        <w:tblCellMar>
          <w:top w:w="28" w:type="dxa"/>
          <w:left w:w="28" w:type="dxa"/>
          <w:bottom w:w="28" w:type="dxa"/>
          <w:right w:w="28" w:type="dxa"/>
        </w:tblCellMar>
      </w:tblPr>
      <w:tblGrid>
        <w:gridCol w:w="161"/>
        <w:gridCol w:w="446"/>
        <w:gridCol w:w="4222"/>
        <w:gridCol w:w="504"/>
        <w:gridCol w:w="4534"/>
        <w:gridCol w:w="146"/>
        <w:gridCol w:w="192"/>
      </w:tblGrid>
      <w:tr>
        <w:trPr/>
        <w:tc>
          <w:tcPr>
            <w:tcW w:w="16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222"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45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tcMar>
              <w:top w:w="0" w:type="dxa"/>
              <w:left w:w="0" w:type="dxa"/>
              <w:bottom w:w="0" w:type="dxa"/>
              <w:right w:w="0" w:type="dxa"/>
            </w:tcMar>
            <w:vAlign w:val="center"/>
          </w:tcPr>
          <w:p>
            <w:pPr>
              <w:pStyle w:val="TableContents"/>
              <w:bidi w:val="0"/>
              <w:spacing w:before="0" w:after="283"/>
              <w:jc w:val="both"/>
              <w:rPr/>
            </w:pPr>
            <w:r>
              <w:rPr/>
              <w:t> </w:t>
            </w:r>
          </w:p>
        </w:tc>
        <w:tc>
          <w:tcPr>
            <w:tcW w:w="4222" w:type="dxa"/>
            <w:tcBorders/>
            <w:tcMar>
              <w:top w:w="0" w:type="dxa"/>
              <w:left w:w="0" w:type="dxa"/>
              <w:bottom w:w="0" w:type="dxa"/>
              <w:right w:w="0" w:type="dxa"/>
            </w:tcMar>
            <w:vAlign w:val="center"/>
          </w:tcPr>
          <w:p>
            <w:pPr>
              <w:pStyle w:val="TableContents"/>
              <w:bidi w:val="0"/>
              <w:spacing w:before="0" w:after="283"/>
              <w:jc w:val="both"/>
              <w:rPr/>
            </w:pPr>
            <w:r>
              <w:rPr/>
              <w:t> </w:t>
            </w:r>
          </w:p>
        </w:tc>
        <w:tc>
          <w:tcPr>
            <w:tcW w:w="504" w:type="dxa"/>
            <w:tcBorders/>
            <w:tcMar>
              <w:top w:w="0" w:type="dxa"/>
              <w:left w:w="0" w:type="dxa"/>
              <w:bottom w:w="0" w:type="dxa"/>
              <w:right w:w="0" w:type="dxa"/>
            </w:tcMar>
            <w:vAlign w:val="center"/>
          </w:tcPr>
          <w:p>
            <w:pPr>
              <w:pStyle w:val="TableContents"/>
              <w:bidi w:val="0"/>
              <w:spacing w:before="0" w:after="283"/>
              <w:jc w:val="both"/>
              <w:rPr/>
            </w:pPr>
            <w:r>
              <w:rPr/>
              <w:t> </w:t>
            </w:r>
          </w:p>
        </w:tc>
        <w:tc>
          <w:tcPr>
            <w:tcW w:w="4534"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92"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61" w:type="dxa"/>
            <w:tcBorders/>
            <w:shd w:fill="DCDDDE" w:val="clear"/>
            <w:tcMar>
              <w:top w:w="0" w:type="dxa"/>
              <w:left w:w="0" w:type="dxa"/>
              <w:bottom w:w="0" w:type="dxa"/>
              <w:right w:w="0" w:type="dxa"/>
            </w:tcMar>
            <w:vAlign w:val="center"/>
          </w:tcPr>
          <w:p>
            <w:pPr>
              <w:pStyle w:val="TableContents"/>
              <w:bidi w:val="0"/>
              <w:spacing w:before="0" w:after="283"/>
              <w:jc w:val="both"/>
              <w:rPr/>
            </w:pPr>
            <w:r>
              <w:rPr/>
              <w:t> </w:t>
            </w:r>
          </w:p>
        </w:tc>
        <w:tc>
          <w:tcPr>
            <w:tcW w:w="446" w:type="dxa"/>
            <w:tcBorders/>
            <w:shd w:fill="DCDD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2" w:type="dxa"/>
            <w:tcBorders/>
            <w:shd w:fill="DCDDDE" w:val="clear"/>
            <w:tcMar>
              <w:top w:w="0" w:type="dxa"/>
              <w:left w:w="0" w:type="dxa"/>
              <w:bottom w:w="0" w:type="dxa"/>
              <w:right w:w="0" w:type="dxa"/>
            </w:tcMar>
            <w:vAlign w:val="center"/>
          </w:tcPr>
          <w:p>
            <w:pPr>
              <w:pStyle w:val="TableContents"/>
              <w:bidi w:val="0"/>
              <w:spacing w:before="120" w:after="283"/>
              <w:jc w:val="both"/>
              <w:rPr>
                <w:rFonts w:ascii="Arial" w:hAnsi="Arial"/>
                <w:b/>
                <w:color w:val="002668"/>
                <w:sz w:val="20"/>
              </w:rPr>
            </w:pPr>
            <w:r>
              <w:rPr>
                <w:rFonts w:ascii="Arial" w:hAnsi="Arial"/>
                <w:b/>
                <w:color w:val="002668"/>
                <w:sz w:val="20"/>
              </w:rPr>
              <w:t>AUDIT COMMITTEE</w:t>
            </w:r>
          </w:p>
        </w:tc>
        <w:tc>
          <w:tcPr>
            <w:tcW w:w="504" w:type="dxa"/>
            <w:tcBorders/>
            <w:shd w:fill="DCDD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4" w:type="dxa"/>
            <w:tcBorders/>
            <w:shd w:fill="DCDDDE" w:val="clear"/>
            <w:tcMar>
              <w:top w:w="0" w:type="dxa"/>
              <w:left w:w="0" w:type="dxa"/>
              <w:bottom w:w="0" w:type="dxa"/>
              <w:right w:w="0" w:type="dxa"/>
            </w:tcMar>
            <w:vAlign w:val="center"/>
          </w:tcPr>
          <w:p>
            <w:pPr>
              <w:pStyle w:val="TableContents"/>
              <w:bidi w:val="0"/>
              <w:spacing w:before="120" w:after="283"/>
              <w:jc w:val="both"/>
              <w:rPr>
                <w:rFonts w:ascii="Arial" w:hAnsi="Arial"/>
                <w:b/>
                <w:color w:val="002668"/>
                <w:sz w:val="20"/>
              </w:rPr>
            </w:pPr>
            <w:r>
              <w:rPr>
                <w:rFonts w:ascii="Arial" w:hAnsi="Arial"/>
                <w:b/>
                <w:color w:val="002668"/>
                <w:sz w:val="20"/>
              </w:rPr>
              <w:t>COMPENSATION COMMITTEE</w:t>
            </w:r>
          </w:p>
        </w:tc>
        <w:tc>
          <w:tcPr>
            <w:tcW w:w="146" w:type="dxa"/>
            <w:tcBorders/>
            <w:shd w:fill="DCDD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shd w:fill="DCDDDE"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161" w:type="dxa"/>
            <w:tcBorders/>
            <w:shd w:fill="DCDDDE" w:val="clear"/>
            <w:tcMar>
              <w:top w:w="0" w:type="dxa"/>
              <w:left w:w="0" w:type="dxa"/>
              <w:bottom w:w="0" w:type="dxa"/>
              <w:right w:w="0" w:type="dxa"/>
            </w:tcMar>
            <w:vAlign w:val="center"/>
          </w:tcPr>
          <w:p>
            <w:pPr>
              <w:pStyle w:val="TableContents"/>
              <w:bidi w:val="0"/>
              <w:spacing w:before="0" w:after="283"/>
              <w:jc w:val="both"/>
              <w:rPr/>
            </w:pPr>
            <w:r>
              <w:rPr/>
              <w:t> </w:t>
            </w:r>
          </w:p>
        </w:tc>
        <w:tc>
          <w:tcPr>
            <w:tcW w:w="446" w:type="dxa"/>
            <w:tcBorders/>
            <w:shd w:fill="DCDDDE"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4222" w:type="dxa"/>
            <w:tcBorders/>
            <w:shd w:fill="DCDDDE" w:val="clear"/>
            <w:tcMar>
              <w:top w:w="0" w:type="dxa"/>
              <w:left w:w="0" w:type="dxa"/>
              <w:bottom w:w="0" w:type="dxa"/>
              <w:right w:w="0" w:type="dxa"/>
            </w:tcMar>
            <w:vAlign w:val="center"/>
          </w:tcPr>
          <w:p>
            <w:pPr>
              <w:pStyle w:val="TableContents"/>
              <w:bidi w:val="0"/>
              <w:ind w:left="0" w:right="0" w:firstLine="360"/>
              <w:jc w:val="both"/>
              <w:rPr/>
            </w:pPr>
            <w:r>
              <w:rPr/>
              <w:t> </w:t>
            </w:r>
          </w:p>
          <w:p>
            <w:pPr>
              <w:pStyle w:val="TableContents"/>
              <w:bidi w:val="0"/>
              <w:ind w:left="0" w:right="0" w:firstLine="360"/>
              <w:jc w:val="both"/>
              <w:rPr>
                <w:rFonts w:ascii="Times New Roman" w:hAnsi="Times New Roman"/>
                <w:sz w:val="18"/>
              </w:rPr>
            </w:pPr>
            <w:r>
              <w:rPr>
                <w:rFonts w:ascii="Arial" w:hAnsi="Arial"/>
                <w:color w:val="1F497D"/>
                <w:sz w:val="18"/>
              </w:rPr>
              <w:t xml:space="preserve"> </w:t>
            </w:r>
            <w:r>
              <w:rPr>
                <w:rFonts w:ascii="Arial" w:hAnsi="Arial"/>
                <w:color w:val="000000"/>
                <w:sz w:val="18"/>
              </w:rPr>
              <w:t>Oversees our financial and reporting processes and the audit of our financial statements</w:t>
            </w:r>
          </w:p>
          <w:p>
            <w:pPr>
              <w:pStyle w:val="TableContents"/>
              <w:bidi w:val="0"/>
              <w:ind w:left="0" w:right="0" w:firstLine="360"/>
              <w:jc w:val="both"/>
              <w:rPr/>
            </w:pPr>
            <w:r>
              <w:rPr/>
              <w:t> </w:t>
            </w:r>
          </w:p>
          <w:p>
            <w:pPr>
              <w:pStyle w:val="TableContents"/>
              <w:bidi w:val="0"/>
              <w:ind w:left="0" w:right="0" w:firstLine="360"/>
              <w:jc w:val="both"/>
              <w:rPr>
                <w:rFonts w:ascii="Times New Roman" w:hAnsi="Times New Roman"/>
                <w:sz w:val="18"/>
              </w:rPr>
            </w:pPr>
            <w:r>
              <w:rPr>
                <w:rFonts w:ascii="Arial" w:hAnsi="Arial"/>
                <w:color w:val="1F497D"/>
                <w:sz w:val="18"/>
              </w:rPr>
              <w:t xml:space="preserve"> </w:t>
            </w:r>
            <w:r>
              <w:rPr>
                <w:rFonts w:ascii="Arial" w:hAnsi="Arial"/>
                <w:color w:val="000000"/>
                <w:sz w:val="18"/>
              </w:rPr>
              <w:t>Assists the Board with respect to:</w:t>
            </w:r>
          </w:p>
          <w:p>
            <w:pPr>
              <w:pStyle w:val="TableContents"/>
              <w:bidi w:val="0"/>
              <w:ind w:left="0" w:right="0" w:firstLine="360"/>
              <w:jc w:val="left"/>
              <w:rPr>
                <w:rFonts w:ascii="Times New Roman" w:hAnsi="Times New Roman"/>
                <w:sz w:val="18"/>
              </w:rPr>
            </w:pPr>
            <w:r>
              <w:rPr>
                <w:rFonts w:ascii="Arial" w:hAnsi="Arial"/>
                <w:color w:val="1F497D"/>
                <w:sz w:val="18"/>
              </w:rPr>
              <w:t xml:space="preserve">- </w:t>
            </w:r>
            <w:r>
              <w:rPr>
                <w:rFonts w:ascii="Arial" w:hAnsi="Arial"/>
                <w:color w:val="000000"/>
                <w:sz w:val="18"/>
              </w:rPr>
              <w:t>the oversight and integrity of our financial statements</w:t>
            </w:r>
          </w:p>
          <w:p>
            <w:pPr>
              <w:pStyle w:val="TableContents"/>
              <w:bidi w:val="0"/>
              <w:ind w:left="0" w:right="0" w:firstLine="360"/>
              <w:jc w:val="left"/>
              <w:rPr>
                <w:rFonts w:ascii="Times New Roman" w:hAnsi="Times New Roman"/>
                <w:sz w:val="18"/>
              </w:rPr>
            </w:pPr>
            <w:r>
              <w:rPr>
                <w:rFonts w:ascii="Arial" w:hAnsi="Arial"/>
                <w:color w:val="1F497D"/>
                <w:sz w:val="18"/>
              </w:rPr>
              <w:t xml:space="preserve">- </w:t>
            </w:r>
            <w:r>
              <w:rPr>
                <w:rFonts w:ascii="Arial" w:hAnsi="Arial"/>
                <w:color w:val="000000"/>
                <w:sz w:val="18"/>
              </w:rPr>
              <w:t>our compliance with legal and regulatory matters</w:t>
            </w:r>
          </w:p>
          <w:p>
            <w:pPr>
              <w:pStyle w:val="TableContents"/>
              <w:bidi w:val="0"/>
              <w:ind w:left="0" w:right="0" w:firstLine="360"/>
              <w:jc w:val="left"/>
              <w:rPr>
                <w:rFonts w:ascii="Times New Roman" w:hAnsi="Times New Roman"/>
                <w:sz w:val="18"/>
              </w:rPr>
            </w:pPr>
            <w:r>
              <w:rPr>
                <w:rFonts w:ascii="Arial" w:hAnsi="Arial"/>
                <w:color w:val="1F497D"/>
                <w:sz w:val="18"/>
              </w:rPr>
              <w:t xml:space="preserve">- </w:t>
            </w:r>
            <w:r>
              <w:rPr>
                <w:rFonts w:ascii="Arial" w:hAnsi="Arial"/>
                <w:color w:val="000000"/>
                <w:sz w:val="18"/>
              </w:rPr>
              <w:t>our policies and practices related to information security, including cybersecurity</w:t>
            </w:r>
          </w:p>
          <w:p>
            <w:pPr>
              <w:pStyle w:val="TableContents"/>
              <w:bidi w:val="0"/>
              <w:ind w:left="0" w:right="0" w:firstLine="360"/>
              <w:jc w:val="left"/>
              <w:rPr>
                <w:rFonts w:ascii="Times New Roman" w:hAnsi="Times New Roman"/>
                <w:sz w:val="18"/>
              </w:rPr>
            </w:pPr>
            <w:r>
              <w:rPr>
                <w:rFonts w:ascii="Arial" w:hAnsi="Arial"/>
                <w:color w:val="1F497D"/>
                <w:sz w:val="18"/>
              </w:rPr>
              <w:t xml:space="preserve">- </w:t>
            </w:r>
            <w:r>
              <w:rPr>
                <w:rFonts w:ascii="Arial" w:hAnsi="Arial"/>
                <w:color w:val="000000"/>
                <w:sz w:val="18"/>
              </w:rPr>
              <w:t>the independent registered public accountant’s qualification and independence</w:t>
            </w:r>
          </w:p>
          <w:p>
            <w:pPr>
              <w:pStyle w:val="TableContents"/>
              <w:bidi w:val="0"/>
              <w:ind w:left="0" w:right="0" w:firstLine="360"/>
              <w:jc w:val="left"/>
              <w:rPr>
                <w:rFonts w:ascii="Times New Roman" w:hAnsi="Times New Roman"/>
                <w:sz w:val="18"/>
              </w:rPr>
            </w:pPr>
            <w:r>
              <w:rPr>
                <w:rFonts w:ascii="Arial" w:hAnsi="Arial"/>
                <w:color w:val="1F497D"/>
                <w:sz w:val="18"/>
              </w:rPr>
              <w:t xml:space="preserve">- </w:t>
            </w:r>
            <w:r>
              <w:rPr>
                <w:rFonts w:ascii="Arial" w:hAnsi="Arial"/>
                <w:color w:val="000000"/>
                <w:sz w:val="18"/>
              </w:rPr>
              <w:t>the performance of the independent registered public accountant</w:t>
            </w:r>
          </w:p>
          <w:p>
            <w:pPr>
              <w:pStyle w:val="TableContents"/>
              <w:bidi w:val="0"/>
              <w:ind w:left="0" w:right="0" w:firstLine="360"/>
              <w:jc w:val="both"/>
              <w:rPr/>
            </w:pPr>
            <w:r>
              <w:rPr/>
              <w:t> </w:t>
            </w:r>
          </w:p>
          <w:p>
            <w:pPr>
              <w:pStyle w:val="TableContents"/>
              <w:bidi w:val="0"/>
              <w:spacing w:before="0" w:after="120"/>
              <w:ind w:left="0" w:right="0" w:firstLine="360"/>
              <w:jc w:val="left"/>
              <w:rPr>
                <w:rFonts w:ascii="Times New Roman" w:hAnsi="Times New Roman"/>
                <w:sz w:val="18"/>
              </w:rPr>
            </w:pPr>
            <w:r>
              <w:rPr>
                <w:rFonts w:ascii="Arial" w:hAnsi="Arial"/>
                <w:color w:val="1F497D"/>
                <w:sz w:val="18"/>
              </w:rPr>
              <w:t xml:space="preserve"> </w:t>
            </w:r>
            <w:r>
              <w:rPr>
                <w:rFonts w:ascii="Arial" w:hAnsi="Arial"/>
                <w:color w:val="000000"/>
                <w:sz w:val="18"/>
              </w:rPr>
              <w:t>Meets separately on a regular basis with representatives of our independent registered public accountant and our internal audit function</w:t>
            </w:r>
          </w:p>
        </w:tc>
        <w:tc>
          <w:tcPr>
            <w:tcW w:w="504" w:type="dxa"/>
            <w:tcBorders/>
            <w:shd w:fill="DCDDDE" w:val="clear"/>
            <w:tcMar>
              <w:top w:w="0" w:type="dxa"/>
              <w:left w:w="0" w:type="dxa"/>
              <w:bottom w:w="0" w:type="dxa"/>
              <w:right w:w="0" w:type="dxa"/>
            </w:tcMar>
            <w:vAlign w:val="center"/>
          </w:tcPr>
          <w:p>
            <w:pPr>
              <w:pStyle w:val="TableContents"/>
              <w:bidi w:val="0"/>
              <w:spacing w:before="0" w:after="283"/>
              <w:ind w:left="0" w:right="0" w:firstLine="418"/>
              <w:jc w:val="left"/>
              <w:rPr>
                <w:sz w:val="4"/>
                <w:szCs w:val="4"/>
              </w:rPr>
            </w:pPr>
            <w:r>
              <w:rPr>
                <w:sz w:val="4"/>
                <w:szCs w:val="4"/>
              </w:rPr>
            </w:r>
          </w:p>
        </w:tc>
        <w:tc>
          <w:tcPr>
            <w:tcW w:w="4534" w:type="dxa"/>
            <w:tcBorders/>
            <w:shd w:fill="DCDDDE" w:val="clear"/>
            <w:tcMar>
              <w:top w:w="0" w:type="dxa"/>
              <w:left w:w="0" w:type="dxa"/>
              <w:bottom w:w="0" w:type="dxa"/>
              <w:right w:w="0" w:type="dxa"/>
            </w:tcMar>
            <w:vAlign w:val="center"/>
          </w:tcPr>
          <w:p>
            <w:pPr>
              <w:pStyle w:val="TableContents"/>
              <w:bidi w:val="0"/>
              <w:ind w:left="0" w:right="0" w:firstLine="418"/>
              <w:jc w:val="left"/>
              <w:rPr/>
            </w:pPr>
            <w:r>
              <w:rPr/>
              <w:t> </w:t>
            </w:r>
          </w:p>
          <w:p>
            <w:pPr>
              <w:pStyle w:val="TableContents"/>
              <w:bidi w:val="0"/>
              <w:ind w:left="0" w:right="0" w:firstLine="418"/>
              <w:jc w:val="left"/>
              <w:rPr>
                <w:rFonts w:ascii="Times New Roman" w:hAnsi="Times New Roman"/>
                <w:sz w:val="18"/>
              </w:rPr>
            </w:pPr>
            <w:r>
              <w:rPr>
                <w:rFonts w:ascii="Arial" w:hAnsi="Arial"/>
                <w:color w:val="1F497D"/>
                <w:sz w:val="18"/>
              </w:rPr>
              <w:t xml:space="preserve"> </w:t>
            </w:r>
            <w:r>
              <w:rPr>
                <w:rFonts w:ascii="Arial" w:hAnsi="Arial"/>
                <w:color w:val="000000"/>
                <w:sz w:val="18"/>
              </w:rPr>
              <w:t>Considers the risk that our compensation policies and practices may have in attracting, retaining, and motivating valued employees</w:t>
            </w:r>
          </w:p>
          <w:p>
            <w:pPr>
              <w:pStyle w:val="TableContents"/>
              <w:bidi w:val="0"/>
              <w:ind w:left="0" w:right="0" w:firstLine="418"/>
              <w:jc w:val="both"/>
              <w:rPr/>
            </w:pPr>
            <w:r>
              <w:rPr/>
              <w:t> </w:t>
            </w:r>
          </w:p>
          <w:p>
            <w:pPr>
              <w:pStyle w:val="TableContents"/>
              <w:bidi w:val="0"/>
              <w:ind w:left="0" w:right="0" w:firstLine="418"/>
              <w:jc w:val="left"/>
              <w:rPr>
                <w:rFonts w:ascii="Times New Roman" w:hAnsi="Times New Roman"/>
                <w:sz w:val="18"/>
              </w:rPr>
            </w:pPr>
            <w:r>
              <w:rPr>
                <w:rFonts w:ascii="Arial" w:hAnsi="Arial"/>
                <w:color w:val="1F497D"/>
                <w:sz w:val="18"/>
              </w:rPr>
              <w:t xml:space="preserve"> </w:t>
            </w:r>
            <w:r>
              <w:rPr>
                <w:rFonts w:ascii="Arial" w:hAnsi="Arial"/>
                <w:color w:val="000000"/>
                <w:sz w:val="18"/>
              </w:rPr>
              <w:t>Endeavors to ensure that it is not reasonably likely that our compensation plans and policies would have a material adverse effect on us</w:t>
            </w:r>
          </w:p>
          <w:p>
            <w:pPr>
              <w:pStyle w:val="TableContents"/>
              <w:bidi w:val="0"/>
              <w:spacing w:before="240" w:after="283"/>
              <w:ind w:left="0" w:right="0" w:firstLine="418"/>
              <w:jc w:val="both"/>
              <w:rPr>
                <w:rFonts w:ascii="Arial" w:hAnsi="Arial"/>
                <w:b/>
                <w:color w:val="002668"/>
                <w:sz w:val="20"/>
              </w:rPr>
            </w:pPr>
            <w:r>
              <w:rPr>
                <w:rFonts w:ascii="Arial" w:hAnsi="Arial"/>
                <w:b/>
                <w:color w:val="002668"/>
                <w:sz w:val="20"/>
              </w:rPr>
              <w:t>NCG COMMITTEE</w:t>
            </w:r>
          </w:p>
          <w:p>
            <w:pPr>
              <w:pStyle w:val="TableContents"/>
              <w:bidi w:val="0"/>
              <w:ind w:left="0" w:right="0" w:firstLine="418"/>
              <w:jc w:val="both"/>
              <w:rPr/>
            </w:pPr>
            <w:r>
              <w:rPr/>
              <w:t> </w:t>
            </w:r>
          </w:p>
          <w:p>
            <w:pPr>
              <w:pStyle w:val="TableContents"/>
              <w:bidi w:val="0"/>
              <w:ind w:left="0" w:right="0" w:firstLine="418"/>
              <w:jc w:val="left"/>
              <w:rPr>
                <w:rFonts w:ascii="Times New Roman" w:hAnsi="Times New Roman"/>
                <w:sz w:val="18"/>
              </w:rPr>
            </w:pPr>
            <w:r>
              <w:rPr>
                <w:rFonts w:ascii="Arial" w:hAnsi="Arial"/>
                <w:color w:val="1F497D"/>
                <w:sz w:val="18"/>
              </w:rPr>
              <w:t xml:space="preserve"> </w:t>
            </w:r>
            <w:r>
              <w:rPr>
                <w:rFonts w:ascii="Arial" w:hAnsi="Arial"/>
                <w:color w:val="000000"/>
                <w:sz w:val="18"/>
              </w:rPr>
              <w:t>Oversees governance-related risk, such as board independence, conflicts of interest, and management and succession planning</w:t>
            </w:r>
            <w:r>
              <w:rPr>
                <w:rFonts w:ascii="Times New Roman" w:hAnsi="Times New Roman"/>
                <w:color w:val="000000"/>
                <w:sz w:val="18"/>
              </w:rPr>
              <w:t xml:space="preserve"> </w:t>
            </w:r>
          </w:p>
          <w:p>
            <w:pPr>
              <w:pStyle w:val="TableContents"/>
              <w:bidi w:val="0"/>
              <w:spacing w:before="0" w:after="120"/>
              <w:ind w:left="0" w:right="0" w:firstLine="418"/>
              <w:jc w:val="both"/>
              <w:rPr/>
            </w:pPr>
            <w:r>
              <w:rPr/>
              <w:t> </w:t>
            </w:r>
          </w:p>
        </w:tc>
        <w:tc>
          <w:tcPr>
            <w:tcW w:w="146" w:type="dxa"/>
            <w:tcBorders/>
            <w:shd w:fill="DCDD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shd w:fill="DCDDDE" w:val="clear"/>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Arial" w:hAnsi="Arial"/>
          <w:b/>
          <w:i/>
          <w:color w:val="4F81BD"/>
          <w:sz w:val="20"/>
        </w:rPr>
        <w:t>Artificial Intelligence Oversight</w:t>
      </w:r>
      <w:r>
        <w:rPr>
          <w:rFonts w:ascii="Arial" w:hAnsi="Arial"/>
          <w:color w:val="4F81BD"/>
          <w:sz w:val="20"/>
        </w:rPr>
        <w:t xml:space="preserve">. </w:t>
      </w:r>
      <w:r>
        <w:rPr>
          <w:rFonts w:ascii="Arial" w:hAnsi="Arial"/>
          <w:color w:val="000000"/>
          <w:sz w:val="20"/>
        </w:rPr>
        <w:t>We recognize the importance of artificial intelligence risk governance. The Board oversees risks associated with the use of artificial intelligence as part of its overall risk oversight responsibilities. We maintain an artificial intelligence use policy for the Board.</w:t>
      </w:r>
    </w:p>
    <w:p>
      <w:pPr>
        <w:pStyle w:val="TextBody"/>
        <w:bidi w:val="0"/>
        <w:jc w:val="both"/>
        <w:rPr/>
      </w:pPr>
      <w:r>
        <w:rPr/>
        <w:t> </w:t>
      </w:r>
    </w:p>
    <w:p>
      <w:pPr>
        <w:pStyle w:val="TextBody"/>
        <w:bidi w:val="0"/>
        <w:jc w:val="both"/>
        <w:rPr>
          <w:rFonts w:ascii="Times New Roman" w:hAnsi="Times New Roman"/>
          <w:sz w:val="20"/>
        </w:rPr>
      </w:pPr>
      <w:r>
        <w:rPr>
          <w:rFonts w:ascii="Arial" w:hAnsi="Arial"/>
          <w:b/>
          <w:i/>
          <w:color w:val="4F81BD"/>
          <w:sz w:val="20"/>
        </w:rPr>
        <w:t>Cybersecurity Risk Oversight</w:t>
      </w:r>
      <w:r>
        <w:rPr>
          <w:rFonts w:ascii="Arial" w:hAnsi="Arial"/>
          <w:color w:val="4F81BD"/>
          <w:sz w:val="20"/>
        </w:rPr>
        <w:t xml:space="preserve">. </w:t>
      </w:r>
      <w:r>
        <w:rPr>
          <w:rFonts w:ascii="Arial" w:hAnsi="Arial"/>
          <w:color w:val="000000"/>
          <w:sz w:val="20"/>
        </w:rPr>
        <w:t>We recognize the importance of cybersecurity risk governance. The Audit Committee receives regular reports from management on, among other things, the emerging cybersecurity threat landscape and our cybersecurity risks and threats. The Audit Committee regularly briefs the full Board on these matters. We maintain a Cyber Incident Response Plan.</w:t>
      </w:r>
    </w:p>
    <w:p>
      <w:pPr>
        <w:pStyle w:val="TextBody"/>
        <w:bidi w:val="0"/>
        <w:jc w:val="both"/>
        <w:rPr/>
      </w:pPr>
      <w:r>
        <w:rPr/>
        <w:t> </w:t>
      </w:r>
    </w:p>
    <w:p>
      <w:pPr>
        <w:pStyle w:val="TextBody"/>
        <w:bidi w:val="0"/>
        <w:jc w:val="both"/>
        <w:rPr>
          <w:rFonts w:ascii="Arial" w:hAnsi="Arial"/>
          <w:color w:val="002668"/>
          <w:sz w:val="24"/>
          <w:u w:val="single"/>
        </w:rPr>
      </w:pPr>
      <w:r>
        <w:rPr>
          <w:rFonts w:ascii="Arial" w:hAnsi="Arial"/>
          <w:color w:val="002668"/>
          <w:sz w:val="24"/>
          <w:u w:val="single"/>
        </w:rPr>
        <w:t>Board Leadership Structure</w:t>
      </w:r>
    </w:p>
    <w:p>
      <w:pPr>
        <w:pStyle w:val="TextBody"/>
        <w:bidi w:val="0"/>
        <w:jc w:val="both"/>
        <w:rPr>
          <w:rFonts w:ascii="Arial" w:hAnsi="Arial"/>
          <w:color w:val="000000"/>
          <w:sz w:val="20"/>
        </w:rPr>
      </w:pPr>
      <w:r>
        <w:rPr>
          <w:rFonts w:ascii="Arial" w:hAnsi="Arial"/>
          <w:color w:val="000000"/>
          <w:sz w:val="20"/>
        </w:rPr>
        <w:t>We maintain separate roles between our CEO and Chairman in recognition of the differences between the responsibilities of these roles. The Board believes this leadership structure is the most effective for us at this time because it allows our CEO to focus on running our business and our Chairman to focus on pursuing sound governance practices that benefit the long-term interests of our stockholders.</w:t>
      </w:r>
    </w:p>
    <w:p>
      <w:pPr>
        <w:pStyle w:val="TextBody"/>
        <w:bidi w:val="0"/>
        <w:jc w:val="both"/>
        <w:rPr/>
      </w:pPr>
      <w:r>
        <w:rPr/>
        <w:t> </w:t>
      </w:r>
    </w:p>
    <w:p>
      <w:pPr>
        <w:pStyle w:val="TextBody"/>
        <w:bidi w:val="0"/>
        <w:jc w:val="both"/>
        <w:rPr>
          <w:rFonts w:ascii="Arial" w:hAnsi="Arial"/>
          <w:color w:val="002668"/>
          <w:sz w:val="24"/>
          <w:u w:val="single"/>
        </w:rPr>
      </w:pPr>
      <w:r>
        <w:rPr>
          <w:rFonts w:ascii="Arial" w:hAnsi="Arial"/>
          <w:color w:val="002668"/>
          <w:sz w:val="24"/>
          <w:u w:val="single"/>
        </w:rPr>
        <w:t>Board Committees</w:t>
      </w:r>
    </w:p>
    <w:p>
      <w:pPr>
        <w:pStyle w:val="TextBody"/>
        <w:bidi w:val="0"/>
        <w:spacing w:before="40" w:after="283"/>
        <w:jc w:val="both"/>
        <w:rPr>
          <w:rFonts w:ascii="Times New Roman" w:hAnsi="Times New Roman"/>
          <w:sz w:val="20"/>
        </w:rPr>
      </w:pPr>
      <w:r>
        <w:rPr>
          <w:rFonts w:ascii="Arial" w:hAnsi="Arial"/>
          <w:color w:val="000000"/>
          <w:sz w:val="20"/>
        </w:rPr>
        <w:t>The Board has three standing committees as of the date of this Proxy Statement, each of which is comprised of independent directors: the Audit Committee, the Compensation Committee, and the NCG Committee. During fiscal 2026, the Board had a fourth committee – the Sustainability Committee. The Board dissolved the Sustainability Committee effective April 30, 2026 and subsequently re-assigned certain of its duties and responsibilities to the NCG Committee. The Sustainability Committee was responsible for reviewing emerging risks associated with sustainability matters, among other things.</w:t>
      </w:r>
      <w:r>
        <w:rPr>
          <w:rFonts w:ascii="Times New Roman" w:hAnsi="Times New Roman"/>
          <w:color w:val="000000"/>
          <w:sz w:val="20"/>
        </w:rPr>
        <w:t xml:space="preserve"> </w:t>
      </w:r>
    </w:p>
    <w:p>
      <w:pPr>
        <w:pStyle w:val="TextBody"/>
        <w:bidi w:val="0"/>
        <w:jc w:val="left"/>
        <w:rPr/>
      </w:pPr>
      <w:r>
        <w:rPr/>
        <w:t> </w:t>
      </w:r>
    </w:p>
    <w:tbl>
      <w:tblPr>
        <w:tblW w:w="3702" w:type="dxa"/>
        <w:jc w:val="left"/>
        <w:tblInd w:w="0" w:type="dxa"/>
        <w:tblLayout w:type="fixed"/>
        <w:tblCellMar>
          <w:top w:w="28" w:type="dxa"/>
          <w:left w:w="28" w:type="dxa"/>
          <w:bottom w:w="28" w:type="dxa"/>
          <w:right w:w="28" w:type="dxa"/>
        </w:tblCellMar>
      </w:tblPr>
      <w:tblGrid>
        <w:gridCol w:w="2266"/>
        <w:gridCol w:w="1436"/>
      </w:tblGrid>
      <w:tr>
        <w:trPr/>
        <w:tc>
          <w:tcPr>
            <w:tcW w:w="2266"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2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91F2C"/>
                <w:sz w:val="18"/>
              </w:rPr>
              <w:t>10</w:t>
            </w:r>
            <w:r>
              <w:rPr>
                <w:rFonts w:ascii="Times New Roman" w:hAnsi="Times New Roman"/>
                <w:color w:val="091F2C"/>
                <w:sz w:val="18"/>
              </w:rPr>
              <w:t> </w:t>
            </w:r>
            <w:r>
              <w:rPr>
                <w:rFonts w:ascii="Arial" w:hAnsi="Arial"/>
                <w:color w:val="091F2C"/>
                <w:sz w:val="18"/>
              </w:rPr>
              <w:t>I 2026 Proxy Statement</w:t>
            </w:r>
          </w:p>
        </w:tc>
        <w:tc>
          <w:tcPr>
            <w:tcW w:w="143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828675" cy="1905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828675" cy="190500"/>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3027" w:type="dxa"/>
        <w:jc w:val="left"/>
        <w:tblInd w:w="0" w:type="dxa"/>
        <w:tblLayout w:type="fixed"/>
        <w:tblCellMar>
          <w:top w:w="28" w:type="dxa"/>
          <w:left w:w="28" w:type="dxa"/>
          <w:bottom w:w="28" w:type="dxa"/>
          <w:right w:w="28" w:type="dxa"/>
        </w:tblCellMar>
      </w:tblPr>
      <w:tblGrid>
        <w:gridCol w:w="2836"/>
        <w:gridCol w:w="191"/>
      </w:tblGrid>
      <w:tr>
        <w:trPr/>
        <w:tc>
          <w:tcPr>
            <w:tcW w:w="28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36" w:type="dxa"/>
            <w:tcBorders/>
            <w:tcMar>
              <w:top w:w="0" w:type="dxa"/>
              <w:left w:w="0" w:type="dxa"/>
              <w:bottom w:w="0" w:type="dxa"/>
              <w:right w:w="0" w:type="dxa"/>
            </w:tcMar>
            <w:vAlign w:val="center"/>
          </w:tcPr>
          <w:p>
            <w:pPr>
              <w:pStyle w:val="TableContents"/>
              <w:bidi w:val="0"/>
              <w:spacing w:before="0" w:after="283"/>
              <w:jc w:val="left"/>
              <w:rPr>
                <w:rFonts w:ascii="Arial" w:hAnsi="Arial"/>
                <w:color w:val="002668"/>
                <w:sz w:val="20"/>
              </w:rPr>
            </w:pPr>
            <w:r>
              <w:rPr>
                <w:rFonts w:ascii="Arial" w:hAnsi="Arial"/>
                <w:color w:val="002668"/>
                <w:sz w:val="20"/>
              </w:rPr>
              <w:t>Board and Governance Matters</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836" w:type="dxa"/>
            <w:tcBorders>
              <w:bottom w:val="single" w:sz="8" w:space="0" w:color="002668"/>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5048"/>
        <w:gridCol w:w="5157"/>
      </w:tblGrid>
      <w:tr>
        <w:trPr/>
        <w:tc>
          <w:tcPr>
            <w:tcW w:w="5048" w:type="dxa"/>
            <w:tcBorders/>
            <w:vAlign w:val="center"/>
          </w:tcPr>
          <w:p>
            <w:pPr>
              <w:pStyle w:val="TableContents"/>
              <w:bidi w:val="0"/>
              <w:spacing w:before="0" w:after="283"/>
              <w:jc w:val="left"/>
              <w:rPr>
                <w:sz w:val="4"/>
                <w:szCs w:val="4"/>
              </w:rPr>
            </w:pPr>
            <w:r>
              <w:rPr>
                <w:sz w:val="4"/>
                <w:szCs w:val="4"/>
              </w:rPr>
            </w:r>
          </w:p>
        </w:tc>
        <w:tc>
          <w:tcPr>
            <w:tcW w:w="5157"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5048" w:type="dxa"/>
            <w:tcBorders>
              <w:top w:val="single" w:sz="4" w:space="0" w:color="000000"/>
              <w:left w:val="single" w:sz="6" w:space="0" w:color="404041"/>
              <w:bottom w:val="single" w:sz="4" w:space="0" w:color="000000"/>
            </w:tcBorders>
            <w:shd w:fill="DCDDDE" w:val="clear"/>
            <w:tcMar>
              <w:right w:w="0" w:type="dxa"/>
            </w:tcMar>
            <w:vAlign w:val="center"/>
          </w:tcPr>
          <w:p>
            <w:pPr>
              <w:pStyle w:val="TableContents"/>
              <w:bidi w:val="0"/>
              <w:spacing w:before="240" w:after="283"/>
              <w:ind w:left="0" w:right="0" w:firstLine="180"/>
              <w:jc w:val="both"/>
              <w:rPr>
                <w:rFonts w:ascii="Arial" w:hAnsi="Arial"/>
                <w:b/>
                <w:color w:val="002668"/>
                <w:sz w:val="20"/>
              </w:rPr>
            </w:pPr>
            <w:r>
              <w:rPr>
                <w:rFonts w:ascii="Arial" w:hAnsi="Arial"/>
                <w:b/>
                <w:color w:val="002668"/>
                <w:sz w:val="20"/>
              </w:rPr>
              <w:t>AUDIT COMMITTEE</w:t>
            </w:r>
          </w:p>
          <w:p>
            <w:pPr>
              <w:pStyle w:val="TableContents"/>
              <w:bidi w:val="0"/>
              <w:ind w:left="0" w:right="0" w:firstLine="180"/>
              <w:jc w:val="both"/>
              <w:rPr/>
            </w:pPr>
            <w:r>
              <w:rPr/>
              <w:t> </w:t>
            </w:r>
          </w:p>
          <w:p>
            <w:pPr>
              <w:pStyle w:val="TableContents"/>
              <w:bidi w:val="0"/>
              <w:ind w:left="0" w:right="0" w:firstLine="180"/>
              <w:jc w:val="both"/>
              <w:rPr>
                <w:rFonts w:ascii="Arial" w:hAnsi="Arial"/>
                <w:b/>
                <w:color w:val="002668"/>
                <w:sz w:val="20"/>
              </w:rPr>
            </w:pPr>
            <w:r>
              <w:rPr>
                <w:rFonts w:ascii="Arial" w:hAnsi="Arial"/>
                <w:b/>
                <w:color w:val="002668"/>
                <w:sz w:val="20"/>
              </w:rPr>
              <w:t>Members:</w:t>
            </w:r>
          </w:p>
          <w:p>
            <w:pPr>
              <w:pStyle w:val="TableContents"/>
              <w:bidi w:val="0"/>
              <w:ind w:left="0" w:right="0" w:firstLine="180"/>
              <w:jc w:val="both"/>
              <w:rPr>
                <w:rFonts w:ascii="Arial" w:hAnsi="Arial"/>
                <w:color w:val="000000"/>
                <w:sz w:val="18"/>
              </w:rPr>
            </w:pPr>
            <w:r>
              <w:rPr>
                <w:rFonts w:ascii="Arial" w:hAnsi="Arial"/>
                <w:color w:val="000000"/>
                <w:sz w:val="18"/>
              </w:rPr>
              <w:t>Anita D. Britt (Chair)</w:t>
            </w:r>
          </w:p>
          <w:p>
            <w:pPr>
              <w:pStyle w:val="TableContents"/>
              <w:bidi w:val="0"/>
              <w:ind w:left="0" w:right="0" w:firstLine="180"/>
              <w:jc w:val="both"/>
              <w:rPr>
                <w:rFonts w:ascii="Arial" w:hAnsi="Arial"/>
                <w:color w:val="000000"/>
                <w:sz w:val="18"/>
              </w:rPr>
            </w:pPr>
            <w:r>
              <w:rPr>
                <w:rFonts w:ascii="Arial" w:hAnsi="Arial"/>
                <w:color w:val="000000"/>
                <w:sz w:val="18"/>
              </w:rPr>
              <w:t>Michelle J. Lohmeier</w:t>
            </w:r>
          </w:p>
          <w:p>
            <w:pPr>
              <w:pStyle w:val="TableContents"/>
              <w:bidi w:val="0"/>
              <w:ind w:left="0" w:right="0" w:firstLine="180"/>
              <w:jc w:val="both"/>
              <w:rPr>
                <w:rFonts w:ascii="Arial" w:hAnsi="Arial"/>
                <w:color w:val="000000"/>
                <w:sz w:val="18"/>
              </w:rPr>
            </w:pPr>
            <w:r>
              <w:rPr>
                <w:rFonts w:ascii="Arial" w:hAnsi="Arial"/>
                <w:color w:val="000000"/>
                <w:sz w:val="18"/>
              </w:rPr>
              <w:t>Robert L. Scott</w:t>
            </w:r>
          </w:p>
          <w:p>
            <w:pPr>
              <w:pStyle w:val="TableContents"/>
              <w:bidi w:val="0"/>
              <w:ind w:left="0" w:right="0" w:firstLine="180"/>
              <w:jc w:val="both"/>
              <w:rPr>
                <w:rFonts w:ascii="Arial" w:hAnsi="Arial"/>
                <w:color w:val="000000"/>
                <w:sz w:val="18"/>
              </w:rPr>
            </w:pPr>
            <w:r>
              <w:rPr>
                <w:rFonts w:ascii="Arial" w:hAnsi="Arial"/>
                <w:color w:val="000000"/>
                <w:sz w:val="18"/>
              </w:rPr>
              <w:t>Denis G. Suggs</w:t>
            </w:r>
          </w:p>
          <w:p>
            <w:pPr>
              <w:pStyle w:val="TableContents"/>
              <w:bidi w:val="0"/>
              <w:ind w:left="0" w:right="0" w:firstLine="180"/>
              <w:jc w:val="both"/>
              <w:rPr>
                <w:rFonts w:ascii="Arial" w:hAnsi="Arial"/>
                <w:b/>
                <w:color w:val="002668"/>
                <w:sz w:val="20"/>
              </w:rPr>
            </w:pPr>
            <w:r>
              <w:rPr>
                <w:rFonts w:ascii="Arial" w:hAnsi="Arial"/>
                <w:b/>
                <w:color w:val="002668"/>
                <w:sz w:val="20"/>
              </w:rPr>
              <w:t>Meetings in Fiscal 2026: 5</w:t>
            </w:r>
          </w:p>
          <w:p>
            <w:pPr>
              <w:pStyle w:val="TableContents"/>
              <w:bidi w:val="0"/>
              <w:ind w:left="0" w:right="0" w:firstLine="180"/>
              <w:jc w:val="both"/>
              <w:rPr/>
            </w:pPr>
            <w:r>
              <w:rPr/>
              <w:t> </w:t>
            </w:r>
          </w:p>
          <w:p>
            <w:pPr>
              <w:pStyle w:val="TableContents"/>
              <w:bidi w:val="0"/>
              <w:ind w:left="0" w:right="0" w:firstLine="180"/>
              <w:jc w:val="both"/>
              <w:rPr>
                <w:rFonts w:ascii="Arial" w:hAnsi="Arial"/>
                <w:b/>
                <w:color w:val="002668"/>
                <w:sz w:val="20"/>
              </w:rPr>
            </w:pPr>
            <w:r>
              <w:rPr>
                <w:rFonts w:ascii="Arial" w:hAnsi="Arial"/>
                <w:b/>
                <w:color w:val="002668"/>
                <w:sz w:val="20"/>
              </w:rPr>
              <w:t>Member Independence: 4 of 4</w:t>
            </w:r>
          </w:p>
          <w:p>
            <w:pPr>
              <w:pStyle w:val="TableContents"/>
              <w:bidi w:val="0"/>
              <w:spacing w:before="0" w:after="283"/>
              <w:ind w:left="0" w:right="0" w:firstLine="180"/>
              <w:jc w:val="both"/>
              <w:rPr>
                <w:rFonts w:ascii="Arial" w:hAnsi="Arial"/>
                <w:color w:val="000000"/>
                <w:sz w:val="16"/>
              </w:rPr>
            </w:pPr>
            <w:r>
              <w:rPr>
                <w:rFonts w:ascii="Arial" w:hAnsi="Arial"/>
                <w:color w:val="000000"/>
                <w:sz w:val="16"/>
              </w:rPr>
              <w:t>* All members meet the independence requirements of Nasdaq and Rule 10A-3 of the Exchange Act. The Board has determined that each member is an “audit committee financial expert” within the meaning of SEC regulations.</w:t>
            </w:r>
          </w:p>
        </w:tc>
        <w:tc>
          <w:tcPr>
            <w:tcW w:w="5157" w:type="dxa"/>
            <w:tcBorders>
              <w:top w:val="single" w:sz="4" w:space="0" w:color="000000"/>
              <w:bottom w:val="single" w:sz="4" w:space="0" w:color="000000"/>
              <w:right w:val="single" w:sz="6" w:space="0" w:color="404041"/>
            </w:tcBorders>
            <w:shd w:fill="DCDDDE" w:val="clear"/>
            <w:tcMar>
              <w:left w:w="0" w:type="dxa"/>
            </w:tcMar>
            <w:vAlign w:val="center"/>
          </w:tcPr>
          <w:p>
            <w:pPr>
              <w:pStyle w:val="TableContents"/>
              <w:bidi w:val="0"/>
              <w:spacing w:before="240" w:after="283"/>
              <w:jc w:val="both"/>
              <w:rPr>
                <w:rFonts w:ascii="Arial" w:hAnsi="Arial"/>
                <w:b/>
                <w:color w:val="002668"/>
                <w:sz w:val="20"/>
              </w:rPr>
            </w:pPr>
            <w:r>
              <w:rPr>
                <w:rFonts w:ascii="Arial" w:hAnsi="Arial"/>
                <w:b/>
                <w:color w:val="002668"/>
                <w:sz w:val="20"/>
              </w:rPr>
              <w:t>Purpose:</w:t>
            </w:r>
          </w:p>
          <w:p>
            <w:pPr>
              <w:pStyle w:val="TableContents"/>
              <w:bidi w:val="0"/>
              <w:spacing w:before="0" w:after="120"/>
              <w:jc w:val="left"/>
              <w:rPr>
                <w:rFonts w:ascii="Times New Roman" w:hAnsi="Times New Roman"/>
                <w:sz w:val="18"/>
              </w:rPr>
            </w:pPr>
            <w:r>
              <w:rPr>
                <w:rFonts w:ascii="Arial" w:hAnsi="Arial"/>
                <w:color w:val="1F497D"/>
                <w:sz w:val="18"/>
              </w:rPr>
              <w:t xml:space="preserve"> </w:t>
            </w:r>
            <w:r>
              <w:rPr>
                <w:rFonts w:ascii="Arial" w:hAnsi="Arial"/>
                <w:color w:val="000000"/>
                <w:sz w:val="18"/>
              </w:rPr>
              <w:t>Overseeing our financial and reporting processes and the audits of our financial statements.</w:t>
            </w:r>
          </w:p>
          <w:p>
            <w:pPr>
              <w:pStyle w:val="TableContents"/>
              <w:bidi w:val="0"/>
              <w:spacing w:before="0" w:after="120"/>
              <w:jc w:val="left"/>
              <w:rPr>
                <w:rFonts w:ascii="Times New Roman" w:hAnsi="Times New Roman"/>
                <w:sz w:val="18"/>
              </w:rPr>
            </w:pPr>
            <w:r>
              <w:rPr>
                <w:rFonts w:ascii="Arial" w:hAnsi="Arial"/>
                <w:color w:val="1F497D"/>
                <w:sz w:val="18"/>
              </w:rPr>
              <w:t xml:space="preserve"> </w:t>
            </w:r>
            <w:r>
              <w:rPr>
                <w:rFonts w:ascii="Arial" w:hAnsi="Arial"/>
                <w:color w:val="000000"/>
                <w:sz w:val="18"/>
              </w:rPr>
              <w:t>Providing assistance to the Board with respect to its oversight of:</w:t>
            </w:r>
          </w:p>
          <w:p>
            <w:pPr>
              <w:pStyle w:val="TableContents"/>
              <w:bidi w:val="0"/>
              <w:spacing w:before="0" w:after="120"/>
              <w:jc w:val="left"/>
              <w:rPr>
                <w:rFonts w:ascii="Times New Roman" w:hAnsi="Times New Roman"/>
                <w:sz w:val="18"/>
              </w:rPr>
            </w:pPr>
            <w:r>
              <w:rPr>
                <w:rFonts w:ascii="Arial" w:hAnsi="Arial"/>
                <w:color w:val="1F497D"/>
                <w:sz w:val="18"/>
              </w:rPr>
              <w:t xml:space="preserve">- </w:t>
            </w:r>
            <w:r>
              <w:rPr>
                <w:rFonts w:ascii="Arial" w:hAnsi="Arial"/>
                <w:color w:val="000000"/>
                <w:sz w:val="18"/>
              </w:rPr>
              <w:t>the integrity of our financial statements;</w:t>
            </w:r>
          </w:p>
          <w:p>
            <w:pPr>
              <w:pStyle w:val="TableContents"/>
              <w:bidi w:val="0"/>
              <w:spacing w:before="0" w:after="120"/>
              <w:jc w:val="left"/>
              <w:rPr>
                <w:rFonts w:ascii="Times New Roman" w:hAnsi="Times New Roman"/>
                <w:sz w:val="18"/>
              </w:rPr>
            </w:pPr>
            <w:r>
              <w:rPr>
                <w:rFonts w:ascii="Arial" w:hAnsi="Arial"/>
                <w:color w:val="1F497D"/>
                <w:sz w:val="18"/>
              </w:rPr>
              <w:t xml:space="preserve">- </w:t>
            </w:r>
            <w:r>
              <w:rPr>
                <w:rFonts w:ascii="Arial" w:hAnsi="Arial"/>
                <w:color w:val="000000"/>
                <w:sz w:val="18"/>
              </w:rPr>
              <w:t>our compliance with legal and regulatory requirements;</w:t>
            </w:r>
          </w:p>
          <w:p>
            <w:pPr>
              <w:pStyle w:val="TableContents"/>
              <w:bidi w:val="0"/>
              <w:spacing w:before="0" w:after="120"/>
              <w:jc w:val="left"/>
              <w:rPr>
                <w:rFonts w:ascii="Times New Roman" w:hAnsi="Times New Roman"/>
                <w:sz w:val="18"/>
              </w:rPr>
            </w:pPr>
            <w:r>
              <w:rPr>
                <w:rFonts w:ascii="Arial" w:hAnsi="Arial"/>
                <w:color w:val="1F497D"/>
                <w:sz w:val="18"/>
              </w:rPr>
              <w:t xml:space="preserve">- </w:t>
            </w:r>
            <w:r>
              <w:rPr>
                <w:rFonts w:ascii="Arial" w:hAnsi="Arial"/>
                <w:color w:val="000000"/>
                <w:sz w:val="18"/>
              </w:rPr>
              <w:t>the independent auditor’s qualifications and independence;</w:t>
            </w:r>
          </w:p>
          <w:p>
            <w:pPr>
              <w:pStyle w:val="TableContents"/>
              <w:bidi w:val="0"/>
              <w:spacing w:before="0" w:after="120"/>
              <w:jc w:val="left"/>
              <w:rPr>
                <w:rFonts w:ascii="Times New Roman" w:hAnsi="Times New Roman"/>
                <w:sz w:val="18"/>
              </w:rPr>
            </w:pPr>
            <w:r>
              <w:rPr>
                <w:rFonts w:ascii="Arial" w:hAnsi="Arial"/>
                <w:color w:val="1F497D"/>
                <w:sz w:val="18"/>
              </w:rPr>
              <w:t xml:space="preserve">- </w:t>
            </w:r>
            <w:r>
              <w:rPr>
                <w:rFonts w:ascii="Arial" w:hAnsi="Arial"/>
                <w:color w:val="000000"/>
                <w:sz w:val="18"/>
              </w:rPr>
              <w:t>the performance of our internal audit function, if any, and independent auditor; and</w:t>
            </w:r>
          </w:p>
          <w:p>
            <w:pPr>
              <w:pStyle w:val="TableContents"/>
              <w:bidi w:val="0"/>
              <w:spacing w:before="0" w:after="120"/>
              <w:jc w:val="left"/>
              <w:rPr>
                <w:rFonts w:ascii="Times New Roman" w:hAnsi="Times New Roman"/>
                <w:sz w:val="18"/>
              </w:rPr>
            </w:pPr>
            <w:r>
              <w:rPr>
                <w:rFonts w:ascii="Arial" w:hAnsi="Arial"/>
                <w:color w:val="1F497D"/>
                <w:sz w:val="18"/>
              </w:rPr>
              <w:t xml:space="preserve">- </w:t>
            </w:r>
            <w:r>
              <w:rPr>
                <w:rFonts w:ascii="Arial" w:hAnsi="Arial"/>
                <w:color w:val="000000"/>
                <w:sz w:val="18"/>
              </w:rPr>
              <w:t>our policies and practices related to information security, including cyber-security, protection of personally identifiable information, and training of employees around such items.</w:t>
            </w:r>
          </w:p>
          <w:p>
            <w:pPr>
              <w:pStyle w:val="TableContents"/>
              <w:bidi w:val="0"/>
              <w:spacing w:before="0" w:after="120"/>
              <w:jc w:val="left"/>
              <w:rPr>
                <w:rFonts w:ascii="Times New Roman" w:hAnsi="Times New Roman"/>
                <w:sz w:val="18"/>
              </w:rPr>
            </w:pPr>
            <w:r>
              <w:rPr>
                <w:rFonts w:ascii="Arial" w:hAnsi="Arial"/>
                <w:color w:val="1F497D"/>
                <w:sz w:val="18"/>
              </w:rPr>
              <w:t xml:space="preserve"> </w:t>
            </w:r>
            <w:r>
              <w:rPr>
                <w:rFonts w:ascii="Arial" w:hAnsi="Arial"/>
                <w:color w:val="000000"/>
                <w:sz w:val="18"/>
              </w:rPr>
              <w:t>Preparing the report that SEC rules require be included in our annual proxy statement.</w:t>
            </w:r>
          </w:p>
          <w:p>
            <w:pPr>
              <w:pStyle w:val="TableContents"/>
              <w:bidi w:val="0"/>
              <w:jc w:val="both"/>
              <w:rPr/>
            </w:pPr>
            <w:r>
              <w:rPr/>
              <w:t> </w:t>
            </w:r>
          </w:p>
          <w:p>
            <w:pPr>
              <w:pStyle w:val="TableContents"/>
              <w:bidi w:val="0"/>
              <w:jc w:val="both"/>
              <w:rPr>
                <w:rFonts w:ascii="Arial" w:hAnsi="Arial"/>
                <w:b/>
                <w:color w:val="002668"/>
                <w:sz w:val="20"/>
              </w:rPr>
            </w:pPr>
            <w:r>
              <w:rPr>
                <w:rFonts w:ascii="Arial" w:hAnsi="Arial"/>
                <w:b/>
                <w:color w:val="002668"/>
                <w:sz w:val="20"/>
              </w:rPr>
              <w:t>Principal Responsibilities:</w:t>
            </w:r>
          </w:p>
          <w:p>
            <w:pPr>
              <w:pStyle w:val="TableContents"/>
              <w:bidi w:val="0"/>
              <w:spacing w:before="0" w:after="120"/>
              <w:jc w:val="left"/>
              <w:rPr>
                <w:rFonts w:ascii="Times New Roman" w:hAnsi="Times New Roman"/>
                <w:sz w:val="18"/>
              </w:rPr>
            </w:pPr>
            <w:r>
              <w:rPr>
                <w:rFonts w:ascii="Arial" w:hAnsi="Arial"/>
                <w:color w:val="1F497D"/>
                <w:sz w:val="18"/>
              </w:rPr>
              <w:t xml:space="preserve"> </w:t>
            </w:r>
            <w:r>
              <w:rPr>
                <w:rFonts w:ascii="Arial" w:hAnsi="Arial"/>
                <w:color w:val="000000"/>
                <w:sz w:val="18"/>
              </w:rPr>
              <w:t>Appointing, retaining, compensating, evaluating, and terminating any accounting firm engaged to prepare or issue an audit report or performing other audit, review, or attest services, and overseeing the work of such firm.</w:t>
            </w:r>
          </w:p>
          <w:p>
            <w:pPr>
              <w:pStyle w:val="TableContents"/>
              <w:bidi w:val="0"/>
              <w:spacing w:before="0" w:after="120"/>
              <w:ind w:left="0" w:right="0" w:firstLine="173"/>
              <w:jc w:val="left"/>
              <w:rPr>
                <w:rFonts w:ascii="Times New Roman" w:hAnsi="Times New Roman"/>
                <w:sz w:val="18"/>
              </w:rPr>
            </w:pPr>
            <w:r>
              <w:rPr>
                <w:rFonts w:ascii="Arial" w:hAnsi="Arial"/>
                <w:color w:val="1F497D"/>
                <w:sz w:val="18"/>
              </w:rPr>
              <w:t xml:space="preserve"> </w:t>
            </w:r>
            <w:r>
              <w:rPr>
                <w:rFonts w:ascii="Arial" w:hAnsi="Arial"/>
                <w:color w:val="000000"/>
                <w:sz w:val="18"/>
              </w:rPr>
              <w:t>Overseeing our accounting and financial reporting process and audits of our financial statements.</w:t>
            </w:r>
          </w:p>
        </w:tc>
      </w:tr>
      <w:tr>
        <w:trPr/>
        <w:tc>
          <w:tcPr>
            <w:tcW w:w="5048" w:type="dxa"/>
            <w:tcBorders>
              <w:left w:val="single" w:sz="6" w:space="0" w:color="404041"/>
              <w:bottom w:val="single" w:sz="6" w:space="0" w:color="404041"/>
            </w:tcBorders>
            <w:tcMar>
              <w:top w:w="0" w:type="dxa"/>
              <w:right w:w="0" w:type="dxa"/>
            </w:tcMar>
            <w:vAlign w:val="center"/>
          </w:tcPr>
          <w:p>
            <w:pPr>
              <w:pStyle w:val="TableContents"/>
              <w:bidi w:val="0"/>
              <w:spacing w:before="240" w:after="283"/>
              <w:ind w:left="0" w:right="0" w:firstLine="173"/>
              <w:jc w:val="both"/>
              <w:rPr>
                <w:rFonts w:ascii="Arial" w:hAnsi="Arial"/>
                <w:b/>
                <w:color w:val="002668"/>
                <w:sz w:val="20"/>
              </w:rPr>
            </w:pPr>
            <w:r>
              <w:rPr>
                <w:rFonts w:ascii="Arial" w:hAnsi="Arial"/>
                <w:b/>
                <w:color w:val="002668"/>
                <w:sz w:val="20"/>
              </w:rPr>
              <w:t>COMPENSATION COMMITTEE</w:t>
            </w:r>
          </w:p>
          <w:p>
            <w:pPr>
              <w:pStyle w:val="TableContents"/>
              <w:bidi w:val="0"/>
              <w:ind w:left="0" w:right="0" w:firstLine="173"/>
              <w:jc w:val="both"/>
              <w:rPr/>
            </w:pPr>
            <w:r>
              <w:rPr/>
              <w:t> </w:t>
            </w:r>
          </w:p>
          <w:p>
            <w:pPr>
              <w:pStyle w:val="TableContents"/>
              <w:bidi w:val="0"/>
              <w:ind w:left="0" w:right="0" w:firstLine="173"/>
              <w:jc w:val="both"/>
              <w:rPr>
                <w:rFonts w:ascii="Arial" w:hAnsi="Arial"/>
                <w:b/>
                <w:color w:val="002668"/>
                <w:sz w:val="20"/>
              </w:rPr>
            </w:pPr>
            <w:r>
              <w:rPr>
                <w:rFonts w:ascii="Arial" w:hAnsi="Arial"/>
                <w:b/>
                <w:color w:val="002668"/>
                <w:sz w:val="20"/>
              </w:rPr>
              <w:t>Members:</w:t>
            </w:r>
          </w:p>
          <w:p>
            <w:pPr>
              <w:pStyle w:val="TableContents"/>
              <w:bidi w:val="0"/>
              <w:ind w:left="0" w:right="0" w:firstLine="173"/>
              <w:jc w:val="both"/>
              <w:rPr>
                <w:rFonts w:ascii="Arial" w:hAnsi="Arial"/>
                <w:color w:val="000000"/>
                <w:sz w:val="18"/>
              </w:rPr>
            </w:pPr>
            <w:r>
              <w:rPr>
                <w:rFonts w:ascii="Arial" w:hAnsi="Arial"/>
                <w:color w:val="000000"/>
                <w:sz w:val="18"/>
              </w:rPr>
              <w:t>Barry M. Monheit (Chair)</w:t>
            </w:r>
          </w:p>
          <w:p>
            <w:pPr>
              <w:pStyle w:val="TableContents"/>
              <w:bidi w:val="0"/>
              <w:ind w:left="0" w:right="0" w:firstLine="173"/>
              <w:jc w:val="both"/>
              <w:rPr>
                <w:rFonts w:ascii="Arial" w:hAnsi="Arial"/>
                <w:color w:val="000000"/>
                <w:sz w:val="18"/>
              </w:rPr>
            </w:pPr>
            <w:r>
              <w:rPr>
                <w:rFonts w:ascii="Arial" w:hAnsi="Arial"/>
                <w:color w:val="000000"/>
                <w:sz w:val="18"/>
              </w:rPr>
              <w:t>Anita D. Britt</w:t>
            </w:r>
          </w:p>
          <w:p>
            <w:pPr>
              <w:pStyle w:val="TableContents"/>
              <w:bidi w:val="0"/>
              <w:ind w:left="0" w:right="0" w:firstLine="173"/>
              <w:jc w:val="both"/>
              <w:rPr>
                <w:rFonts w:ascii="Arial" w:hAnsi="Arial"/>
                <w:color w:val="000000"/>
                <w:sz w:val="18"/>
              </w:rPr>
            </w:pPr>
            <w:r>
              <w:rPr>
                <w:rFonts w:ascii="Arial" w:hAnsi="Arial"/>
                <w:color w:val="000000"/>
                <w:sz w:val="18"/>
              </w:rPr>
              <w:t>Fred M. Diaz</w:t>
            </w:r>
          </w:p>
          <w:p>
            <w:pPr>
              <w:pStyle w:val="TableContents"/>
              <w:bidi w:val="0"/>
              <w:ind w:left="0" w:right="0" w:firstLine="173"/>
              <w:jc w:val="both"/>
              <w:rPr>
                <w:rFonts w:ascii="Arial" w:hAnsi="Arial"/>
                <w:color w:val="000000"/>
                <w:sz w:val="18"/>
              </w:rPr>
            </w:pPr>
            <w:r>
              <w:rPr>
                <w:rFonts w:ascii="Arial" w:hAnsi="Arial"/>
                <w:color w:val="000000"/>
                <w:sz w:val="18"/>
              </w:rPr>
              <w:t>Michelle J. Lohmeier</w:t>
            </w:r>
          </w:p>
          <w:p>
            <w:pPr>
              <w:pStyle w:val="TableContents"/>
              <w:bidi w:val="0"/>
              <w:ind w:left="0" w:right="0" w:firstLine="173"/>
              <w:jc w:val="both"/>
              <w:rPr/>
            </w:pPr>
            <w:r>
              <w:rPr/>
              <w:t> </w:t>
            </w:r>
          </w:p>
          <w:p>
            <w:pPr>
              <w:pStyle w:val="TableContents"/>
              <w:bidi w:val="0"/>
              <w:ind w:left="0" w:right="0" w:firstLine="173"/>
              <w:jc w:val="both"/>
              <w:rPr>
                <w:rFonts w:ascii="Arial" w:hAnsi="Arial"/>
                <w:b/>
                <w:color w:val="002668"/>
                <w:sz w:val="20"/>
              </w:rPr>
            </w:pPr>
            <w:r>
              <w:rPr>
                <w:rFonts w:ascii="Arial" w:hAnsi="Arial"/>
                <w:b/>
                <w:color w:val="002668"/>
                <w:sz w:val="20"/>
              </w:rPr>
              <w:t>Meetings in Fiscal 2026: 5</w:t>
            </w:r>
          </w:p>
          <w:p>
            <w:pPr>
              <w:pStyle w:val="TableContents"/>
              <w:bidi w:val="0"/>
              <w:ind w:left="0" w:right="0" w:firstLine="173"/>
              <w:jc w:val="both"/>
              <w:rPr/>
            </w:pPr>
            <w:r>
              <w:rPr/>
              <w:t> </w:t>
            </w:r>
          </w:p>
          <w:p>
            <w:pPr>
              <w:pStyle w:val="TableContents"/>
              <w:bidi w:val="0"/>
              <w:ind w:left="0" w:right="0" w:firstLine="173"/>
              <w:jc w:val="both"/>
              <w:rPr>
                <w:rFonts w:ascii="Arial" w:hAnsi="Arial"/>
                <w:b/>
                <w:color w:val="002668"/>
                <w:sz w:val="20"/>
              </w:rPr>
            </w:pPr>
            <w:r>
              <w:rPr>
                <w:rFonts w:ascii="Arial" w:hAnsi="Arial"/>
                <w:b/>
                <w:color w:val="002668"/>
                <w:sz w:val="20"/>
              </w:rPr>
              <w:t>Member Independence: 4 of 4</w:t>
            </w:r>
          </w:p>
          <w:p>
            <w:pPr>
              <w:pStyle w:val="TableContents"/>
              <w:bidi w:val="0"/>
              <w:ind w:left="0" w:right="0" w:firstLine="173"/>
              <w:jc w:val="both"/>
              <w:rPr/>
            </w:pPr>
            <w:r>
              <w:rPr/>
              <w:t> </w:t>
            </w:r>
          </w:p>
          <w:p>
            <w:pPr>
              <w:pStyle w:val="TableContents"/>
              <w:bidi w:val="0"/>
              <w:spacing w:before="0" w:after="283"/>
              <w:ind w:left="0" w:right="0" w:firstLine="173"/>
              <w:jc w:val="both"/>
              <w:rPr>
                <w:rFonts w:ascii="Arial" w:hAnsi="Arial"/>
                <w:color w:val="000000"/>
                <w:sz w:val="16"/>
              </w:rPr>
            </w:pPr>
            <w:r>
              <w:rPr>
                <w:rFonts w:ascii="Arial" w:hAnsi="Arial"/>
                <w:color w:val="000000"/>
                <w:sz w:val="16"/>
              </w:rPr>
              <w:t>* All members meet the independence requirements of Nasdaq and qualify as “non-employee directors” under Rule 16b-3(b)(3)(i) of the Exchange Act.</w:t>
            </w:r>
          </w:p>
        </w:tc>
        <w:tc>
          <w:tcPr>
            <w:tcW w:w="5157" w:type="dxa"/>
            <w:tcBorders>
              <w:bottom w:val="single" w:sz="6" w:space="0" w:color="404041"/>
              <w:right w:val="single" w:sz="6" w:space="0" w:color="404041"/>
            </w:tcBorders>
            <w:tcMar>
              <w:top w:w="0" w:type="dxa"/>
              <w:left w:w="0" w:type="dxa"/>
            </w:tcMar>
            <w:vAlign w:val="center"/>
          </w:tcPr>
          <w:p>
            <w:pPr>
              <w:pStyle w:val="TableContents"/>
              <w:bidi w:val="0"/>
              <w:spacing w:before="240" w:after="283"/>
              <w:jc w:val="both"/>
              <w:rPr>
                <w:rFonts w:ascii="Arial" w:hAnsi="Arial"/>
                <w:b/>
                <w:color w:val="002668"/>
                <w:sz w:val="20"/>
              </w:rPr>
            </w:pPr>
            <w:r>
              <w:rPr>
                <w:rFonts w:ascii="Arial" w:hAnsi="Arial"/>
                <w:b/>
                <w:color w:val="002668"/>
                <w:sz w:val="20"/>
              </w:rPr>
              <w:t>Purpose:</w:t>
            </w:r>
          </w:p>
          <w:p>
            <w:pPr>
              <w:pStyle w:val="TableContents"/>
              <w:bidi w:val="0"/>
              <w:spacing w:before="0" w:after="120"/>
              <w:jc w:val="left"/>
              <w:rPr>
                <w:rFonts w:ascii="Times New Roman" w:hAnsi="Times New Roman"/>
                <w:sz w:val="18"/>
              </w:rPr>
            </w:pPr>
            <w:r>
              <w:rPr>
                <w:rFonts w:ascii="Arial" w:hAnsi="Arial"/>
                <w:color w:val="1F497D"/>
                <w:sz w:val="18"/>
              </w:rPr>
              <w:t xml:space="preserve"> </w:t>
            </w:r>
            <w:r>
              <w:rPr>
                <w:rFonts w:ascii="Arial" w:hAnsi="Arial"/>
                <w:color w:val="000000"/>
                <w:sz w:val="18"/>
              </w:rPr>
              <w:t>Determining, or recommending to the Board for determination, the compensation of our CEO and other executive officers.</w:t>
            </w:r>
          </w:p>
          <w:p>
            <w:pPr>
              <w:pStyle w:val="TableContents"/>
              <w:bidi w:val="0"/>
              <w:spacing w:before="0" w:after="120"/>
              <w:jc w:val="left"/>
              <w:rPr>
                <w:rFonts w:ascii="Times New Roman" w:hAnsi="Times New Roman"/>
                <w:sz w:val="18"/>
              </w:rPr>
            </w:pPr>
            <w:r>
              <w:rPr>
                <w:rFonts w:ascii="Arial" w:hAnsi="Arial"/>
                <w:color w:val="1F497D"/>
                <w:sz w:val="18"/>
              </w:rPr>
              <w:t xml:space="preserve"> </w:t>
            </w:r>
            <w:r>
              <w:rPr>
                <w:rFonts w:ascii="Arial" w:hAnsi="Arial"/>
                <w:color w:val="000000"/>
                <w:sz w:val="18"/>
              </w:rPr>
              <w:t>Discharging the Board’s responsibilities relating to our compensation programs and compensation of our executives.</w:t>
            </w:r>
          </w:p>
          <w:p>
            <w:pPr>
              <w:pStyle w:val="TableContents"/>
              <w:bidi w:val="0"/>
              <w:spacing w:before="0" w:after="120"/>
              <w:jc w:val="left"/>
              <w:rPr>
                <w:rFonts w:ascii="Times New Roman" w:hAnsi="Times New Roman"/>
                <w:sz w:val="18"/>
              </w:rPr>
            </w:pPr>
            <w:r>
              <w:rPr>
                <w:rFonts w:ascii="Arial" w:hAnsi="Arial"/>
                <w:color w:val="1F497D"/>
                <w:sz w:val="18"/>
              </w:rPr>
              <w:t xml:space="preserve"> </w:t>
            </w:r>
            <w:r>
              <w:rPr>
                <w:rFonts w:ascii="Arial" w:hAnsi="Arial"/>
                <w:color w:val="000000"/>
                <w:sz w:val="18"/>
              </w:rPr>
              <w:t>Producing an annual compensation committee report on executive compensation for inclusion in our annual proxy statement.</w:t>
            </w:r>
          </w:p>
          <w:p>
            <w:pPr>
              <w:pStyle w:val="TableContents"/>
              <w:bidi w:val="0"/>
              <w:jc w:val="both"/>
              <w:rPr>
                <w:rFonts w:ascii="Arial" w:hAnsi="Arial"/>
                <w:b/>
                <w:color w:val="002668"/>
                <w:sz w:val="20"/>
              </w:rPr>
            </w:pPr>
            <w:r>
              <w:rPr>
                <w:rFonts w:ascii="Arial" w:hAnsi="Arial"/>
                <w:b/>
                <w:color w:val="002668"/>
                <w:sz w:val="20"/>
              </w:rPr>
              <w:t>Principal Responsibilities:</w:t>
            </w:r>
          </w:p>
          <w:p>
            <w:pPr>
              <w:pStyle w:val="TableContents"/>
              <w:bidi w:val="0"/>
              <w:spacing w:before="0" w:after="120"/>
              <w:jc w:val="left"/>
              <w:rPr>
                <w:rFonts w:ascii="Times New Roman" w:hAnsi="Times New Roman"/>
                <w:sz w:val="18"/>
              </w:rPr>
            </w:pPr>
            <w:r>
              <w:rPr>
                <w:rFonts w:ascii="Arial" w:hAnsi="Arial"/>
                <w:color w:val="1F497D"/>
                <w:sz w:val="18"/>
              </w:rPr>
              <w:t xml:space="preserve"> </w:t>
            </w:r>
            <w:r>
              <w:rPr>
                <w:rFonts w:ascii="Arial" w:hAnsi="Arial"/>
                <w:color w:val="000000"/>
                <w:sz w:val="18"/>
              </w:rPr>
              <w:t>Setting compensation for executive officers and directors.</w:t>
            </w:r>
          </w:p>
          <w:p>
            <w:pPr>
              <w:pStyle w:val="TableContents"/>
              <w:bidi w:val="0"/>
              <w:spacing w:before="0" w:after="120"/>
              <w:jc w:val="left"/>
              <w:rPr>
                <w:rFonts w:ascii="Times New Roman" w:hAnsi="Times New Roman"/>
                <w:sz w:val="18"/>
              </w:rPr>
            </w:pPr>
            <w:r>
              <w:rPr>
                <w:rFonts w:ascii="Arial" w:hAnsi="Arial"/>
                <w:color w:val="1F497D"/>
                <w:sz w:val="18"/>
              </w:rPr>
              <w:t xml:space="preserve"> </w:t>
            </w:r>
            <w:r>
              <w:rPr>
                <w:rFonts w:ascii="Arial" w:hAnsi="Arial"/>
                <w:color w:val="000000"/>
                <w:sz w:val="18"/>
              </w:rPr>
              <w:t>Monitoring incentive- and equity-based compensation plans.</w:t>
            </w:r>
          </w:p>
          <w:p>
            <w:pPr>
              <w:pStyle w:val="TableContents"/>
              <w:bidi w:val="0"/>
              <w:spacing w:before="0" w:after="120"/>
              <w:jc w:val="left"/>
              <w:rPr>
                <w:rFonts w:ascii="Times New Roman" w:hAnsi="Times New Roman"/>
                <w:sz w:val="18"/>
              </w:rPr>
            </w:pPr>
            <w:r>
              <w:rPr>
                <w:rFonts w:ascii="Arial" w:hAnsi="Arial"/>
                <w:color w:val="1F497D"/>
                <w:sz w:val="18"/>
              </w:rPr>
              <w:t xml:space="preserve"> </w:t>
            </w:r>
            <w:r>
              <w:rPr>
                <w:rFonts w:ascii="Arial" w:hAnsi="Arial"/>
                <w:color w:val="000000"/>
                <w:sz w:val="18"/>
              </w:rPr>
              <w:t>Appointing, compensating, and overseeing the work of any compensation consultant, legal counsel, and other retained advisor.</w:t>
            </w:r>
          </w:p>
        </w:tc>
      </w:tr>
    </w:tbl>
    <w:p>
      <w:pPr>
        <w:pStyle w:val="TextBody"/>
        <w:bidi w:val="0"/>
        <w:jc w:val="left"/>
        <w:rPr/>
      </w:pPr>
      <w:r>
        <w:rPr/>
        <w:t> </w:t>
      </w:r>
    </w:p>
    <w:tbl>
      <w:tblPr>
        <w:tblW w:w="3702" w:type="dxa"/>
        <w:jc w:val="left"/>
        <w:tblInd w:w="0" w:type="dxa"/>
        <w:tblLayout w:type="fixed"/>
        <w:tblCellMar>
          <w:top w:w="28" w:type="dxa"/>
          <w:left w:w="28" w:type="dxa"/>
          <w:bottom w:w="28" w:type="dxa"/>
          <w:right w:w="28" w:type="dxa"/>
        </w:tblCellMar>
      </w:tblPr>
      <w:tblGrid>
        <w:gridCol w:w="2266"/>
        <w:gridCol w:w="1436"/>
      </w:tblGrid>
      <w:tr>
        <w:trPr/>
        <w:tc>
          <w:tcPr>
            <w:tcW w:w="2266"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2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91F2C"/>
                <w:sz w:val="18"/>
              </w:rPr>
              <w:t>11</w:t>
            </w:r>
            <w:r>
              <w:rPr>
                <w:rFonts w:ascii="Times New Roman" w:hAnsi="Times New Roman"/>
                <w:color w:val="091F2C"/>
                <w:sz w:val="18"/>
              </w:rPr>
              <w:t> </w:t>
            </w:r>
            <w:r>
              <w:rPr>
                <w:rFonts w:ascii="Arial" w:hAnsi="Arial"/>
                <w:color w:val="091F2C"/>
                <w:sz w:val="18"/>
              </w:rPr>
              <w:t>I 2026 Proxy Statement</w:t>
            </w:r>
          </w:p>
        </w:tc>
        <w:tc>
          <w:tcPr>
            <w:tcW w:w="143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828675" cy="1905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828675" cy="190500"/>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3027" w:type="dxa"/>
        <w:jc w:val="left"/>
        <w:tblInd w:w="0" w:type="dxa"/>
        <w:tblLayout w:type="fixed"/>
        <w:tblCellMar>
          <w:top w:w="28" w:type="dxa"/>
          <w:left w:w="28" w:type="dxa"/>
          <w:bottom w:w="28" w:type="dxa"/>
          <w:right w:w="28" w:type="dxa"/>
        </w:tblCellMar>
      </w:tblPr>
      <w:tblGrid>
        <w:gridCol w:w="2836"/>
        <w:gridCol w:w="191"/>
      </w:tblGrid>
      <w:tr>
        <w:trPr/>
        <w:tc>
          <w:tcPr>
            <w:tcW w:w="28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36" w:type="dxa"/>
            <w:tcBorders/>
            <w:tcMar>
              <w:top w:w="0" w:type="dxa"/>
              <w:left w:w="0" w:type="dxa"/>
              <w:bottom w:w="0" w:type="dxa"/>
              <w:right w:w="0" w:type="dxa"/>
            </w:tcMar>
            <w:vAlign w:val="center"/>
          </w:tcPr>
          <w:p>
            <w:pPr>
              <w:pStyle w:val="TableContents"/>
              <w:bidi w:val="0"/>
              <w:spacing w:before="0" w:after="283"/>
              <w:jc w:val="left"/>
              <w:rPr>
                <w:rFonts w:ascii="Arial" w:hAnsi="Arial"/>
                <w:color w:val="002668"/>
                <w:sz w:val="20"/>
              </w:rPr>
            </w:pPr>
            <w:r>
              <w:rPr>
                <w:rFonts w:ascii="Arial" w:hAnsi="Arial"/>
                <w:color w:val="002668"/>
                <w:sz w:val="20"/>
              </w:rPr>
              <w:t>Board and Governance Matters</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836" w:type="dxa"/>
            <w:tcBorders>
              <w:bottom w:val="single" w:sz="8" w:space="0" w:color="002668"/>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628"/>
        <w:gridCol w:w="6577"/>
      </w:tblGrid>
      <w:tr>
        <w:trPr/>
        <w:tc>
          <w:tcPr>
            <w:tcW w:w="3628" w:type="dxa"/>
            <w:tcBorders/>
            <w:vAlign w:val="center"/>
          </w:tcPr>
          <w:p>
            <w:pPr>
              <w:pStyle w:val="TableContents"/>
              <w:bidi w:val="0"/>
              <w:spacing w:before="0" w:after="283"/>
              <w:jc w:val="left"/>
              <w:rPr>
                <w:sz w:val="4"/>
                <w:szCs w:val="4"/>
              </w:rPr>
            </w:pPr>
            <w:r>
              <w:rPr>
                <w:sz w:val="4"/>
                <w:szCs w:val="4"/>
              </w:rPr>
            </w:r>
          </w:p>
        </w:tc>
        <w:tc>
          <w:tcPr>
            <w:tcW w:w="6577" w:type="dxa"/>
            <w:tcBorders/>
            <w:vAlign w:val="center"/>
          </w:tcPr>
          <w:p>
            <w:pPr>
              <w:pStyle w:val="TableContents"/>
              <w:bidi w:val="0"/>
              <w:spacing w:before="0" w:after="283"/>
              <w:ind w:left="0" w:right="0" w:firstLine="173"/>
              <w:jc w:val="left"/>
              <w:rPr>
                <w:sz w:val="4"/>
                <w:szCs w:val="4"/>
              </w:rPr>
            </w:pPr>
            <w:r>
              <w:rPr>
                <w:sz w:val="4"/>
                <w:szCs w:val="4"/>
              </w:rPr>
            </w:r>
          </w:p>
        </w:tc>
      </w:tr>
      <w:tr>
        <w:trPr/>
        <w:tc>
          <w:tcPr>
            <w:tcW w:w="3628" w:type="dxa"/>
            <w:tcBorders>
              <w:top w:val="single" w:sz="6" w:space="0" w:color="404041"/>
              <w:left w:val="single" w:sz="6" w:space="0" w:color="404041"/>
              <w:bottom w:val="single" w:sz="6" w:space="0" w:color="404041"/>
            </w:tcBorders>
            <w:shd w:fill="D9D9D9" w:val="clear"/>
            <w:tcMar>
              <w:right w:w="0" w:type="dxa"/>
            </w:tcMar>
            <w:vAlign w:val="center"/>
          </w:tcPr>
          <w:p>
            <w:pPr>
              <w:pStyle w:val="TableContents"/>
              <w:bidi w:val="0"/>
              <w:spacing w:before="240" w:after="283"/>
              <w:ind w:left="0" w:right="0" w:firstLine="173"/>
              <w:jc w:val="both"/>
              <w:rPr>
                <w:rFonts w:ascii="Arial" w:hAnsi="Arial"/>
                <w:b/>
                <w:color w:val="002668"/>
                <w:sz w:val="20"/>
              </w:rPr>
            </w:pPr>
            <w:r>
              <w:rPr>
                <w:rFonts w:ascii="Arial" w:hAnsi="Arial"/>
                <w:b/>
                <w:color w:val="002668"/>
                <w:sz w:val="20"/>
              </w:rPr>
              <w:t>NCG COMMITTEE</w:t>
            </w:r>
          </w:p>
          <w:p>
            <w:pPr>
              <w:pStyle w:val="TableContents"/>
              <w:bidi w:val="0"/>
              <w:ind w:left="0" w:right="0" w:firstLine="173"/>
              <w:jc w:val="both"/>
              <w:rPr>
                <w:rFonts w:ascii="Arial" w:hAnsi="Arial"/>
                <w:b/>
                <w:color w:val="002668"/>
                <w:sz w:val="20"/>
              </w:rPr>
            </w:pPr>
            <w:r>
              <w:rPr>
                <w:rFonts w:ascii="Arial" w:hAnsi="Arial"/>
                <w:b/>
                <w:color w:val="002668"/>
                <w:sz w:val="20"/>
              </w:rPr>
              <w:t>Members:</w:t>
            </w:r>
          </w:p>
          <w:p>
            <w:pPr>
              <w:pStyle w:val="TableContents"/>
              <w:bidi w:val="0"/>
              <w:ind w:left="0" w:right="0" w:firstLine="173"/>
              <w:jc w:val="both"/>
              <w:rPr>
                <w:rFonts w:ascii="Arial" w:hAnsi="Arial"/>
                <w:color w:val="000000"/>
                <w:sz w:val="18"/>
              </w:rPr>
            </w:pPr>
            <w:r>
              <w:rPr>
                <w:rFonts w:ascii="Arial" w:hAnsi="Arial"/>
                <w:color w:val="000000"/>
                <w:sz w:val="18"/>
              </w:rPr>
              <w:t>Denis G. Suggs (Chair)</w:t>
            </w:r>
          </w:p>
          <w:p>
            <w:pPr>
              <w:pStyle w:val="TableContents"/>
              <w:bidi w:val="0"/>
              <w:ind w:left="0" w:right="0" w:firstLine="173"/>
              <w:jc w:val="both"/>
              <w:rPr>
                <w:rFonts w:ascii="Arial" w:hAnsi="Arial"/>
                <w:color w:val="000000"/>
                <w:sz w:val="18"/>
              </w:rPr>
            </w:pPr>
            <w:r>
              <w:rPr>
                <w:rFonts w:ascii="Arial" w:hAnsi="Arial"/>
                <w:color w:val="000000"/>
                <w:sz w:val="18"/>
              </w:rPr>
              <w:t>Fred M. Diaz</w:t>
            </w:r>
          </w:p>
          <w:p>
            <w:pPr>
              <w:pStyle w:val="TableContents"/>
              <w:bidi w:val="0"/>
              <w:ind w:left="0" w:right="0" w:firstLine="173"/>
              <w:jc w:val="both"/>
              <w:rPr>
                <w:rFonts w:ascii="Arial" w:hAnsi="Arial"/>
                <w:color w:val="000000"/>
                <w:sz w:val="18"/>
              </w:rPr>
            </w:pPr>
            <w:r>
              <w:rPr>
                <w:rFonts w:ascii="Arial" w:hAnsi="Arial"/>
                <w:color w:val="000000"/>
                <w:sz w:val="18"/>
              </w:rPr>
              <w:t>Barry M. Monheit</w:t>
            </w:r>
          </w:p>
          <w:p>
            <w:pPr>
              <w:pStyle w:val="TableContents"/>
              <w:bidi w:val="0"/>
              <w:ind w:left="0" w:right="0" w:firstLine="173"/>
              <w:jc w:val="both"/>
              <w:rPr>
                <w:rFonts w:ascii="Arial" w:hAnsi="Arial"/>
                <w:color w:val="000000"/>
                <w:sz w:val="18"/>
              </w:rPr>
            </w:pPr>
            <w:r>
              <w:rPr>
                <w:rFonts w:ascii="Arial" w:hAnsi="Arial"/>
                <w:color w:val="000000"/>
                <w:sz w:val="18"/>
              </w:rPr>
              <w:t>Robert L. Scott</w:t>
            </w:r>
          </w:p>
          <w:p>
            <w:pPr>
              <w:pStyle w:val="TableContents"/>
              <w:bidi w:val="0"/>
              <w:ind w:left="0" w:right="0" w:firstLine="173"/>
              <w:jc w:val="both"/>
              <w:rPr/>
            </w:pPr>
            <w:r>
              <w:rPr/>
              <w:t> </w:t>
            </w:r>
          </w:p>
          <w:p>
            <w:pPr>
              <w:pStyle w:val="TableContents"/>
              <w:bidi w:val="0"/>
              <w:ind w:left="0" w:right="0" w:firstLine="173"/>
              <w:jc w:val="both"/>
              <w:rPr/>
            </w:pPr>
            <w:r>
              <w:rPr/>
              <w:t> </w:t>
            </w:r>
          </w:p>
          <w:p>
            <w:pPr>
              <w:pStyle w:val="TableContents"/>
              <w:bidi w:val="0"/>
              <w:ind w:left="0" w:right="0" w:firstLine="173"/>
              <w:jc w:val="both"/>
              <w:rPr>
                <w:rFonts w:ascii="Arial" w:hAnsi="Arial"/>
                <w:b/>
                <w:color w:val="002668"/>
                <w:sz w:val="20"/>
              </w:rPr>
            </w:pPr>
            <w:r>
              <w:rPr>
                <w:rFonts w:ascii="Arial" w:hAnsi="Arial"/>
                <w:b/>
                <w:color w:val="002668"/>
                <w:sz w:val="20"/>
              </w:rPr>
              <w:t>Meetings in Fiscal 2026: 4</w:t>
            </w:r>
          </w:p>
          <w:p>
            <w:pPr>
              <w:pStyle w:val="TableContents"/>
              <w:bidi w:val="0"/>
              <w:ind w:left="0" w:right="0" w:firstLine="173"/>
              <w:jc w:val="both"/>
              <w:rPr/>
            </w:pPr>
            <w:r>
              <w:rPr/>
              <w:t> </w:t>
            </w:r>
          </w:p>
          <w:p>
            <w:pPr>
              <w:pStyle w:val="TableContents"/>
              <w:bidi w:val="0"/>
              <w:ind w:left="0" w:right="0" w:firstLine="173"/>
              <w:jc w:val="both"/>
              <w:rPr>
                <w:rFonts w:ascii="Arial" w:hAnsi="Arial"/>
                <w:b/>
                <w:color w:val="002668"/>
                <w:sz w:val="20"/>
              </w:rPr>
            </w:pPr>
            <w:r>
              <w:rPr>
                <w:rFonts w:ascii="Arial" w:hAnsi="Arial"/>
                <w:b/>
                <w:color w:val="002668"/>
                <w:sz w:val="20"/>
              </w:rPr>
              <w:t>Member Independence: 4 of 4</w:t>
            </w:r>
          </w:p>
          <w:p>
            <w:pPr>
              <w:pStyle w:val="TableContents"/>
              <w:bidi w:val="0"/>
              <w:ind w:left="0" w:right="0" w:firstLine="173"/>
              <w:jc w:val="both"/>
              <w:rPr/>
            </w:pPr>
            <w:r>
              <w:rPr/>
              <w:t> </w:t>
            </w:r>
          </w:p>
          <w:p>
            <w:pPr>
              <w:pStyle w:val="TableContents"/>
              <w:bidi w:val="0"/>
              <w:spacing w:before="0" w:after="240"/>
              <w:ind w:left="0" w:right="0" w:firstLine="173"/>
              <w:jc w:val="left"/>
              <w:rPr>
                <w:rFonts w:ascii="Arial" w:hAnsi="Arial"/>
                <w:color w:val="000000"/>
                <w:sz w:val="16"/>
              </w:rPr>
            </w:pPr>
            <w:r>
              <w:rPr>
                <w:rFonts w:ascii="Arial" w:hAnsi="Arial"/>
                <w:color w:val="000000"/>
                <w:sz w:val="16"/>
              </w:rPr>
              <w:t>* All members meet the independence requirements of Nasdaq.</w:t>
            </w:r>
          </w:p>
        </w:tc>
        <w:tc>
          <w:tcPr>
            <w:tcW w:w="6577" w:type="dxa"/>
            <w:tcBorders>
              <w:top w:val="single" w:sz="6" w:space="0" w:color="404041"/>
              <w:bottom w:val="single" w:sz="6" w:space="0" w:color="404041"/>
              <w:right w:val="single" w:sz="6" w:space="0" w:color="404041"/>
            </w:tcBorders>
            <w:shd w:fill="D9D9D9" w:val="clear"/>
            <w:tcMar>
              <w:left w:w="0" w:type="dxa"/>
            </w:tcMar>
            <w:vAlign w:val="center"/>
          </w:tcPr>
          <w:p>
            <w:pPr>
              <w:pStyle w:val="TableContents"/>
              <w:bidi w:val="0"/>
              <w:spacing w:before="240" w:after="283"/>
              <w:jc w:val="both"/>
              <w:rPr>
                <w:rFonts w:ascii="Arial" w:hAnsi="Arial"/>
                <w:b/>
                <w:color w:val="002668"/>
                <w:sz w:val="18"/>
              </w:rPr>
            </w:pPr>
            <w:r>
              <w:rPr>
                <w:rFonts w:ascii="Arial" w:hAnsi="Arial"/>
                <w:b/>
                <w:color w:val="002668"/>
                <w:sz w:val="18"/>
              </w:rPr>
              <w:t>Purpose:</w:t>
            </w:r>
          </w:p>
          <w:p>
            <w:pPr>
              <w:pStyle w:val="TableContents"/>
              <w:bidi w:val="0"/>
              <w:spacing w:before="0" w:after="120"/>
              <w:jc w:val="left"/>
              <w:rPr>
                <w:rFonts w:ascii="Times New Roman" w:hAnsi="Times New Roman"/>
                <w:sz w:val="18"/>
              </w:rPr>
            </w:pPr>
            <w:r>
              <w:rPr>
                <w:rFonts w:ascii="Arial" w:hAnsi="Arial"/>
                <w:color w:val="1F497D"/>
                <w:sz w:val="18"/>
              </w:rPr>
              <w:t xml:space="preserve"> </w:t>
            </w:r>
            <w:r>
              <w:rPr>
                <w:rFonts w:ascii="Arial" w:hAnsi="Arial"/>
                <w:color w:val="000000"/>
                <w:sz w:val="18"/>
              </w:rPr>
              <w:t>Selecting, or recommending to the Board for selection, the individuals to stand for election as directors at each election of directors.</w:t>
            </w:r>
          </w:p>
          <w:p>
            <w:pPr>
              <w:pStyle w:val="TableContents"/>
              <w:bidi w:val="0"/>
              <w:spacing w:before="0" w:after="120"/>
              <w:jc w:val="both"/>
              <w:rPr>
                <w:rFonts w:ascii="Times New Roman" w:hAnsi="Times New Roman"/>
                <w:sz w:val="18"/>
              </w:rPr>
            </w:pPr>
            <w:r>
              <w:rPr>
                <w:rFonts w:ascii="Arial" w:hAnsi="Arial"/>
                <w:color w:val="1F497D"/>
                <w:sz w:val="18"/>
              </w:rPr>
              <w:t xml:space="preserve"> </w:t>
            </w:r>
            <w:r>
              <w:rPr>
                <w:rFonts w:ascii="Arial" w:hAnsi="Arial"/>
                <w:color w:val="000000"/>
                <w:sz w:val="18"/>
              </w:rPr>
              <w:t>Overseeing the selection and composition of Board committees and, as applicable, overseeing management continuity planning processes.</w:t>
            </w:r>
          </w:p>
          <w:p>
            <w:pPr>
              <w:pStyle w:val="TableContents"/>
              <w:bidi w:val="0"/>
              <w:jc w:val="both"/>
              <w:rPr/>
            </w:pPr>
            <w:r>
              <w:rPr/>
              <w:t> </w:t>
            </w:r>
          </w:p>
          <w:p>
            <w:pPr>
              <w:pStyle w:val="TableContents"/>
              <w:bidi w:val="0"/>
              <w:jc w:val="both"/>
              <w:rPr>
                <w:rFonts w:ascii="Arial" w:hAnsi="Arial"/>
                <w:b/>
                <w:color w:val="002668"/>
                <w:sz w:val="18"/>
              </w:rPr>
            </w:pPr>
            <w:r>
              <w:rPr>
                <w:rFonts w:ascii="Arial" w:hAnsi="Arial"/>
                <w:b/>
                <w:color w:val="002668"/>
                <w:sz w:val="18"/>
              </w:rPr>
              <w:t>Principal Responsibilities:</w:t>
            </w:r>
          </w:p>
          <w:p>
            <w:pPr>
              <w:pStyle w:val="TableContents"/>
              <w:bidi w:val="0"/>
              <w:spacing w:before="0" w:after="120"/>
              <w:jc w:val="left"/>
              <w:rPr>
                <w:rFonts w:ascii="Times New Roman" w:hAnsi="Times New Roman"/>
                <w:sz w:val="18"/>
              </w:rPr>
            </w:pPr>
            <w:r>
              <w:rPr>
                <w:rFonts w:ascii="Arial" w:hAnsi="Arial"/>
                <w:color w:val="1F497D"/>
                <w:sz w:val="18"/>
              </w:rPr>
              <w:t xml:space="preserve"> </w:t>
            </w:r>
            <w:r>
              <w:rPr>
                <w:rFonts w:ascii="Arial" w:hAnsi="Arial"/>
                <w:color w:val="000000"/>
                <w:sz w:val="18"/>
              </w:rPr>
              <w:t>Developing and recommending to the Board corporate governance principles applicable to us.</w:t>
            </w:r>
          </w:p>
          <w:p>
            <w:pPr>
              <w:pStyle w:val="TableContents"/>
              <w:bidi w:val="0"/>
              <w:spacing w:before="0" w:after="120"/>
              <w:jc w:val="both"/>
              <w:rPr>
                <w:rFonts w:ascii="Times New Roman" w:hAnsi="Times New Roman"/>
                <w:sz w:val="18"/>
              </w:rPr>
            </w:pPr>
            <w:r>
              <w:rPr>
                <w:rFonts w:ascii="Arial" w:hAnsi="Arial"/>
                <w:color w:val="1F497D"/>
                <w:sz w:val="18"/>
              </w:rPr>
              <w:t xml:space="preserve"> </w:t>
            </w:r>
            <w:r>
              <w:rPr>
                <w:rFonts w:ascii="Arial" w:hAnsi="Arial"/>
                <w:color w:val="000000"/>
                <w:sz w:val="18"/>
              </w:rPr>
              <w:t>Overseeing the evaluation of the Board and management.</w:t>
            </w:r>
          </w:p>
          <w:p>
            <w:pPr>
              <w:pStyle w:val="TableContents"/>
              <w:bidi w:val="0"/>
              <w:spacing w:before="0" w:after="120"/>
              <w:jc w:val="both"/>
              <w:rPr>
                <w:rFonts w:ascii="Times New Roman" w:hAnsi="Times New Roman"/>
                <w:sz w:val="18"/>
              </w:rPr>
            </w:pPr>
            <w:r>
              <w:rPr>
                <w:rFonts w:ascii="Arial" w:hAnsi="Arial"/>
                <w:color w:val="1F497D"/>
                <w:sz w:val="18"/>
              </w:rPr>
              <w:t xml:space="preserve"> </w:t>
            </w:r>
            <w:r>
              <w:rPr>
                <w:rFonts w:ascii="Times New Roman" w:hAnsi="Times New Roman"/>
                <w:color w:val="000000"/>
                <w:sz w:val="18"/>
              </w:rPr>
              <w:t> </w:t>
            </w:r>
            <w:r>
              <w:rPr>
                <w:rFonts w:ascii="Arial" w:hAnsi="Arial"/>
                <w:color w:val="000000"/>
                <w:sz w:val="18"/>
              </w:rPr>
              <w:t>Maintaining the Skills Matrix.</w:t>
            </w:r>
          </w:p>
        </w:tc>
      </w:tr>
      <w:tr>
        <w:trPr/>
        <w:tc>
          <w:tcPr>
            <w:tcW w:w="3628" w:type="dxa"/>
            <w:tcBorders>
              <w:left w:val="single" w:sz="6" w:space="0" w:color="404041"/>
              <w:bottom w:val="single" w:sz="6" w:space="0" w:color="404041"/>
            </w:tcBorders>
            <w:tcMar>
              <w:top w:w="0" w:type="dxa"/>
              <w:right w:w="0" w:type="dxa"/>
            </w:tcMar>
            <w:vAlign w:val="center"/>
          </w:tcPr>
          <w:p>
            <w:pPr>
              <w:pStyle w:val="TableContents"/>
              <w:bidi w:val="0"/>
              <w:spacing w:before="240" w:after="283"/>
              <w:jc w:val="both"/>
              <w:rPr>
                <w:color w:val="002668"/>
              </w:rPr>
            </w:pPr>
            <w:r>
              <w:rPr>
                <w:color w:val="002668"/>
              </w:rPr>
              <w:t>   </w:t>
            </w:r>
            <w:r>
              <w:rPr>
                <w:rFonts w:ascii="Arial" w:hAnsi="Arial"/>
                <w:b/>
                <w:color w:val="002668"/>
                <w:sz w:val="20"/>
              </w:rPr>
              <w:t>SUSTAINABILITY COMMITTEE *</w:t>
            </w:r>
          </w:p>
          <w:p>
            <w:pPr>
              <w:pStyle w:val="TableContents"/>
              <w:bidi w:val="0"/>
              <w:jc w:val="both"/>
              <w:rPr/>
            </w:pPr>
            <w:r>
              <w:rPr/>
              <w:t> </w:t>
            </w:r>
          </w:p>
          <w:p>
            <w:pPr>
              <w:pStyle w:val="TableContents"/>
              <w:bidi w:val="0"/>
              <w:jc w:val="both"/>
              <w:rPr>
                <w:rFonts w:ascii="Arial" w:hAnsi="Arial"/>
                <w:b/>
                <w:color w:val="002668"/>
                <w:sz w:val="20"/>
              </w:rPr>
            </w:pPr>
            <w:r>
              <w:rPr>
                <w:rFonts w:ascii="Arial" w:hAnsi="Arial"/>
                <w:b/>
                <w:color w:val="002668"/>
                <w:sz w:val="20"/>
              </w:rPr>
              <w:t>Members:</w:t>
            </w:r>
          </w:p>
          <w:p>
            <w:pPr>
              <w:pStyle w:val="TableContents"/>
              <w:bidi w:val="0"/>
              <w:jc w:val="both"/>
              <w:rPr>
                <w:rFonts w:ascii="Arial" w:hAnsi="Arial"/>
                <w:color w:val="000000"/>
                <w:sz w:val="18"/>
              </w:rPr>
            </w:pPr>
            <w:r>
              <w:rPr>
                <w:rFonts w:ascii="Arial" w:hAnsi="Arial"/>
                <w:color w:val="000000"/>
                <w:sz w:val="18"/>
              </w:rPr>
              <w:t>Fred M. Diaz (Chair)</w:t>
            </w:r>
          </w:p>
          <w:p>
            <w:pPr>
              <w:pStyle w:val="TableContents"/>
              <w:bidi w:val="0"/>
              <w:jc w:val="both"/>
              <w:rPr>
                <w:rFonts w:ascii="Arial" w:hAnsi="Arial"/>
                <w:color w:val="000000"/>
                <w:sz w:val="18"/>
              </w:rPr>
            </w:pPr>
            <w:r>
              <w:rPr>
                <w:rFonts w:ascii="Arial" w:hAnsi="Arial"/>
                <w:color w:val="000000"/>
                <w:sz w:val="18"/>
              </w:rPr>
              <w:t>Anita D. Britt</w:t>
            </w:r>
          </w:p>
          <w:p>
            <w:pPr>
              <w:pStyle w:val="TableContents"/>
              <w:bidi w:val="0"/>
              <w:jc w:val="both"/>
              <w:rPr>
                <w:rFonts w:ascii="Arial" w:hAnsi="Arial"/>
                <w:color w:val="000000"/>
                <w:sz w:val="18"/>
              </w:rPr>
            </w:pPr>
            <w:r>
              <w:rPr>
                <w:rFonts w:ascii="Arial" w:hAnsi="Arial"/>
                <w:color w:val="000000"/>
                <w:sz w:val="18"/>
              </w:rPr>
              <w:t>Michelle J. Lohmeier</w:t>
            </w:r>
          </w:p>
          <w:p>
            <w:pPr>
              <w:pStyle w:val="TableContents"/>
              <w:bidi w:val="0"/>
              <w:jc w:val="both"/>
              <w:rPr>
                <w:rFonts w:ascii="Arial" w:hAnsi="Arial"/>
                <w:b/>
                <w:color w:val="002668"/>
                <w:sz w:val="20"/>
              </w:rPr>
            </w:pPr>
            <w:r>
              <w:rPr>
                <w:rFonts w:ascii="Arial" w:hAnsi="Arial"/>
                <w:b/>
                <w:color w:val="002668"/>
                <w:sz w:val="20"/>
              </w:rPr>
              <w:t>Meetings in Fiscal 2026: 4</w:t>
            </w:r>
          </w:p>
          <w:p>
            <w:pPr>
              <w:pStyle w:val="TableContents"/>
              <w:bidi w:val="0"/>
              <w:jc w:val="both"/>
              <w:rPr/>
            </w:pPr>
            <w:r>
              <w:rPr/>
              <w:t> </w:t>
            </w:r>
          </w:p>
          <w:p>
            <w:pPr>
              <w:pStyle w:val="TableContents"/>
              <w:bidi w:val="0"/>
              <w:jc w:val="both"/>
              <w:rPr>
                <w:rFonts w:ascii="Arial" w:hAnsi="Arial"/>
                <w:b/>
                <w:color w:val="002668"/>
                <w:sz w:val="20"/>
              </w:rPr>
            </w:pPr>
            <w:r>
              <w:rPr>
                <w:rFonts w:ascii="Arial" w:hAnsi="Arial"/>
                <w:b/>
                <w:color w:val="002668"/>
                <w:sz w:val="20"/>
              </w:rPr>
              <w:t>Member Independence: 3 of 3</w:t>
            </w:r>
          </w:p>
          <w:p>
            <w:pPr>
              <w:pStyle w:val="TableContents"/>
              <w:bidi w:val="0"/>
              <w:jc w:val="both"/>
              <w:rPr/>
            </w:pPr>
            <w:r>
              <w:rPr/>
              <w:t> </w:t>
            </w:r>
          </w:p>
          <w:p>
            <w:pPr>
              <w:pStyle w:val="TableContents"/>
              <w:bidi w:val="0"/>
              <w:spacing w:before="0" w:after="120"/>
              <w:jc w:val="left"/>
              <w:rPr/>
            </w:pPr>
            <w:r>
              <w:rPr>
                <w:color w:val="002668"/>
              </w:rPr>
              <w:t>   </w:t>
            </w:r>
            <w:r>
              <w:rPr>
                <w:rFonts w:ascii="Arial" w:hAnsi="Arial"/>
                <w:b/>
                <w:color w:val="002668"/>
                <w:sz w:val="20"/>
              </w:rPr>
              <w:t xml:space="preserve">* </w:t>
            </w:r>
            <w:r>
              <w:rPr>
                <w:rFonts w:ascii="Arial" w:hAnsi="Arial"/>
                <w:color w:val="000000"/>
                <w:sz w:val="18"/>
              </w:rPr>
              <w:t>The Board dissolved the Sustainability Committee effective April 30, 2026.</w:t>
            </w:r>
          </w:p>
          <w:p>
            <w:pPr>
              <w:pStyle w:val="TableContents"/>
              <w:bidi w:val="0"/>
              <w:jc w:val="both"/>
              <w:rPr/>
            </w:pPr>
            <w:r>
              <w:rPr/>
              <w:t> </w:t>
            </w:r>
          </w:p>
          <w:p>
            <w:pPr>
              <w:pStyle w:val="TableContents"/>
              <w:bidi w:val="0"/>
              <w:spacing w:before="0" w:after="283"/>
              <w:jc w:val="both"/>
              <w:rPr/>
            </w:pPr>
            <w:r>
              <w:rPr/>
              <w:t> </w:t>
            </w:r>
          </w:p>
        </w:tc>
        <w:tc>
          <w:tcPr>
            <w:tcW w:w="6577" w:type="dxa"/>
            <w:tcBorders>
              <w:bottom w:val="single" w:sz="6" w:space="0" w:color="404041"/>
              <w:right w:val="single" w:sz="6" w:space="0" w:color="404041"/>
            </w:tcBorders>
            <w:tcMar>
              <w:top w:w="0" w:type="dxa"/>
              <w:left w:w="0" w:type="dxa"/>
            </w:tcMar>
            <w:vAlign w:val="center"/>
          </w:tcPr>
          <w:p>
            <w:pPr>
              <w:pStyle w:val="TableContents"/>
              <w:bidi w:val="0"/>
              <w:spacing w:before="240" w:after="283"/>
              <w:jc w:val="both"/>
              <w:rPr>
                <w:rFonts w:ascii="Arial" w:hAnsi="Arial"/>
                <w:b/>
                <w:color w:val="002668"/>
                <w:sz w:val="18"/>
              </w:rPr>
            </w:pPr>
            <w:r>
              <w:rPr>
                <w:rFonts w:ascii="Arial" w:hAnsi="Arial"/>
                <w:b/>
                <w:color w:val="002668"/>
                <w:sz w:val="18"/>
              </w:rPr>
              <w:t>Purpose:</w:t>
            </w:r>
          </w:p>
          <w:p>
            <w:pPr>
              <w:pStyle w:val="TableContents"/>
              <w:bidi w:val="0"/>
              <w:jc w:val="both"/>
              <w:rPr>
                <w:rFonts w:ascii="Times New Roman" w:hAnsi="Times New Roman"/>
                <w:sz w:val="18"/>
              </w:rPr>
            </w:pPr>
            <w:r>
              <w:rPr>
                <w:rFonts w:ascii="Arial" w:hAnsi="Arial"/>
                <w:color w:val="1F497D"/>
                <w:sz w:val="18"/>
              </w:rPr>
              <w:t xml:space="preserve"> </w:t>
            </w:r>
            <w:r>
              <w:rPr>
                <w:rFonts w:ascii="Arial" w:hAnsi="Arial"/>
                <w:color w:val="000000"/>
                <w:sz w:val="18"/>
              </w:rPr>
              <w:t>Assisting the Board and its committees in fulfilling the oversight responsibilities of the Board with various environmental policies and related operational control matters relevant to us.</w:t>
            </w:r>
          </w:p>
          <w:p>
            <w:pPr>
              <w:pStyle w:val="TableContents"/>
              <w:bidi w:val="0"/>
              <w:spacing w:before="120" w:after="283"/>
              <w:jc w:val="both"/>
              <w:rPr>
                <w:rFonts w:ascii="Arial" w:hAnsi="Arial"/>
                <w:b/>
                <w:color w:val="002668"/>
                <w:sz w:val="18"/>
              </w:rPr>
            </w:pPr>
            <w:r>
              <w:rPr>
                <w:rFonts w:ascii="Arial" w:hAnsi="Arial"/>
                <w:b/>
                <w:color w:val="002668"/>
                <w:sz w:val="18"/>
              </w:rPr>
              <w:t>Principal Responsibilities:</w:t>
            </w:r>
          </w:p>
          <w:p>
            <w:pPr>
              <w:pStyle w:val="TableContents"/>
              <w:bidi w:val="0"/>
              <w:spacing w:before="0" w:after="120"/>
              <w:jc w:val="left"/>
              <w:rPr>
                <w:rFonts w:ascii="Times New Roman" w:hAnsi="Times New Roman"/>
                <w:sz w:val="18"/>
              </w:rPr>
            </w:pPr>
            <w:r>
              <w:rPr>
                <w:rFonts w:ascii="Arial" w:hAnsi="Arial"/>
                <w:color w:val="1F497D"/>
                <w:sz w:val="18"/>
              </w:rPr>
              <w:t xml:space="preserve"> </w:t>
            </w:r>
            <w:r>
              <w:rPr>
                <w:rFonts w:ascii="Arial" w:hAnsi="Arial"/>
                <w:color w:val="000000"/>
                <w:sz w:val="18"/>
              </w:rPr>
              <w:t>Reviewing the status and effectiveness of our environmental initiatives.</w:t>
            </w:r>
          </w:p>
          <w:p>
            <w:pPr>
              <w:pStyle w:val="TableContents"/>
              <w:bidi w:val="0"/>
              <w:spacing w:before="0" w:after="120"/>
              <w:jc w:val="left"/>
              <w:rPr>
                <w:rFonts w:ascii="Times New Roman" w:hAnsi="Times New Roman"/>
                <w:sz w:val="18"/>
              </w:rPr>
            </w:pPr>
            <w:r>
              <w:rPr>
                <w:rFonts w:ascii="Arial" w:hAnsi="Arial"/>
                <w:color w:val="1F497D"/>
                <w:sz w:val="18"/>
              </w:rPr>
              <w:t xml:space="preserve"> </w:t>
            </w:r>
            <w:r>
              <w:rPr>
                <w:rFonts w:ascii="Arial" w:hAnsi="Arial"/>
                <w:color w:val="000000"/>
                <w:sz w:val="18"/>
              </w:rPr>
              <w:t>Reviewing emerging risks and opportunities associated with sustainability.</w:t>
            </w:r>
            <w:r>
              <w:rPr>
                <w:rFonts w:ascii="Times New Roman" w:hAnsi="Times New Roman"/>
                <w:color w:val="000000"/>
                <w:sz w:val="18"/>
              </w:rPr>
              <w:t xml:space="preserve"> </w:t>
            </w:r>
          </w:p>
        </w:tc>
      </w:tr>
    </w:tbl>
    <w:p>
      <w:pPr>
        <w:pStyle w:val="TextBody"/>
        <w:bidi w:val="0"/>
        <w:jc w:val="both"/>
        <w:rPr/>
      </w:pPr>
      <w:r>
        <w:rPr/>
        <w:t> </w:t>
      </w:r>
    </w:p>
    <w:p>
      <w:pPr>
        <w:pStyle w:val="TextBody"/>
        <w:bidi w:val="0"/>
        <w:jc w:val="both"/>
        <w:rPr/>
      </w:pPr>
      <w:r>
        <w:rPr/>
        <w:t> </w:t>
      </w:r>
    </w:p>
    <w:p>
      <w:pPr>
        <w:pStyle w:val="TextBody"/>
        <w:bidi w:val="0"/>
        <w:jc w:val="both"/>
        <w:rPr>
          <w:rFonts w:ascii="Arial" w:hAnsi="Arial"/>
          <w:color w:val="002668"/>
          <w:sz w:val="24"/>
          <w:u w:val="single"/>
        </w:rPr>
      </w:pPr>
      <w:r>
        <w:rPr>
          <w:rFonts w:ascii="Arial" w:hAnsi="Arial"/>
          <w:color w:val="002668"/>
          <w:sz w:val="24"/>
          <w:u w:val="single"/>
        </w:rPr>
        <w:t>Meeting Attendance in Fiscal 2026</w:t>
      </w:r>
    </w:p>
    <w:p>
      <w:pPr>
        <w:pStyle w:val="TextBody"/>
        <w:bidi w:val="0"/>
        <w:jc w:val="both"/>
        <w:rPr>
          <w:rFonts w:ascii="Arial" w:hAnsi="Arial"/>
          <w:color w:val="000000"/>
          <w:sz w:val="20"/>
        </w:rPr>
      </w:pPr>
      <w:r>
        <w:rPr>
          <w:rFonts w:ascii="Arial" w:hAnsi="Arial"/>
          <w:color w:val="000000"/>
          <w:sz w:val="20"/>
        </w:rPr>
        <w:t>In fiscal 2026, the Board held six meetings and its committees held a combined total of 18 meetings. Each director attended 75% or more of the aggregate of all meetings of the Board and the committees on which he or she served. We encourage our directors to attend our annual meetings of stockholders. All directors attended the 2025 Annual Meeting.</w:t>
      </w:r>
    </w:p>
    <w:p>
      <w:pPr>
        <w:pStyle w:val="TextBody"/>
        <w:bidi w:val="0"/>
        <w:spacing w:before="240" w:after="283"/>
        <w:jc w:val="both"/>
        <w:rPr>
          <w:rFonts w:ascii="Arial" w:hAnsi="Arial"/>
          <w:color w:val="002668"/>
          <w:sz w:val="24"/>
          <w:u w:val="single"/>
        </w:rPr>
      </w:pPr>
      <w:r>
        <w:rPr>
          <w:rFonts w:ascii="Arial" w:hAnsi="Arial"/>
          <w:color w:val="002668"/>
          <w:sz w:val="24"/>
          <w:u w:val="single"/>
        </w:rPr>
        <w:t>Executive Sessions</w:t>
      </w:r>
    </w:p>
    <w:p>
      <w:pPr>
        <w:pStyle w:val="TextBody"/>
        <w:bidi w:val="0"/>
        <w:jc w:val="both"/>
        <w:rPr>
          <w:rFonts w:ascii="Arial" w:hAnsi="Arial"/>
          <w:color w:val="000000"/>
          <w:sz w:val="20"/>
        </w:rPr>
      </w:pPr>
      <w:r>
        <w:rPr>
          <w:rFonts w:ascii="Arial" w:hAnsi="Arial"/>
          <w:color w:val="000000"/>
          <w:sz w:val="20"/>
        </w:rPr>
        <w:t>We regularly hold executive sessions in which independent directors meet without the presence or participation of management. Our Chairman serves as the presiding director of these executive sessions during Board meetings, and our committee chairs preside at the sessions held during committee meetings.</w:t>
      </w:r>
    </w:p>
    <w:p>
      <w:pPr>
        <w:pStyle w:val="TextBody"/>
        <w:bidi w:val="0"/>
        <w:spacing w:before="240" w:after="283"/>
        <w:jc w:val="both"/>
        <w:rPr>
          <w:rFonts w:ascii="Arial" w:hAnsi="Arial"/>
          <w:color w:val="002668"/>
          <w:sz w:val="24"/>
          <w:u w:val="single"/>
        </w:rPr>
      </w:pPr>
      <w:r>
        <w:rPr>
          <w:rFonts w:ascii="Arial" w:hAnsi="Arial"/>
          <w:color w:val="002668"/>
          <w:sz w:val="24"/>
          <w:u w:val="single"/>
        </w:rPr>
        <w:t>Right to Call Special Meetings</w:t>
      </w:r>
    </w:p>
    <w:p>
      <w:pPr>
        <w:pStyle w:val="TextBody"/>
        <w:bidi w:val="0"/>
        <w:jc w:val="both"/>
        <w:rPr>
          <w:rFonts w:ascii="Arial" w:hAnsi="Arial"/>
          <w:color w:val="000000"/>
          <w:sz w:val="20"/>
        </w:rPr>
      </w:pPr>
      <w:r>
        <w:rPr>
          <w:rFonts w:ascii="Arial" w:hAnsi="Arial"/>
          <w:color w:val="000000"/>
          <w:sz w:val="20"/>
        </w:rPr>
        <w:t>Our Bylaws provide stockholders owning a combined 25% of our outstanding shares of common stock the right to request a special meeting, provided that a requesting stockholder satisfies the requirements specified in our Bylaws.</w:t>
      </w:r>
    </w:p>
    <w:p>
      <w:pPr>
        <w:pStyle w:val="TextBody"/>
        <w:bidi w:val="0"/>
        <w:jc w:val="left"/>
        <w:rPr/>
      </w:pPr>
      <w:r>
        <w:rPr/>
        <w:t> </w:t>
      </w:r>
    </w:p>
    <w:tbl>
      <w:tblPr>
        <w:tblW w:w="3702" w:type="dxa"/>
        <w:jc w:val="left"/>
        <w:tblInd w:w="0" w:type="dxa"/>
        <w:tblLayout w:type="fixed"/>
        <w:tblCellMar>
          <w:top w:w="28" w:type="dxa"/>
          <w:left w:w="28" w:type="dxa"/>
          <w:bottom w:w="28" w:type="dxa"/>
          <w:right w:w="28" w:type="dxa"/>
        </w:tblCellMar>
      </w:tblPr>
      <w:tblGrid>
        <w:gridCol w:w="2266"/>
        <w:gridCol w:w="1436"/>
      </w:tblGrid>
      <w:tr>
        <w:trPr/>
        <w:tc>
          <w:tcPr>
            <w:tcW w:w="2266"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2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91F2C"/>
                <w:sz w:val="18"/>
              </w:rPr>
              <w:t>12</w:t>
            </w:r>
            <w:r>
              <w:rPr>
                <w:rFonts w:ascii="Times New Roman" w:hAnsi="Times New Roman"/>
                <w:color w:val="091F2C"/>
                <w:sz w:val="18"/>
              </w:rPr>
              <w:t> </w:t>
            </w:r>
            <w:r>
              <w:rPr>
                <w:rFonts w:ascii="Arial" w:hAnsi="Arial"/>
                <w:color w:val="091F2C"/>
                <w:sz w:val="18"/>
              </w:rPr>
              <w:t>I 2026 Proxy Statement</w:t>
            </w:r>
          </w:p>
        </w:tc>
        <w:tc>
          <w:tcPr>
            <w:tcW w:w="143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828675" cy="1905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828675" cy="190500"/>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3027" w:type="dxa"/>
        <w:jc w:val="left"/>
        <w:tblInd w:w="0" w:type="dxa"/>
        <w:tblLayout w:type="fixed"/>
        <w:tblCellMar>
          <w:top w:w="28" w:type="dxa"/>
          <w:left w:w="28" w:type="dxa"/>
          <w:bottom w:w="28" w:type="dxa"/>
          <w:right w:w="28" w:type="dxa"/>
        </w:tblCellMar>
      </w:tblPr>
      <w:tblGrid>
        <w:gridCol w:w="2836"/>
        <w:gridCol w:w="191"/>
      </w:tblGrid>
      <w:tr>
        <w:trPr/>
        <w:tc>
          <w:tcPr>
            <w:tcW w:w="28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36" w:type="dxa"/>
            <w:tcBorders/>
            <w:tcMar>
              <w:top w:w="0" w:type="dxa"/>
              <w:left w:w="0" w:type="dxa"/>
              <w:bottom w:w="0" w:type="dxa"/>
              <w:right w:w="0" w:type="dxa"/>
            </w:tcMar>
            <w:vAlign w:val="center"/>
          </w:tcPr>
          <w:p>
            <w:pPr>
              <w:pStyle w:val="TableContents"/>
              <w:bidi w:val="0"/>
              <w:spacing w:before="0" w:after="283"/>
              <w:jc w:val="left"/>
              <w:rPr>
                <w:rFonts w:ascii="Arial" w:hAnsi="Arial"/>
                <w:color w:val="002668"/>
                <w:sz w:val="20"/>
              </w:rPr>
            </w:pPr>
            <w:r>
              <w:rPr>
                <w:rFonts w:ascii="Arial" w:hAnsi="Arial"/>
                <w:color w:val="002668"/>
                <w:sz w:val="20"/>
              </w:rPr>
              <w:t>Board and Governance Matters</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836" w:type="dxa"/>
            <w:tcBorders>
              <w:bottom w:val="single" w:sz="8" w:space="0" w:color="002668"/>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both"/>
        <w:rPr>
          <w:rFonts w:ascii="Arial" w:hAnsi="Arial"/>
          <w:color w:val="002668"/>
          <w:sz w:val="24"/>
          <w:u w:val="single"/>
        </w:rPr>
      </w:pPr>
      <w:r>
        <w:rPr>
          <w:rFonts w:ascii="Arial" w:hAnsi="Arial"/>
          <w:color w:val="002668"/>
          <w:sz w:val="24"/>
          <w:u w:val="single"/>
        </w:rPr>
        <w:t>Stockholder Engagement</w:t>
      </w:r>
    </w:p>
    <w:p>
      <w:pPr>
        <w:pStyle w:val="TextBody"/>
        <w:bidi w:val="0"/>
        <w:jc w:val="both"/>
        <w:rPr>
          <w:rFonts w:ascii="Arial" w:hAnsi="Arial"/>
          <w:color w:val="000000"/>
          <w:sz w:val="20"/>
        </w:rPr>
      </w:pPr>
      <w:r>
        <w:rPr>
          <w:rFonts w:ascii="Arial" w:hAnsi="Arial"/>
          <w:color w:val="000000"/>
          <w:sz w:val="20"/>
        </w:rPr>
        <w:t>We meet with investors throughout the year and consider investor feedback on emerging issues, which allows us to better understand their priorities and perspectives. This year-round engagement provides us with useful input and enables us to consider developments proactively. In addition, from time to time, we conduct stockholder outreach programs. Prior to the 2025 Annual Meeting, we requested meetings with the corporate governance teams of stockholders representing approximately 28% of our outstanding shares, as a result of which we engaged with the corporate governance teams of stockholders representing approximately 16% of our outstanding shares. We primarily discussed the progress we have made on various corporate governance initiatives.</w:t>
      </w:r>
    </w:p>
    <w:p>
      <w:pPr>
        <w:pStyle w:val="TextBody"/>
        <w:bidi w:val="0"/>
        <w:jc w:val="both"/>
        <w:rPr/>
      </w:pPr>
      <w:r>
        <w:rPr/>
        <w:t> </w:t>
      </w:r>
    </w:p>
    <w:p>
      <w:pPr>
        <w:pStyle w:val="TextBody"/>
        <w:bidi w:val="0"/>
        <w:jc w:val="both"/>
        <w:rPr>
          <w:rFonts w:ascii="Times New Roman" w:hAnsi="Times New Roman"/>
          <w:sz w:val="20"/>
        </w:rPr>
      </w:pPr>
      <w:r>
        <w:rPr>
          <w:rFonts w:ascii="Arial" w:hAnsi="Arial"/>
          <w:b/>
          <w:i/>
          <w:color w:val="4F81BD"/>
          <w:sz w:val="20"/>
        </w:rPr>
        <w:t>Responding to Stockholder Engagement</w:t>
      </w:r>
      <w:r>
        <w:rPr>
          <w:rFonts w:ascii="Arial" w:hAnsi="Arial"/>
          <w:color w:val="4F81BD"/>
          <w:sz w:val="20"/>
        </w:rPr>
        <w:t xml:space="preserve">. </w:t>
      </w:r>
      <w:r>
        <w:rPr>
          <w:rFonts w:ascii="Arial" w:hAnsi="Arial"/>
          <w:color w:val="000000"/>
          <w:sz w:val="20"/>
        </w:rPr>
        <w:t xml:space="preserve">We value the feedback that we receive from our investors and seek opportunities to respond to their feedback, when appropriate. For example, in response to stockholder feedback, we have expanded our public disclosures through the publication of our Environmental Factsheet, which we began publishing annually in 2021, and our Firearm Market Factsheet, which we most recently published in 2025. Copies of the Environmental Factsheet and the Firearm Market Factsheet are available on our website, </w:t>
      </w:r>
      <w:r>
        <w:rPr>
          <w:rFonts w:ascii="Arial" w:hAnsi="Arial"/>
          <w:i/>
          <w:color w:val="000000"/>
          <w:sz w:val="20"/>
        </w:rPr>
        <w:t>www.smith-wesson.com</w:t>
      </w:r>
      <w:r>
        <w:rPr>
          <w:rFonts w:ascii="Arial" w:hAnsi="Arial"/>
          <w:color w:val="000000"/>
          <w:sz w:val="20"/>
        </w:rPr>
        <w:t>. The information on our website is not part of this Proxy Statement.</w:t>
      </w:r>
    </w:p>
    <w:p>
      <w:pPr>
        <w:pStyle w:val="TextBody"/>
        <w:bidi w:val="0"/>
        <w:jc w:val="both"/>
        <w:rPr/>
      </w:pPr>
      <w:r>
        <w:rPr/>
        <w:t> </w:t>
      </w:r>
    </w:p>
    <w:p>
      <w:pPr>
        <w:pStyle w:val="TextBody"/>
        <w:bidi w:val="0"/>
        <w:jc w:val="both"/>
        <w:rPr>
          <w:rFonts w:ascii="Arial" w:hAnsi="Arial"/>
          <w:b/>
          <w:color w:val="002668"/>
          <w:sz w:val="28"/>
        </w:rPr>
      </w:pPr>
      <w:r>
        <w:rPr>
          <w:rFonts w:ascii="Arial" w:hAnsi="Arial"/>
          <w:b/>
          <w:color w:val="002668"/>
          <w:sz w:val="28"/>
        </w:rPr>
        <w:t>ADDITIONAL GOVERNANCE MATTERS</w:t>
      </w:r>
    </w:p>
    <w:p>
      <w:pPr>
        <w:pStyle w:val="TextBody"/>
        <w:bidi w:val="0"/>
        <w:spacing w:before="240" w:after="283"/>
        <w:jc w:val="both"/>
        <w:rPr>
          <w:rFonts w:ascii="Times New Roman" w:hAnsi="Times New Roman"/>
          <w:sz w:val="20"/>
        </w:rPr>
      </w:pPr>
      <w:r>
        <w:rPr>
          <w:rFonts w:ascii="Arial" w:hAnsi="Arial"/>
          <w:color w:val="002668"/>
          <w:sz w:val="24"/>
          <w:u w:val="single"/>
        </w:rPr>
        <w:t>Certain Relationships</w:t>
      </w:r>
      <w:r>
        <w:rPr>
          <w:rFonts w:ascii="Times New Roman" w:hAnsi="Times New Roman"/>
          <w:color w:val="002668"/>
          <w:sz w:val="20"/>
        </w:rPr>
        <w:t xml:space="preserve"> </w:t>
      </w:r>
    </w:p>
    <w:p>
      <w:pPr>
        <w:pStyle w:val="TextBody"/>
        <w:bidi w:val="0"/>
        <w:jc w:val="both"/>
        <w:rPr>
          <w:rFonts w:ascii="Arial" w:hAnsi="Arial"/>
          <w:color w:val="000000"/>
          <w:sz w:val="20"/>
        </w:rPr>
      </w:pPr>
      <w:r>
        <w:rPr>
          <w:rFonts w:ascii="Arial" w:hAnsi="Arial"/>
          <w:color w:val="000000"/>
          <w:sz w:val="20"/>
        </w:rPr>
        <w:t>Unless delegated to the Compensation Committee by the Board, the Audit Committee charter requires the Audit Committee to review and approve all related party transactions and to review and make recommendations to the full Board, or approve, any contracts or other transactions with any of our current or former executive officers, including consulting arrangements, employment agreements, change-in-control agreements, termination arrangements, and loans to employees made or guaranteed by us. We have a policy that we will not enter into any such transaction unless the transaction is determined by our disinterested directors to be fair to us or is approved by our disinterested directors or by our stockholders. Any determination by our disinterested directors is based on a review of the particular transaction, applicable laws and regulations, our policies, and the Nasdaq listing standards. As appropriate, the disinterested directors of the applicable committees of the Board will consult with our legal counsel or internal auditor. There was no transaction during fiscal 2026, and there are no currently proposed transactions, in which we were or are to be a participant in which an executive officer, director, director nominee, a beneficial owner of 5% or more of our common stock, or any immediate family members of such persons had or will have a direct material interest.</w:t>
      </w:r>
    </w:p>
    <w:p>
      <w:pPr>
        <w:pStyle w:val="TextBody"/>
        <w:bidi w:val="0"/>
        <w:spacing w:before="240" w:after="283"/>
        <w:jc w:val="both"/>
        <w:rPr>
          <w:rFonts w:ascii="Arial" w:hAnsi="Arial"/>
          <w:color w:val="000000"/>
          <w:sz w:val="20"/>
        </w:rPr>
      </w:pPr>
      <w:r>
        <w:rPr>
          <w:rFonts w:ascii="Arial" w:hAnsi="Arial"/>
          <w:color w:val="000000"/>
          <w:sz w:val="20"/>
        </w:rPr>
        <w:t>We have entered into indemnification agreements with each of our directors and executive officers that require us to indemnify such individuals, to the fullest extent permitted by Nevada law, for certain liabilities to which they may become subject as a result of their affiliation with us.</w:t>
      </w:r>
    </w:p>
    <w:p>
      <w:pPr>
        <w:pStyle w:val="TextBody"/>
        <w:bidi w:val="0"/>
        <w:spacing w:before="240" w:after="283"/>
        <w:jc w:val="both"/>
        <w:rPr>
          <w:rFonts w:ascii="Times New Roman" w:hAnsi="Times New Roman"/>
          <w:sz w:val="20"/>
        </w:rPr>
      </w:pPr>
      <w:r>
        <w:rPr>
          <w:rFonts w:ascii="Arial" w:hAnsi="Arial"/>
          <w:color w:val="002668"/>
          <w:sz w:val="24"/>
          <w:u w:val="single"/>
        </w:rPr>
        <w:t>Clawback Policy</w:t>
      </w:r>
      <w:r>
        <w:rPr>
          <w:rFonts w:ascii="Times New Roman" w:hAnsi="Times New Roman"/>
          <w:color w:val="002668"/>
          <w:sz w:val="20"/>
        </w:rPr>
        <w:t xml:space="preserve"> </w:t>
      </w:r>
    </w:p>
    <w:p>
      <w:pPr>
        <w:pStyle w:val="TextBody"/>
        <w:bidi w:val="0"/>
        <w:jc w:val="both"/>
        <w:rPr>
          <w:rFonts w:ascii="Arial" w:hAnsi="Arial"/>
          <w:color w:val="000000"/>
          <w:sz w:val="20"/>
        </w:rPr>
      </w:pPr>
      <w:r>
        <w:rPr>
          <w:rFonts w:ascii="Arial" w:hAnsi="Arial"/>
          <w:color w:val="000000"/>
          <w:sz w:val="20"/>
        </w:rPr>
        <w:t>We maintain a compensation recovery, or clawback, policy. See “Compensation Matters – Compensation Discussion and Analysis – Additional Compensation Matters – Clawback Policy” for more information.</w:t>
      </w:r>
    </w:p>
    <w:p>
      <w:pPr>
        <w:pStyle w:val="TextBody"/>
        <w:bidi w:val="0"/>
        <w:jc w:val="both"/>
        <w:rPr/>
      </w:pPr>
      <w:r>
        <w:rPr/>
        <w:t> </w:t>
      </w:r>
    </w:p>
    <w:p>
      <w:pPr>
        <w:pStyle w:val="TextBody"/>
        <w:bidi w:val="0"/>
        <w:jc w:val="both"/>
        <w:rPr>
          <w:rFonts w:ascii="Times New Roman" w:hAnsi="Times New Roman"/>
          <w:sz w:val="20"/>
        </w:rPr>
      </w:pPr>
      <w:r>
        <w:rPr>
          <w:rFonts w:ascii="Arial" w:hAnsi="Arial"/>
          <w:color w:val="002668"/>
          <w:sz w:val="24"/>
          <w:u w:val="single"/>
        </w:rPr>
        <w:t>Communicating with the Board</w:t>
      </w:r>
      <w:r>
        <w:rPr>
          <w:rFonts w:ascii="Times New Roman" w:hAnsi="Times New Roman"/>
          <w:color w:val="002668"/>
          <w:sz w:val="20"/>
        </w:rPr>
        <w:t xml:space="preserve"> </w:t>
      </w:r>
    </w:p>
    <w:p>
      <w:pPr>
        <w:pStyle w:val="TextBody"/>
        <w:bidi w:val="0"/>
        <w:jc w:val="both"/>
        <w:rPr>
          <w:rFonts w:ascii="Arial" w:hAnsi="Arial"/>
          <w:color w:val="000000"/>
          <w:sz w:val="20"/>
        </w:rPr>
      </w:pPr>
      <w:r>
        <w:rPr>
          <w:rFonts w:ascii="Arial" w:hAnsi="Arial"/>
          <w:color w:val="000000"/>
          <w:sz w:val="20"/>
        </w:rPr>
        <w:t>Stockholders may communicate with the Board or specific directors, including our independent directors and the members of our board committees, by submitting a letter addressed to the Board of Directors of Smith &amp; Wesson Brands, Inc., c/o any specified individual director or directors, at our principal executive offices.</w:t>
      </w:r>
    </w:p>
    <w:p>
      <w:pPr>
        <w:pStyle w:val="TextBody"/>
        <w:bidi w:val="0"/>
        <w:jc w:val="left"/>
        <w:rPr/>
      </w:pPr>
      <w:r>
        <w:rPr/>
        <w:t> </w:t>
      </w:r>
    </w:p>
    <w:tbl>
      <w:tblPr>
        <w:tblW w:w="3702" w:type="dxa"/>
        <w:jc w:val="left"/>
        <w:tblInd w:w="0" w:type="dxa"/>
        <w:tblLayout w:type="fixed"/>
        <w:tblCellMar>
          <w:top w:w="28" w:type="dxa"/>
          <w:left w:w="28" w:type="dxa"/>
          <w:bottom w:w="28" w:type="dxa"/>
          <w:right w:w="28" w:type="dxa"/>
        </w:tblCellMar>
      </w:tblPr>
      <w:tblGrid>
        <w:gridCol w:w="2266"/>
        <w:gridCol w:w="1436"/>
      </w:tblGrid>
      <w:tr>
        <w:trPr/>
        <w:tc>
          <w:tcPr>
            <w:tcW w:w="2266"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2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91F2C"/>
                <w:sz w:val="18"/>
              </w:rPr>
              <w:t>13</w:t>
            </w:r>
            <w:r>
              <w:rPr>
                <w:rFonts w:ascii="Times New Roman" w:hAnsi="Times New Roman"/>
                <w:color w:val="091F2C"/>
                <w:sz w:val="18"/>
              </w:rPr>
              <w:t> </w:t>
            </w:r>
            <w:r>
              <w:rPr>
                <w:rFonts w:ascii="Arial" w:hAnsi="Arial"/>
                <w:color w:val="091F2C"/>
                <w:sz w:val="18"/>
              </w:rPr>
              <w:t>I 2026 Proxy Statement</w:t>
            </w:r>
          </w:p>
        </w:tc>
        <w:tc>
          <w:tcPr>
            <w:tcW w:w="143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828675" cy="1905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828675" cy="190500"/>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3027" w:type="dxa"/>
        <w:jc w:val="left"/>
        <w:tblInd w:w="0" w:type="dxa"/>
        <w:tblLayout w:type="fixed"/>
        <w:tblCellMar>
          <w:top w:w="28" w:type="dxa"/>
          <w:left w:w="28" w:type="dxa"/>
          <w:bottom w:w="28" w:type="dxa"/>
          <w:right w:w="28" w:type="dxa"/>
        </w:tblCellMar>
      </w:tblPr>
      <w:tblGrid>
        <w:gridCol w:w="2836"/>
        <w:gridCol w:w="191"/>
      </w:tblGrid>
      <w:tr>
        <w:trPr/>
        <w:tc>
          <w:tcPr>
            <w:tcW w:w="28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36" w:type="dxa"/>
            <w:tcBorders/>
            <w:tcMar>
              <w:top w:w="0" w:type="dxa"/>
              <w:left w:w="0" w:type="dxa"/>
              <w:bottom w:w="0" w:type="dxa"/>
              <w:right w:w="0" w:type="dxa"/>
            </w:tcMar>
            <w:vAlign w:val="center"/>
          </w:tcPr>
          <w:p>
            <w:pPr>
              <w:pStyle w:val="TableContents"/>
              <w:bidi w:val="0"/>
              <w:spacing w:before="0" w:after="283"/>
              <w:jc w:val="left"/>
              <w:rPr>
                <w:rFonts w:ascii="Arial" w:hAnsi="Arial"/>
                <w:color w:val="002668"/>
                <w:sz w:val="20"/>
              </w:rPr>
            </w:pPr>
            <w:r>
              <w:rPr>
                <w:rFonts w:ascii="Arial" w:hAnsi="Arial"/>
                <w:color w:val="002668"/>
                <w:sz w:val="20"/>
              </w:rPr>
              <w:t>Board and Governance Matters</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836" w:type="dxa"/>
            <w:tcBorders>
              <w:bottom w:val="single" w:sz="8" w:space="0" w:color="002668"/>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Arial" w:hAnsi="Arial"/>
          <w:color w:val="002668"/>
          <w:sz w:val="24"/>
          <w:u w:val="single"/>
        </w:rPr>
        <w:t>Corporate Political Contributions and Expenditures</w:t>
      </w:r>
      <w:r>
        <w:rPr>
          <w:rFonts w:ascii="Times New Roman" w:hAnsi="Times New Roman"/>
          <w:color w:val="002668"/>
          <w:sz w:val="20"/>
        </w:rPr>
        <w:t xml:space="preserve"> </w:t>
      </w:r>
    </w:p>
    <w:p>
      <w:pPr>
        <w:pStyle w:val="TextBody"/>
        <w:bidi w:val="0"/>
        <w:jc w:val="both"/>
        <w:rPr>
          <w:rFonts w:ascii="Arial" w:hAnsi="Arial"/>
          <w:color w:val="000000"/>
          <w:sz w:val="20"/>
        </w:rPr>
      </w:pPr>
      <w:r>
        <w:rPr>
          <w:rFonts w:ascii="Arial" w:hAnsi="Arial"/>
          <w:color w:val="000000"/>
          <w:sz w:val="20"/>
        </w:rPr>
        <w:t>We have a policy to post on our website each fiscal year an annual report disclosing all political contributions or expenditures in the United States in excess of $50,000 that are not deductible as “ordinary and necessary” business expenses under Section 162(e) of the Internal Revenue Code, as amended (the "Code"). Non-deductible amounts generally include contributions to or expenditures in support of or opposition to political candidates, political parties, or political committees.</w:t>
      </w:r>
    </w:p>
    <w:p>
      <w:pPr>
        <w:pStyle w:val="TextBody"/>
        <w:bidi w:val="0"/>
        <w:jc w:val="both"/>
        <w:rPr/>
      </w:pPr>
      <w:r>
        <w:rPr/>
        <w:t> </w:t>
      </w:r>
    </w:p>
    <w:p>
      <w:pPr>
        <w:pStyle w:val="TextBody"/>
        <w:bidi w:val="0"/>
        <w:jc w:val="both"/>
        <w:rPr>
          <w:rFonts w:ascii="Arial" w:hAnsi="Arial"/>
          <w:color w:val="002668"/>
          <w:sz w:val="24"/>
          <w:u w:val="single"/>
        </w:rPr>
      </w:pPr>
      <w:r>
        <w:rPr>
          <w:rFonts w:ascii="Arial" w:hAnsi="Arial"/>
          <w:color w:val="002668"/>
          <w:sz w:val="24"/>
          <w:u w:val="single"/>
        </w:rPr>
        <w:t>Corporate Stewardship Policy</w:t>
      </w:r>
    </w:p>
    <w:p>
      <w:pPr>
        <w:pStyle w:val="TextBody"/>
        <w:bidi w:val="0"/>
        <w:jc w:val="both"/>
        <w:rPr>
          <w:rFonts w:ascii="Times New Roman" w:hAnsi="Times New Roman"/>
          <w:sz w:val="20"/>
        </w:rPr>
      </w:pPr>
      <w:r>
        <w:rPr>
          <w:rFonts w:ascii="Arial" w:hAnsi="Arial"/>
          <w:color w:val="000000"/>
          <w:sz w:val="20"/>
        </w:rPr>
        <w:t>We maintain a policy that discusses our objective of being a good corporate steward and our consideration of our responsibilities with respect to employee, safety, and governance risks, including the risks caused by the unlawful or improper use of firearms, and preserving the right to keep and bear Arms.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color w:val="002668"/>
          <w:sz w:val="24"/>
          <w:u w:val="single"/>
        </w:rPr>
        <w:t>Director and Officer Derivative Trading and Hedging</w:t>
      </w:r>
      <w:r>
        <w:rPr>
          <w:rFonts w:ascii="Times New Roman" w:hAnsi="Times New Roman"/>
          <w:color w:val="002668"/>
          <w:sz w:val="20"/>
        </w:rPr>
        <w:t xml:space="preserve"> </w:t>
      </w:r>
    </w:p>
    <w:p>
      <w:pPr>
        <w:pStyle w:val="TextBody"/>
        <w:bidi w:val="0"/>
        <w:jc w:val="both"/>
        <w:rPr>
          <w:rFonts w:ascii="Times New Roman" w:hAnsi="Times New Roman"/>
          <w:sz w:val="20"/>
        </w:rPr>
      </w:pPr>
      <w:r>
        <w:rPr>
          <w:rFonts w:ascii="Arial" w:hAnsi="Arial"/>
          <w:color w:val="000000"/>
          <w:sz w:val="20"/>
        </w:rPr>
        <w:t>We maintain a policy prohibiting our directors and officers, including our executive officers, and any family member residing in the same household, from engaging in derivatives trading and hedging involving our securities or pledging or margining our common stock.</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w:hAnsi="Arial"/>
          <w:color w:val="002668"/>
          <w:sz w:val="24"/>
          <w:u w:val="single"/>
        </w:rPr>
      </w:pPr>
      <w:r>
        <w:rPr>
          <w:rFonts w:ascii="Arial" w:hAnsi="Arial"/>
          <w:color w:val="002668"/>
          <w:sz w:val="24"/>
          <w:u w:val="single"/>
        </w:rPr>
        <w:t>Policy on Inside Information and Insider Trading</w:t>
      </w:r>
    </w:p>
    <w:p>
      <w:pPr>
        <w:pStyle w:val="TextBody"/>
        <w:bidi w:val="0"/>
        <w:jc w:val="left"/>
        <w:rPr>
          <w:rFonts w:ascii="Arial" w:hAnsi="Arial"/>
          <w:color w:val="000000"/>
          <w:sz w:val="20"/>
        </w:rPr>
      </w:pPr>
      <w:r>
        <w:rPr>
          <w:rFonts w:ascii="Arial" w:hAnsi="Arial"/>
          <w:color w:val="000000"/>
          <w:sz w:val="20"/>
        </w:rPr>
        <w:t>We maintain a policy governing the purchase, sale, and/or other disposition of our securities by our directors, officers, employees, and other covered persons. We believe this policy is reasonably designed to promote compliance with insider trading laws, rules, and regulations, and the exchange listing standards applicable to us. A copy of this policy is filed as Exhibit 19.1 to the Form 10-K.</w:t>
      </w:r>
    </w:p>
    <w:p>
      <w:pPr>
        <w:pStyle w:val="TextBody"/>
        <w:bidi w:val="0"/>
        <w:jc w:val="both"/>
        <w:rPr/>
      </w:pPr>
      <w:r>
        <w:rPr/>
        <w:t> </w:t>
      </w:r>
    </w:p>
    <w:p>
      <w:pPr>
        <w:pStyle w:val="TextBody"/>
        <w:bidi w:val="0"/>
        <w:jc w:val="both"/>
        <w:rPr>
          <w:rFonts w:ascii="Times New Roman" w:hAnsi="Times New Roman"/>
          <w:sz w:val="20"/>
        </w:rPr>
      </w:pPr>
      <w:r>
        <w:rPr>
          <w:rFonts w:ascii="Arial" w:hAnsi="Arial"/>
          <w:color w:val="002668"/>
          <w:sz w:val="24"/>
          <w:u w:val="single"/>
        </w:rPr>
        <w:t>Whistleblower Policy</w:t>
      </w:r>
      <w:r>
        <w:rPr>
          <w:rFonts w:ascii="Times New Roman" w:hAnsi="Times New Roman"/>
          <w:color w:val="002668"/>
          <w:sz w:val="20"/>
        </w:rPr>
        <w:t xml:space="preserve"> </w:t>
      </w:r>
    </w:p>
    <w:p>
      <w:pPr>
        <w:pStyle w:val="TextBody"/>
        <w:bidi w:val="0"/>
        <w:jc w:val="both"/>
        <w:rPr>
          <w:rFonts w:ascii="Arial" w:hAnsi="Arial"/>
          <w:color w:val="000000"/>
          <w:sz w:val="20"/>
        </w:rPr>
      </w:pPr>
      <w:r>
        <w:rPr>
          <w:rFonts w:ascii="Arial" w:hAnsi="Arial"/>
          <w:color w:val="000000"/>
          <w:sz w:val="20"/>
        </w:rPr>
        <w:t>We maintain a policy covering the policies and procedures for the receipt, retention, and treatment of complaints that we receive regarding accounting, internal controls, or auditing matters, and the confidential, anonymous submission by our employees of concerns regarding questionable accounting or auditing matters.</w:t>
      </w:r>
    </w:p>
    <w:p>
      <w:pPr>
        <w:pStyle w:val="TextBody"/>
        <w:bidi w:val="0"/>
        <w:jc w:val="left"/>
        <w:rPr/>
      </w:pPr>
      <w:r>
        <w:rPr/>
        <w:t> </w:t>
      </w:r>
    </w:p>
    <w:tbl>
      <w:tblPr>
        <w:tblW w:w="3702" w:type="dxa"/>
        <w:jc w:val="left"/>
        <w:tblInd w:w="0" w:type="dxa"/>
        <w:tblLayout w:type="fixed"/>
        <w:tblCellMar>
          <w:top w:w="28" w:type="dxa"/>
          <w:left w:w="28" w:type="dxa"/>
          <w:bottom w:w="28" w:type="dxa"/>
          <w:right w:w="28" w:type="dxa"/>
        </w:tblCellMar>
      </w:tblPr>
      <w:tblGrid>
        <w:gridCol w:w="2266"/>
        <w:gridCol w:w="1436"/>
      </w:tblGrid>
      <w:tr>
        <w:trPr/>
        <w:tc>
          <w:tcPr>
            <w:tcW w:w="2266"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2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91F2C"/>
                <w:sz w:val="18"/>
              </w:rPr>
              <w:t>14</w:t>
            </w:r>
            <w:r>
              <w:rPr>
                <w:rFonts w:ascii="Times New Roman" w:hAnsi="Times New Roman"/>
                <w:color w:val="091F2C"/>
                <w:sz w:val="18"/>
              </w:rPr>
              <w:t> </w:t>
            </w:r>
            <w:r>
              <w:rPr>
                <w:rFonts w:ascii="Arial" w:hAnsi="Arial"/>
                <w:color w:val="091F2C"/>
                <w:sz w:val="18"/>
              </w:rPr>
              <w:t>I 2026 Proxy Statement</w:t>
            </w:r>
          </w:p>
        </w:tc>
        <w:tc>
          <w:tcPr>
            <w:tcW w:w="143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828675" cy="1905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828675" cy="190500"/>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3027" w:type="dxa"/>
        <w:jc w:val="left"/>
        <w:tblInd w:w="0" w:type="dxa"/>
        <w:tblLayout w:type="fixed"/>
        <w:tblCellMar>
          <w:top w:w="28" w:type="dxa"/>
          <w:left w:w="28" w:type="dxa"/>
          <w:bottom w:w="28" w:type="dxa"/>
          <w:right w:w="28" w:type="dxa"/>
        </w:tblCellMar>
      </w:tblPr>
      <w:tblGrid>
        <w:gridCol w:w="2836"/>
        <w:gridCol w:w="191"/>
      </w:tblGrid>
      <w:tr>
        <w:trPr/>
        <w:tc>
          <w:tcPr>
            <w:tcW w:w="28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36" w:type="dxa"/>
            <w:tcBorders/>
            <w:tcMar>
              <w:top w:w="0" w:type="dxa"/>
              <w:left w:w="0" w:type="dxa"/>
              <w:bottom w:w="0" w:type="dxa"/>
              <w:right w:w="0" w:type="dxa"/>
            </w:tcMar>
            <w:vAlign w:val="center"/>
          </w:tcPr>
          <w:p>
            <w:pPr>
              <w:pStyle w:val="TableContents"/>
              <w:bidi w:val="0"/>
              <w:spacing w:before="0" w:after="283"/>
              <w:jc w:val="left"/>
              <w:rPr>
                <w:rFonts w:ascii="Arial" w:hAnsi="Arial"/>
                <w:color w:val="002668"/>
                <w:sz w:val="20"/>
              </w:rPr>
            </w:pPr>
            <w:r>
              <w:rPr>
                <w:rFonts w:ascii="Arial" w:hAnsi="Arial"/>
                <w:color w:val="002668"/>
                <w:sz w:val="20"/>
              </w:rPr>
              <w:t>Board and Governance Matters</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836" w:type="dxa"/>
            <w:tcBorders>
              <w:bottom w:val="single" w:sz="8" w:space="0" w:color="002668"/>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both"/>
        <w:rPr>
          <w:rFonts w:ascii="Arial" w:hAnsi="Arial"/>
          <w:b/>
          <w:color w:val="002668"/>
          <w:sz w:val="28"/>
        </w:rPr>
      </w:pPr>
      <w:r>
        <w:rPr>
          <w:rFonts w:ascii="Arial" w:hAnsi="Arial"/>
          <w:b/>
          <w:color w:val="002668"/>
          <w:sz w:val="28"/>
        </w:rPr>
        <w:t>DIRECTOR COMPENSATION</w:t>
      </w:r>
    </w:p>
    <w:p>
      <w:pPr>
        <w:pStyle w:val="TextBody"/>
        <w:bidi w:val="0"/>
        <w:spacing w:before="120" w:after="283"/>
        <w:jc w:val="both"/>
        <w:rPr>
          <w:rFonts w:ascii="Times New Roman" w:hAnsi="Times New Roman"/>
          <w:sz w:val="20"/>
        </w:rPr>
      </w:pPr>
      <w:r>
        <w:rPr>
          <w:rFonts w:ascii="Arial" w:hAnsi="Arial"/>
          <w:color w:val="000000"/>
          <w:sz w:val="20"/>
        </w:rPr>
        <w:t>The Compensation Committee, with advice from its independent compensation consultant, determines, or recommends to the Board for determination, the compensation of our directors.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The Compensation Committee did not make any changes to director compensation for fiscal 2026 compared to fiscal 2025. For fiscal 2026, we paid each non-employee director an annual retainer of $87,000. We also paid additional retainers to our Chairman, Chairs of our committees, and members of our committees as follows:</w:t>
      </w:r>
    </w:p>
    <w:p>
      <w:pPr>
        <w:pStyle w:val="TextBody"/>
        <w:bidi w:val="0"/>
        <w:jc w:val="both"/>
        <w:rPr/>
      </w:pPr>
      <w:r>
        <w:rPr/>
        <w:t> </w:t>
      </w:r>
    </w:p>
    <w:tbl>
      <w:tblPr>
        <w:tblW w:w="4806" w:type="dxa"/>
        <w:jc w:val="left"/>
        <w:tblInd w:w="0" w:type="dxa"/>
        <w:tblLayout w:type="fixed"/>
        <w:tblCellMar>
          <w:top w:w="28" w:type="dxa"/>
          <w:left w:w="28" w:type="dxa"/>
          <w:bottom w:w="28" w:type="dxa"/>
          <w:right w:w="28" w:type="dxa"/>
        </w:tblCellMar>
      </w:tblPr>
      <w:tblGrid>
        <w:gridCol w:w="3526"/>
        <w:gridCol w:w="146"/>
        <w:gridCol w:w="196"/>
        <w:gridCol w:w="601"/>
        <w:gridCol w:w="146"/>
        <w:gridCol w:w="191"/>
      </w:tblGrid>
      <w:tr>
        <w:trPr/>
        <w:tc>
          <w:tcPr>
            <w:tcW w:w="3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26" w:type="dxa"/>
            <w:tcBorders>
              <w:top w:val="single" w:sz="4" w:space="0" w:color="0071A2"/>
            </w:tcBorders>
            <w:shd w:fill="DCDDDE" w:val="clear"/>
            <w:tcMar>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Chairman</w:t>
            </w:r>
          </w:p>
        </w:tc>
        <w:tc>
          <w:tcPr>
            <w:tcW w:w="146" w:type="dxa"/>
            <w:tcBorders>
              <w:top w:val="single" w:sz="4" w:space="0" w:color="0071A2"/>
            </w:tcBorders>
            <w:shd w:fill="DCDDDE"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71A2"/>
            </w:tcBorders>
            <w:shd w:fill="DCDDDE" w:val="clear"/>
            <w:tcMar>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top w:val="single" w:sz="4" w:space="0" w:color="0071A2"/>
            </w:tcBorders>
            <w:shd w:fill="DCDDDE" w:val="clear"/>
            <w:tcMar>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90,000</w:t>
            </w:r>
          </w:p>
        </w:tc>
        <w:tc>
          <w:tcPr>
            <w:tcW w:w="146" w:type="dxa"/>
            <w:tcBorders>
              <w:top w:val="single" w:sz="4" w:space="0" w:color="0071A2"/>
            </w:tcBorders>
            <w:shd w:fill="DCDDDE" w:val="clear"/>
            <w:tcMar>
              <w:left w:w="0" w:type="dxa"/>
              <w:bottom w:w="0" w:type="dxa"/>
              <w:right w:w="0" w:type="dxa"/>
            </w:tcMar>
            <w:vAlign w:val="center"/>
          </w:tcPr>
          <w:p>
            <w:pPr>
              <w:pStyle w:val="TableContents"/>
              <w:bidi w:val="0"/>
              <w:spacing w:before="0" w:after="283"/>
              <w:jc w:val="left"/>
              <w:rPr/>
            </w:pPr>
            <w:r>
              <w:rPr/>
              <w:t> </w:t>
            </w:r>
          </w:p>
        </w:tc>
        <w:tc>
          <w:tcPr>
            <w:tcW w:w="191" w:type="dxa"/>
            <w:tcBorders>
              <w:top w:val="single" w:sz="4" w:space="0" w:color="0071A2"/>
            </w:tcBorders>
            <w:shd w:fill="DCDDDE" w:val="clear"/>
            <w:tcMar>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Chair, Audit Committee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DCDDDE"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Chair, Compensation Committee</w:t>
            </w:r>
          </w:p>
        </w:tc>
        <w:tc>
          <w:tcPr>
            <w:tcW w:w="146" w:type="dxa"/>
            <w:tcBorders/>
            <w:shd w:fill="DCDDDE"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CDDDE"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shd w:fill="DCDDDE"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25,000</w:t>
            </w:r>
          </w:p>
        </w:tc>
        <w:tc>
          <w:tcPr>
            <w:tcW w:w="146" w:type="dxa"/>
            <w:tcBorders/>
            <w:shd w:fill="DCDDDE"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DCDDDE"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Chair, NCG Committee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DCDDDE"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Chair, Sustainability Committee *</w:t>
            </w:r>
          </w:p>
        </w:tc>
        <w:tc>
          <w:tcPr>
            <w:tcW w:w="146" w:type="dxa"/>
            <w:tcBorders/>
            <w:shd w:fill="DCDDDE"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CDDDE"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shd w:fill="DCDDDE"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25,000</w:t>
            </w:r>
          </w:p>
        </w:tc>
        <w:tc>
          <w:tcPr>
            <w:tcW w:w="146" w:type="dxa"/>
            <w:tcBorders/>
            <w:shd w:fill="DCDDDE"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DCDDDE"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Non-Chair Audit Committee Members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DCDDDE"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Non-Chair Compensation Committee Members</w:t>
            </w:r>
          </w:p>
        </w:tc>
        <w:tc>
          <w:tcPr>
            <w:tcW w:w="146" w:type="dxa"/>
            <w:tcBorders/>
            <w:shd w:fill="DCDDDE"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CDDDE"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shd w:fill="DCDDDE"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7,500</w:t>
            </w:r>
          </w:p>
        </w:tc>
        <w:tc>
          <w:tcPr>
            <w:tcW w:w="146" w:type="dxa"/>
            <w:tcBorders/>
            <w:shd w:fill="DCDDDE"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DCDDDE"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Non-Chair NCG Committee Members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DCDDDE"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Non-Chair Sustainability Committee Members *</w:t>
            </w:r>
          </w:p>
        </w:tc>
        <w:tc>
          <w:tcPr>
            <w:tcW w:w="146" w:type="dxa"/>
            <w:tcBorders/>
            <w:shd w:fill="DCDDDE"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CDDDE"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shd w:fill="DCDDDE"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7,500</w:t>
            </w:r>
          </w:p>
        </w:tc>
        <w:tc>
          <w:tcPr>
            <w:tcW w:w="146" w:type="dxa"/>
            <w:tcBorders/>
            <w:shd w:fill="DCDDDE"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DCDDDE"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bottom w:val="single" w:sz="4"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71A2"/>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Arial" w:hAnsi="Arial"/>
          <w:color w:val="000000"/>
          <w:sz w:val="14"/>
        </w:rPr>
      </w:pPr>
      <w:r>
        <w:rPr>
          <w:rFonts w:ascii="Arial" w:hAnsi="Arial"/>
          <w:color w:val="000000"/>
          <w:sz w:val="14"/>
        </w:rPr>
        <w:t>*The Board dissolved the Sustainability Committee effective April 30, 2026.</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Each Board and committee member was entitled to receive an additional $1,500 per committee meeting attended in excess of seven meetings per year (for the Board and the Audit Committee), in excess of six meetings per year (for the Compensation Committee), in excess of four meetings per year (for the NCG Committee and the Sustainability Committee). No such payments were made in fiscal 2026.</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We reimburse directors for travel and related expenses incurred in connection with attending Board and committee meetings. Mr. Smith receives no additional compensation for his service as a director.</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Each non-employee director receives a stock-based award to receive shares of our common stock in the form of restricted stock units (“RSUs”). Each non-employee director receives an RSU award on the date of his or her first appointment or election to the Board and then receives an RSU award at the Board meeting held immediately following our annual meeting of stockholders for that year. In fiscal 2026, each non-employee director received an annual RSU award for 12,711 shares of common stock. The RSUs vest one-twelfth each month after the grant.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The following table sets forth the compensation paid by us to each non-employee director for fiscal 2026.</w:t>
      </w:r>
      <w:r>
        <w:rPr>
          <w:rFonts w:ascii="Times New Roman" w:hAnsi="Times New Roman"/>
          <w:color w:val="000000"/>
          <w:sz w:val="20"/>
        </w:rPr>
        <w:t xml:space="preserve"> </w:t>
      </w:r>
    </w:p>
    <w:p>
      <w:pPr>
        <w:pStyle w:val="TextBody"/>
        <w:bidi w:val="0"/>
        <w:jc w:val="both"/>
        <w:rPr/>
      </w:pPr>
      <w:r>
        <w:rPr/>
        <w:t> </w:t>
      </w:r>
    </w:p>
    <w:tbl>
      <w:tblPr>
        <w:tblW w:w="7684" w:type="dxa"/>
        <w:jc w:val="left"/>
        <w:tblInd w:w="0" w:type="dxa"/>
        <w:tblLayout w:type="fixed"/>
        <w:tblCellMar>
          <w:top w:w="28" w:type="dxa"/>
          <w:left w:w="28" w:type="dxa"/>
          <w:bottom w:w="28" w:type="dxa"/>
          <w:right w:w="28" w:type="dxa"/>
        </w:tblCellMar>
      </w:tblPr>
      <w:tblGrid>
        <w:gridCol w:w="1706"/>
        <w:gridCol w:w="146"/>
        <w:gridCol w:w="238"/>
        <w:gridCol w:w="842"/>
        <w:gridCol w:w="146"/>
        <w:gridCol w:w="146"/>
        <w:gridCol w:w="212"/>
        <w:gridCol w:w="748"/>
        <w:gridCol w:w="146"/>
        <w:gridCol w:w="146"/>
        <w:gridCol w:w="146"/>
        <w:gridCol w:w="313"/>
        <w:gridCol w:w="963"/>
        <w:gridCol w:w="146"/>
        <w:gridCol w:w="316"/>
        <w:gridCol w:w="146"/>
        <w:gridCol w:w="196"/>
        <w:gridCol w:w="691"/>
        <w:gridCol w:w="291"/>
      </w:tblGrid>
      <w:tr>
        <w:trPr/>
        <w:tc>
          <w:tcPr>
            <w:tcW w:w="1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706" w:type="dxa"/>
            <w:tcBorders/>
            <w:shd w:fill="00266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002668"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002668"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2668"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2668"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002668"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2668"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266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002668"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002668"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2668"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00266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002668"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002668"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002668"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06" w:type="dxa"/>
            <w:tcBorders/>
            <w:shd w:fill="00266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002668"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002668" w:val="clear"/>
            <w:tcMar>
              <w:top w:w="0" w:type="dxa"/>
              <w:left w:w="0" w:type="dxa"/>
              <w:bottom w:w="0" w:type="dxa"/>
              <w:right w:w="0" w:type="dxa"/>
            </w:tcMar>
            <w:vAlign w:val="center"/>
          </w:tcPr>
          <w:p>
            <w:pPr>
              <w:pStyle w:val="TableContents"/>
              <w:bidi w:val="0"/>
              <w:spacing w:before="0" w:after="283"/>
              <w:jc w:val="center"/>
              <w:rPr>
                <w:rFonts w:ascii="Arial" w:hAnsi="Arial"/>
                <w:b/>
                <w:color w:val="FFFFFF"/>
                <w:sz w:val="16"/>
              </w:rPr>
            </w:pPr>
            <w:r>
              <w:rPr>
                <w:rFonts w:ascii="Arial" w:hAnsi="Arial"/>
                <w:b/>
                <w:color w:val="FFFFFF"/>
                <w:sz w:val="16"/>
              </w:rPr>
              <w:t>Fees Earned</w:t>
            </w:r>
          </w:p>
        </w:tc>
        <w:tc>
          <w:tcPr>
            <w:tcW w:w="146" w:type="dxa"/>
            <w:tcBorders/>
            <w:shd w:fill="002668"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2668"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002668"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2668"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266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002668"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002668"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2668"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00266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002668"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002668"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002668"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06" w:type="dxa"/>
            <w:tcBorders/>
            <w:shd w:fill="00266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002668"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002668" w:val="clear"/>
            <w:tcMar>
              <w:top w:w="0" w:type="dxa"/>
              <w:left w:w="0" w:type="dxa"/>
              <w:bottom w:w="0" w:type="dxa"/>
              <w:right w:w="0" w:type="dxa"/>
            </w:tcMar>
            <w:vAlign w:val="center"/>
          </w:tcPr>
          <w:p>
            <w:pPr>
              <w:pStyle w:val="TableContents"/>
              <w:bidi w:val="0"/>
              <w:spacing w:before="0" w:after="283"/>
              <w:jc w:val="center"/>
              <w:rPr>
                <w:rFonts w:ascii="Arial" w:hAnsi="Arial"/>
                <w:b/>
                <w:color w:val="FFFFFF"/>
                <w:sz w:val="16"/>
              </w:rPr>
            </w:pPr>
            <w:r>
              <w:rPr>
                <w:rFonts w:ascii="Arial" w:hAnsi="Arial"/>
                <w:b/>
                <w:color w:val="FFFFFF"/>
                <w:sz w:val="16"/>
              </w:rPr>
              <w:t>or Paid in</w:t>
            </w:r>
          </w:p>
        </w:tc>
        <w:tc>
          <w:tcPr>
            <w:tcW w:w="146" w:type="dxa"/>
            <w:tcBorders/>
            <w:shd w:fill="002668"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2668"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002668" w:val="clear"/>
            <w:tcMar>
              <w:top w:w="0" w:type="dxa"/>
              <w:left w:w="0" w:type="dxa"/>
              <w:bottom w:w="0" w:type="dxa"/>
              <w:right w:w="0" w:type="dxa"/>
            </w:tcMar>
            <w:vAlign w:val="center"/>
          </w:tcPr>
          <w:p>
            <w:pPr>
              <w:pStyle w:val="TableContents"/>
              <w:bidi w:val="0"/>
              <w:spacing w:before="0" w:after="283"/>
              <w:jc w:val="center"/>
              <w:rPr>
                <w:rFonts w:ascii="Arial" w:hAnsi="Arial"/>
                <w:b/>
                <w:color w:val="FFFFFF"/>
                <w:sz w:val="16"/>
              </w:rPr>
            </w:pPr>
            <w:r>
              <w:rPr>
                <w:rFonts w:ascii="Arial" w:hAnsi="Arial"/>
                <w:b/>
                <w:color w:val="FFFFFF"/>
                <w:sz w:val="16"/>
              </w:rPr>
              <w:t>Stock</w:t>
            </w:r>
          </w:p>
        </w:tc>
        <w:tc>
          <w:tcPr>
            <w:tcW w:w="146" w:type="dxa"/>
            <w:tcBorders/>
            <w:shd w:fill="002668"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266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002668"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002668" w:val="clear"/>
            <w:tcMar>
              <w:top w:w="0" w:type="dxa"/>
              <w:left w:w="0" w:type="dxa"/>
              <w:bottom w:w="0" w:type="dxa"/>
              <w:right w:w="0" w:type="dxa"/>
            </w:tcMar>
            <w:vAlign w:val="center"/>
          </w:tcPr>
          <w:p>
            <w:pPr>
              <w:pStyle w:val="TableContents"/>
              <w:bidi w:val="0"/>
              <w:spacing w:before="0" w:after="283"/>
              <w:jc w:val="center"/>
              <w:rPr>
                <w:rFonts w:ascii="Arial" w:hAnsi="Arial"/>
                <w:b/>
                <w:color w:val="FFFFFF"/>
                <w:sz w:val="16"/>
              </w:rPr>
            </w:pPr>
            <w:r>
              <w:rPr>
                <w:rFonts w:ascii="Arial" w:hAnsi="Arial"/>
                <w:b/>
                <w:color w:val="FFFFFF"/>
                <w:sz w:val="16"/>
              </w:rPr>
              <w:t>All Other</w:t>
            </w:r>
          </w:p>
        </w:tc>
        <w:tc>
          <w:tcPr>
            <w:tcW w:w="146" w:type="dxa"/>
            <w:tcBorders/>
            <w:shd w:fill="002668"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00266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002668"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002668"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002668"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1706" w:type="dxa"/>
            <w:tcBorders/>
            <w:shd w:fill="002668"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FFFFFF"/>
                <w:sz w:val="16"/>
              </w:rPr>
            </w:pPr>
            <w:r>
              <w:rPr>
                <w:rFonts w:ascii="Arial" w:hAnsi="Arial"/>
                <w:b/>
                <w:color w:val="FFFFFF"/>
                <w:sz w:val="16"/>
              </w:rPr>
              <w:t>Name (1)</w:t>
            </w:r>
          </w:p>
        </w:tc>
        <w:tc>
          <w:tcPr>
            <w:tcW w:w="146" w:type="dxa"/>
            <w:tcBorders/>
            <w:shd w:fill="002668"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002668" w:val="clear"/>
            <w:tcMar>
              <w:top w:w="0" w:type="dxa"/>
              <w:left w:w="0" w:type="dxa"/>
              <w:bottom w:w="0" w:type="dxa"/>
              <w:right w:w="0" w:type="dxa"/>
            </w:tcMar>
            <w:vAlign w:val="center"/>
          </w:tcPr>
          <w:p>
            <w:pPr>
              <w:pStyle w:val="TableContents"/>
              <w:bidi w:val="0"/>
              <w:spacing w:before="0" w:after="283"/>
              <w:jc w:val="center"/>
              <w:rPr>
                <w:rFonts w:ascii="Arial" w:hAnsi="Arial"/>
                <w:b/>
                <w:color w:val="FFFFFF"/>
                <w:sz w:val="16"/>
              </w:rPr>
            </w:pPr>
            <w:r>
              <w:rPr>
                <w:rFonts w:ascii="Arial" w:hAnsi="Arial"/>
                <w:b/>
                <w:color w:val="FFFFFF"/>
                <w:sz w:val="16"/>
              </w:rPr>
              <w:t>Cash</w:t>
            </w:r>
          </w:p>
        </w:tc>
        <w:tc>
          <w:tcPr>
            <w:tcW w:w="146" w:type="dxa"/>
            <w:tcBorders/>
            <w:shd w:fill="002668"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2668"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002668" w:val="clear"/>
            <w:tcMar>
              <w:top w:w="0" w:type="dxa"/>
              <w:left w:w="0" w:type="dxa"/>
              <w:bottom w:w="0" w:type="dxa"/>
              <w:right w:w="0" w:type="dxa"/>
            </w:tcMar>
            <w:vAlign w:val="center"/>
          </w:tcPr>
          <w:p>
            <w:pPr>
              <w:pStyle w:val="TableContents"/>
              <w:bidi w:val="0"/>
              <w:spacing w:before="0" w:after="283"/>
              <w:jc w:val="center"/>
              <w:rPr>
                <w:rFonts w:ascii="Arial" w:hAnsi="Arial"/>
                <w:b/>
                <w:color w:val="FFFFFF"/>
                <w:sz w:val="16"/>
              </w:rPr>
            </w:pPr>
            <w:r>
              <w:rPr>
                <w:rFonts w:ascii="Arial" w:hAnsi="Arial"/>
                <w:b/>
                <w:color w:val="FFFFFF"/>
                <w:sz w:val="16"/>
              </w:rPr>
              <w:t>Awards (2)</w:t>
            </w:r>
          </w:p>
        </w:tc>
        <w:tc>
          <w:tcPr>
            <w:tcW w:w="146" w:type="dxa"/>
            <w:tcBorders/>
            <w:shd w:fill="002668"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266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002668"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002668" w:val="clear"/>
            <w:tcMar>
              <w:top w:w="0" w:type="dxa"/>
              <w:left w:w="0" w:type="dxa"/>
              <w:bottom w:w="0" w:type="dxa"/>
              <w:right w:w="0" w:type="dxa"/>
            </w:tcMar>
            <w:vAlign w:val="center"/>
          </w:tcPr>
          <w:p>
            <w:pPr>
              <w:pStyle w:val="TableContents"/>
              <w:bidi w:val="0"/>
              <w:spacing w:before="0" w:after="283"/>
              <w:jc w:val="center"/>
              <w:rPr>
                <w:rFonts w:ascii="Arial" w:hAnsi="Arial"/>
                <w:b/>
                <w:color w:val="FFFFFF"/>
                <w:sz w:val="16"/>
              </w:rPr>
            </w:pPr>
            <w:r>
              <w:rPr>
                <w:rFonts w:ascii="Arial" w:hAnsi="Arial"/>
                <w:b/>
                <w:color w:val="FFFFFF"/>
                <w:sz w:val="16"/>
              </w:rPr>
              <w:t>Compensation</w:t>
            </w:r>
          </w:p>
        </w:tc>
        <w:tc>
          <w:tcPr>
            <w:tcW w:w="146" w:type="dxa"/>
            <w:tcBorders/>
            <w:shd w:fill="002668"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00266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002668"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002668" w:val="clear"/>
            <w:tcMar>
              <w:top w:w="0" w:type="dxa"/>
              <w:left w:w="0" w:type="dxa"/>
              <w:bottom w:w="0" w:type="dxa"/>
              <w:right w:w="0" w:type="dxa"/>
            </w:tcMar>
            <w:vAlign w:val="center"/>
          </w:tcPr>
          <w:p>
            <w:pPr>
              <w:pStyle w:val="TableContents"/>
              <w:bidi w:val="0"/>
              <w:spacing w:before="0" w:after="283"/>
              <w:jc w:val="center"/>
              <w:rPr>
                <w:rFonts w:ascii="Arial" w:hAnsi="Arial"/>
                <w:b/>
                <w:color w:val="FFFFFF"/>
                <w:sz w:val="16"/>
              </w:rPr>
            </w:pPr>
            <w:r>
              <w:rPr>
                <w:rFonts w:ascii="Arial" w:hAnsi="Arial"/>
                <w:b/>
                <w:color w:val="FFFFFF"/>
                <w:sz w:val="16"/>
              </w:rPr>
              <w:t>Total</w:t>
            </w:r>
          </w:p>
        </w:tc>
        <w:tc>
          <w:tcPr>
            <w:tcW w:w="291" w:type="dxa"/>
            <w:tcBorders/>
            <w:shd w:fill="002668"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1706" w:type="dxa"/>
            <w:tcBorders/>
            <w:shd w:fill="DCDDDE"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Anita D. Britt</w:t>
            </w:r>
          </w:p>
        </w:tc>
        <w:tc>
          <w:tcPr>
            <w:tcW w:w="146" w:type="dxa"/>
            <w:tcBorders/>
            <w:shd w:fill="DCDDDE"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DCDDDE"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42" w:type="dxa"/>
            <w:tcBorders/>
            <w:shd w:fill="DCDDDE"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127,000</w:t>
            </w:r>
          </w:p>
        </w:tc>
        <w:tc>
          <w:tcPr>
            <w:tcW w:w="146" w:type="dxa"/>
            <w:tcBorders/>
            <w:shd w:fill="DCDDD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CDDDE"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DCDDDE"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48" w:type="dxa"/>
            <w:tcBorders/>
            <w:shd w:fill="DCDDDE"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119,992</w:t>
            </w:r>
          </w:p>
        </w:tc>
        <w:tc>
          <w:tcPr>
            <w:tcW w:w="146" w:type="dxa"/>
            <w:tcBorders/>
            <w:shd w:fill="DCDDD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CDDD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CDDDE"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DCDDDE"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63" w:type="dxa"/>
            <w:tcBorders/>
            <w:shd w:fill="DCDDDE"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4,738</w:t>
            </w:r>
          </w:p>
        </w:tc>
        <w:tc>
          <w:tcPr>
            <w:tcW w:w="146" w:type="dxa"/>
            <w:tcBorders/>
            <w:shd w:fill="DCDDDE"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DCDDDE"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(3)</w:t>
            </w:r>
          </w:p>
        </w:tc>
        <w:tc>
          <w:tcPr>
            <w:tcW w:w="146" w:type="dxa"/>
            <w:tcBorders/>
            <w:shd w:fill="DCDDDE"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CDDDE"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DCDDDE"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251,730</w:t>
            </w:r>
          </w:p>
        </w:tc>
        <w:tc>
          <w:tcPr>
            <w:tcW w:w="291" w:type="dxa"/>
            <w:tcBorders/>
            <w:shd w:fill="DCDDDE"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Fred M. Diaz</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119,500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119,992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5,462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244,954</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06" w:type="dxa"/>
            <w:tcBorders/>
            <w:shd w:fill="DCDDDE"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Michelle J. Lohmeier</w:t>
            </w:r>
          </w:p>
        </w:tc>
        <w:tc>
          <w:tcPr>
            <w:tcW w:w="146" w:type="dxa"/>
            <w:tcBorders/>
            <w:shd w:fill="DCDDDE"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DCDDDE"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42" w:type="dxa"/>
            <w:tcBorders/>
            <w:shd w:fill="DCDDDE"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112,000</w:t>
            </w:r>
          </w:p>
        </w:tc>
        <w:tc>
          <w:tcPr>
            <w:tcW w:w="146" w:type="dxa"/>
            <w:tcBorders/>
            <w:shd w:fill="DCDDD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CDDDE"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DCDDDE"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48" w:type="dxa"/>
            <w:tcBorders/>
            <w:shd w:fill="DCDDDE"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119,992</w:t>
            </w:r>
          </w:p>
        </w:tc>
        <w:tc>
          <w:tcPr>
            <w:tcW w:w="146" w:type="dxa"/>
            <w:tcBorders/>
            <w:shd w:fill="DCDDD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CDDD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CDDDE"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DCDDDE"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63" w:type="dxa"/>
            <w:tcBorders/>
            <w:shd w:fill="DCDDDE"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8,712</w:t>
            </w:r>
          </w:p>
        </w:tc>
        <w:tc>
          <w:tcPr>
            <w:tcW w:w="146" w:type="dxa"/>
            <w:tcBorders/>
            <w:shd w:fill="DCDDDE"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DCDDDE"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(4)</w:t>
            </w:r>
          </w:p>
        </w:tc>
        <w:tc>
          <w:tcPr>
            <w:tcW w:w="146" w:type="dxa"/>
            <w:tcBorders/>
            <w:shd w:fill="DCDDDE"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CDDDE"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DCDDDE"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240,704</w:t>
            </w:r>
          </w:p>
        </w:tc>
        <w:tc>
          <w:tcPr>
            <w:tcW w:w="291" w:type="dxa"/>
            <w:tcBorders/>
            <w:shd w:fill="DCDDDE"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Barry M. Monheit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119,500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119,992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4,738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244,230</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06" w:type="dxa"/>
            <w:tcBorders/>
            <w:shd w:fill="DCDDDE"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Robert L. Scott</w:t>
            </w:r>
          </w:p>
        </w:tc>
        <w:tc>
          <w:tcPr>
            <w:tcW w:w="146" w:type="dxa"/>
            <w:tcBorders/>
            <w:shd w:fill="DCDDDE"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DCDDDE"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42" w:type="dxa"/>
            <w:tcBorders/>
            <w:shd w:fill="DCDDDE"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194,500</w:t>
            </w:r>
          </w:p>
        </w:tc>
        <w:tc>
          <w:tcPr>
            <w:tcW w:w="146" w:type="dxa"/>
            <w:tcBorders/>
            <w:shd w:fill="DCDDD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CDDDE"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DCDDDE"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48" w:type="dxa"/>
            <w:tcBorders/>
            <w:shd w:fill="DCDDDE"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119,992</w:t>
            </w:r>
          </w:p>
        </w:tc>
        <w:tc>
          <w:tcPr>
            <w:tcW w:w="146" w:type="dxa"/>
            <w:tcBorders/>
            <w:shd w:fill="DCDDD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CDDD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CDDDE"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DCDDDE"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63" w:type="dxa"/>
            <w:tcBorders/>
            <w:shd w:fill="DCDDDE"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32,949</w:t>
            </w:r>
          </w:p>
        </w:tc>
        <w:tc>
          <w:tcPr>
            <w:tcW w:w="146" w:type="dxa"/>
            <w:tcBorders/>
            <w:shd w:fill="DCDDDE"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DCDDDE"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(5)</w:t>
            </w:r>
          </w:p>
        </w:tc>
        <w:tc>
          <w:tcPr>
            <w:tcW w:w="146" w:type="dxa"/>
            <w:tcBorders/>
            <w:shd w:fill="DCDDDE"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CDDDE"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DCDDDE"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347,441</w:t>
            </w:r>
          </w:p>
        </w:tc>
        <w:tc>
          <w:tcPr>
            <w:tcW w:w="291" w:type="dxa"/>
            <w:tcBorders/>
            <w:shd w:fill="DCDDDE"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Mark P. Smith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06" w:type="dxa"/>
            <w:tcBorders/>
            <w:shd w:fill="DCDDDE"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Denis G. Suggs</w:t>
            </w:r>
          </w:p>
        </w:tc>
        <w:tc>
          <w:tcPr>
            <w:tcW w:w="146" w:type="dxa"/>
            <w:tcBorders/>
            <w:shd w:fill="DCDDDE"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DCDDDE"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42" w:type="dxa"/>
            <w:tcBorders/>
            <w:shd w:fill="DCDDDE"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122,000</w:t>
            </w:r>
          </w:p>
        </w:tc>
        <w:tc>
          <w:tcPr>
            <w:tcW w:w="146" w:type="dxa"/>
            <w:tcBorders/>
            <w:shd w:fill="DCDDD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CDDDE"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DCDDDE"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48" w:type="dxa"/>
            <w:tcBorders/>
            <w:shd w:fill="DCDDDE"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119,992</w:t>
            </w:r>
          </w:p>
        </w:tc>
        <w:tc>
          <w:tcPr>
            <w:tcW w:w="146" w:type="dxa"/>
            <w:tcBorders/>
            <w:shd w:fill="DCDDD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CDDD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CDDDE"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DCDDDE"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63" w:type="dxa"/>
            <w:tcBorders/>
            <w:shd w:fill="DCDDDE"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7,488</w:t>
            </w:r>
          </w:p>
        </w:tc>
        <w:tc>
          <w:tcPr>
            <w:tcW w:w="146" w:type="dxa"/>
            <w:tcBorders/>
            <w:shd w:fill="DCDDDE"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DCDDDE"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(4)</w:t>
            </w:r>
          </w:p>
        </w:tc>
        <w:tc>
          <w:tcPr>
            <w:tcW w:w="146" w:type="dxa"/>
            <w:tcBorders/>
            <w:shd w:fill="DCDDDE"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CDDDE"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DCDDDE"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249,480</w:t>
            </w:r>
          </w:p>
        </w:tc>
        <w:tc>
          <w:tcPr>
            <w:tcW w:w="291" w:type="dxa"/>
            <w:tcBorders/>
            <w:shd w:fill="DCDDDE"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Arial" w:hAnsi="Arial"/>
          <w:color w:val="000000"/>
          <w:sz w:val="15"/>
        </w:rPr>
      </w:pPr>
      <w:r>
        <w:rPr>
          <w:rFonts w:ascii="Arial" w:hAnsi="Arial"/>
          <w:color w:val="000000"/>
          <w:sz w:val="15"/>
        </w:rPr>
        <w:t>(1)</w:t>
      </w:r>
    </w:p>
    <w:p>
      <w:pPr>
        <w:pStyle w:val="TextBody"/>
        <w:bidi w:val="0"/>
        <w:spacing w:before="0" w:after="0"/>
        <w:jc w:val="both"/>
        <w:rPr>
          <w:rFonts w:ascii="Arial" w:hAnsi="Arial"/>
          <w:color w:val="000000"/>
          <w:sz w:val="15"/>
        </w:rPr>
      </w:pPr>
      <w:r>
        <w:rPr>
          <w:rFonts w:ascii="Arial" w:hAnsi="Arial"/>
          <w:color w:val="000000"/>
          <w:sz w:val="15"/>
        </w:rPr>
        <w:t>As of April 30, 2026, each of the non-employee directors had the following number of stock awards outstanding, which represent undelivered shares underlying vested RSUs: Mr. Monheit 10,414; Mr. Scott 10,414; Ms. Britt 7,414; Mr. Diaz 7,414; Ms. Lohmeier 7,414; and Mr. Suggs 7,414. As of April 30, 2026, there were no stock options outstanding for the directors.</w:t>
      </w:r>
    </w:p>
    <w:p>
      <w:pPr>
        <w:pStyle w:val="TextBody"/>
        <w:bidi w:val="0"/>
        <w:spacing w:before="0" w:after="0"/>
        <w:jc w:val="both"/>
        <w:rPr>
          <w:rFonts w:ascii="Arial" w:hAnsi="Arial"/>
          <w:color w:val="000000"/>
          <w:sz w:val="15"/>
        </w:rPr>
      </w:pPr>
      <w:r>
        <w:rPr>
          <w:rFonts w:ascii="Arial" w:hAnsi="Arial"/>
          <w:color w:val="000000"/>
          <w:sz w:val="15"/>
        </w:rPr>
        <w:t>(2)</w:t>
      </w:r>
    </w:p>
    <w:p>
      <w:pPr>
        <w:pStyle w:val="TextBody"/>
        <w:bidi w:val="0"/>
        <w:spacing w:before="0" w:after="0"/>
        <w:jc w:val="both"/>
        <w:rPr>
          <w:rFonts w:ascii="Arial" w:hAnsi="Arial"/>
          <w:color w:val="000000"/>
          <w:sz w:val="15"/>
        </w:rPr>
      </w:pPr>
      <w:r>
        <w:rPr>
          <w:rFonts w:ascii="Arial" w:hAnsi="Arial"/>
          <w:color w:val="000000"/>
          <w:sz w:val="15"/>
        </w:rPr>
        <w:t xml:space="preserve">The amounts shown in this column represent the grant date fair value for stock awards granted to the directors calculated in accordance with Accounting Standards Codification (“ASC”) Topic 718. The assumptions used in determining the grant date fair value of these awards are set forth in Note 11 to our consolidated financial statements, which are included in the Form 10-K. </w:t>
      </w:r>
    </w:p>
    <w:p>
      <w:pPr>
        <w:pStyle w:val="TextBody"/>
        <w:bidi w:val="0"/>
        <w:spacing w:before="0" w:after="0"/>
        <w:jc w:val="both"/>
        <w:rPr>
          <w:rFonts w:ascii="Arial" w:hAnsi="Arial"/>
          <w:color w:val="000000"/>
          <w:sz w:val="15"/>
        </w:rPr>
      </w:pPr>
      <w:r>
        <w:rPr>
          <w:rFonts w:ascii="Arial" w:hAnsi="Arial"/>
          <w:color w:val="000000"/>
          <w:sz w:val="15"/>
        </w:rPr>
        <w:t>(3)</w:t>
      </w:r>
    </w:p>
    <w:p>
      <w:pPr>
        <w:pStyle w:val="TextBody"/>
        <w:bidi w:val="0"/>
        <w:spacing w:before="0" w:after="0"/>
        <w:jc w:val="both"/>
        <w:rPr>
          <w:rFonts w:ascii="Arial" w:hAnsi="Arial"/>
          <w:color w:val="000000"/>
          <w:sz w:val="15"/>
        </w:rPr>
      </w:pPr>
      <w:r>
        <w:rPr>
          <w:rFonts w:ascii="Arial" w:hAnsi="Arial"/>
          <w:color w:val="000000"/>
          <w:sz w:val="15"/>
        </w:rPr>
        <w:t>Consists of dividends paid on shares delivered within the fiscal year.</w:t>
      </w:r>
    </w:p>
    <w:p>
      <w:pPr>
        <w:pStyle w:val="TextBody"/>
        <w:bidi w:val="0"/>
        <w:spacing w:before="0" w:after="0"/>
        <w:jc w:val="both"/>
        <w:rPr>
          <w:rFonts w:ascii="Arial" w:hAnsi="Arial"/>
          <w:color w:val="000000"/>
          <w:sz w:val="15"/>
        </w:rPr>
      </w:pPr>
      <w:r>
        <w:rPr>
          <w:rFonts w:ascii="Arial" w:hAnsi="Arial"/>
          <w:color w:val="000000"/>
          <w:sz w:val="15"/>
        </w:rPr>
        <w:t>(4)</w:t>
      </w:r>
    </w:p>
    <w:p>
      <w:pPr>
        <w:pStyle w:val="TextBody"/>
        <w:bidi w:val="0"/>
        <w:spacing w:before="0" w:after="0"/>
        <w:jc w:val="both"/>
        <w:rPr>
          <w:rFonts w:ascii="Arial" w:hAnsi="Arial"/>
          <w:color w:val="000000"/>
          <w:sz w:val="15"/>
        </w:rPr>
      </w:pPr>
      <w:r>
        <w:rPr>
          <w:rFonts w:ascii="Arial" w:hAnsi="Arial"/>
          <w:color w:val="000000"/>
          <w:sz w:val="15"/>
        </w:rPr>
        <w:t>Consists of costs for certain products provided without cost and dividends paid on shares delivered within the fiscal year.</w:t>
      </w:r>
    </w:p>
    <w:p>
      <w:pPr>
        <w:pStyle w:val="TextBody"/>
        <w:bidi w:val="0"/>
        <w:spacing w:before="0" w:after="0"/>
        <w:jc w:val="both"/>
        <w:rPr>
          <w:rFonts w:ascii="Arial" w:hAnsi="Arial"/>
          <w:color w:val="000000"/>
          <w:sz w:val="15"/>
        </w:rPr>
      </w:pPr>
      <w:r>
        <w:rPr>
          <w:rFonts w:ascii="Arial" w:hAnsi="Arial"/>
          <w:color w:val="000000"/>
          <w:sz w:val="15"/>
        </w:rPr>
        <w:t>(5)</w:t>
      </w:r>
    </w:p>
    <w:p>
      <w:pPr>
        <w:pStyle w:val="TextBody"/>
        <w:bidi w:val="0"/>
        <w:jc w:val="both"/>
        <w:rPr>
          <w:rFonts w:ascii="Arial" w:hAnsi="Arial"/>
          <w:color w:val="000000"/>
          <w:sz w:val="15"/>
        </w:rPr>
      </w:pPr>
      <w:r>
        <w:rPr>
          <w:rFonts w:ascii="Arial" w:hAnsi="Arial"/>
          <w:color w:val="000000"/>
          <w:sz w:val="15"/>
        </w:rPr>
        <w:t>Consists of reimbursement of medical coverage costs, costs for certain products provided without cost, spousal travel, and dividends paid on shares delivered within the fiscal year.</w:t>
      </w:r>
    </w:p>
    <w:p>
      <w:pPr>
        <w:pStyle w:val="TextBody"/>
        <w:bidi w:val="0"/>
        <w:spacing w:before="240" w:after="283"/>
        <w:jc w:val="both"/>
        <w:rPr>
          <w:rFonts w:ascii="Times New Roman" w:hAnsi="Times New Roman"/>
          <w:sz w:val="20"/>
        </w:rPr>
      </w:pPr>
      <w:r>
        <w:rPr>
          <w:rFonts w:ascii="Arial" w:hAnsi="Arial"/>
          <w:color w:val="000000"/>
          <w:sz w:val="20"/>
        </w:rPr>
        <w:t>We maintain stock ownership guidelines for our directors and executive officers. See “Compensation Matters — Compensation Discussion and Analysis — Additional Compensation Matters — Stock Ownership and Retention Requirements.”</w:t>
      </w:r>
      <w:r>
        <w:rPr>
          <w:rFonts w:ascii="Times New Roman" w:hAnsi="Times New Roman"/>
          <w:color w:val="000000"/>
          <w:sz w:val="20"/>
        </w:rPr>
        <w:t xml:space="preserve"> </w:t>
      </w:r>
    </w:p>
    <w:p>
      <w:pPr>
        <w:pStyle w:val="TextBody"/>
        <w:bidi w:val="0"/>
        <w:jc w:val="left"/>
        <w:rPr/>
      </w:pPr>
      <w:r>
        <w:rPr/>
        <w:t> </w:t>
      </w:r>
    </w:p>
    <w:tbl>
      <w:tblPr>
        <w:tblW w:w="3702" w:type="dxa"/>
        <w:jc w:val="left"/>
        <w:tblInd w:w="0" w:type="dxa"/>
        <w:tblLayout w:type="fixed"/>
        <w:tblCellMar>
          <w:top w:w="28" w:type="dxa"/>
          <w:left w:w="28" w:type="dxa"/>
          <w:bottom w:w="28" w:type="dxa"/>
          <w:right w:w="28" w:type="dxa"/>
        </w:tblCellMar>
      </w:tblPr>
      <w:tblGrid>
        <w:gridCol w:w="2266"/>
        <w:gridCol w:w="1436"/>
      </w:tblGrid>
      <w:tr>
        <w:trPr/>
        <w:tc>
          <w:tcPr>
            <w:tcW w:w="2266"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2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91F2C"/>
                <w:sz w:val="18"/>
              </w:rPr>
              <w:t>15</w:t>
            </w:r>
            <w:r>
              <w:rPr>
                <w:rFonts w:ascii="Times New Roman" w:hAnsi="Times New Roman"/>
                <w:color w:val="091F2C"/>
                <w:sz w:val="18"/>
              </w:rPr>
              <w:t> </w:t>
            </w:r>
            <w:r>
              <w:rPr>
                <w:rFonts w:ascii="Arial" w:hAnsi="Arial"/>
                <w:color w:val="091F2C"/>
                <w:sz w:val="18"/>
              </w:rPr>
              <w:t>I 2026 Proxy Statement</w:t>
            </w:r>
          </w:p>
        </w:tc>
        <w:tc>
          <w:tcPr>
            <w:tcW w:w="143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828675" cy="1905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828675" cy="190500"/>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Arial" w:hAnsi="Arial"/>
          <w:b/>
          <w:caps/>
          <w:color w:val="002668"/>
          <w:sz w:val="44"/>
        </w:rPr>
      </w:pPr>
      <w:bookmarkStart w:id="4" w:name="compensation_matters"/>
      <w:bookmarkEnd w:id="4"/>
      <w:r>
        <w:rPr>
          <w:rFonts w:ascii="Arial" w:hAnsi="Arial"/>
          <w:b/>
          <w:caps/>
          <w:color w:val="002668"/>
          <w:sz w:val="44"/>
        </w:rPr>
        <w:t>compensation matters</w:t>
      </w:r>
    </w:p>
    <w:tbl>
      <w:tblPr>
        <w:tblW w:w="10205" w:type="dxa"/>
        <w:jc w:val="left"/>
        <w:tblInd w:w="0" w:type="dxa"/>
        <w:tblLayout w:type="fixed"/>
        <w:tblCellMar>
          <w:top w:w="28" w:type="dxa"/>
          <w:left w:w="28" w:type="dxa"/>
          <w:bottom w:w="28" w:type="dxa"/>
          <w:right w:w="28" w:type="dxa"/>
        </w:tblCellMar>
      </w:tblPr>
      <w:tblGrid>
        <w:gridCol w:w="161"/>
        <w:gridCol w:w="109"/>
        <w:gridCol w:w="9635"/>
        <w:gridCol w:w="109"/>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shd w:fill="DCDDDE" w:val="clear"/>
            <w:tcMar>
              <w:top w:w="0" w:type="dxa"/>
              <w:left w:w="0" w:type="dxa"/>
              <w:bottom w:w="0" w:type="dxa"/>
              <w:right w:w="0" w:type="dxa"/>
            </w:tcMar>
            <w:vAlign w:val="center"/>
          </w:tcPr>
          <w:p>
            <w:pPr>
              <w:pStyle w:val="TableContents"/>
              <w:bidi w:val="0"/>
              <w:spacing w:before="0" w:after="283"/>
              <w:jc w:val="both"/>
              <w:rPr/>
            </w:pPr>
            <w:r>
              <w:rPr/>
              <w:t> </w:t>
            </w:r>
          </w:p>
        </w:tc>
        <w:tc>
          <w:tcPr>
            <w:tcW w:w="109" w:type="dxa"/>
            <w:tcBorders/>
            <w:shd w:fill="DCDD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5" w:type="dxa"/>
            <w:tcBorders/>
            <w:shd w:fill="DCDDDE" w:val="clear"/>
            <w:tcMar>
              <w:top w:w="0" w:type="dxa"/>
              <w:left w:w="0" w:type="dxa"/>
              <w:bottom w:w="0" w:type="dxa"/>
              <w:right w:w="0" w:type="dxa"/>
            </w:tcMar>
            <w:vAlign w:val="center"/>
          </w:tcPr>
          <w:p>
            <w:pPr>
              <w:pStyle w:val="TableContents"/>
              <w:bidi w:val="0"/>
              <w:spacing w:before="240" w:after="120"/>
              <w:jc w:val="both"/>
              <w:rPr>
                <w:rFonts w:ascii="Arial" w:hAnsi="Arial"/>
                <w:b/>
                <w:caps/>
                <w:color w:val="1F497D"/>
                <w:sz w:val="24"/>
              </w:rPr>
            </w:pPr>
            <w:bookmarkStart w:id="5" w:name="praposal_2"/>
            <w:bookmarkEnd w:id="5"/>
            <w:r>
              <w:rPr>
                <w:rFonts w:ascii="Arial" w:hAnsi="Arial"/>
                <w:b/>
                <w:caps/>
                <w:color w:val="1F497D"/>
                <w:sz w:val="24"/>
              </w:rPr>
              <w:t>PROPOSAL TWO – ADVISORY VOTE ON EXECUTIVE COMPENSATION</w:t>
            </w:r>
          </w:p>
        </w:tc>
        <w:tc>
          <w:tcPr>
            <w:tcW w:w="109" w:type="dxa"/>
            <w:tcBorders/>
            <w:shd w:fill="DCDD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shd w:fill="DCDDDE"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161" w:type="dxa"/>
            <w:tcBorders/>
            <w:shd w:fill="DCDDDE" w:val="clear"/>
            <w:tcMar>
              <w:top w:w="0" w:type="dxa"/>
              <w:left w:w="0" w:type="dxa"/>
              <w:bottom w:w="0" w:type="dxa"/>
              <w:right w:w="0" w:type="dxa"/>
            </w:tcMar>
            <w:vAlign w:val="center"/>
          </w:tcPr>
          <w:p>
            <w:pPr>
              <w:pStyle w:val="TableContents"/>
              <w:bidi w:val="0"/>
              <w:spacing w:before="0" w:after="283"/>
              <w:jc w:val="both"/>
              <w:rPr/>
            </w:pPr>
            <w:r>
              <w:rPr/>
              <w:t> </w:t>
            </w:r>
          </w:p>
        </w:tc>
        <w:tc>
          <w:tcPr>
            <w:tcW w:w="109" w:type="dxa"/>
            <w:tcBorders/>
            <w:shd w:fill="DCDD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5" w:type="dxa"/>
            <w:tcBorders/>
            <w:shd w:fill="DCDDDE" w:val="clear"/>
            <w:tcMar>
              <w:top w:w="0" w:type="dxa"/>
              <w:left w:w="0" w:type="dxa"/>
              <w:bottom w:w="0" w:type="dxa"/>
              <w:right w:w="0" w:type="dxa"/>
            </w:tcMar>
            <w:vAlign w:val="center"/>
          </w:tcPr>
          <w:p>
            <w:pPr>
              <w:pStyle w:val="TableContents"/>
              <w:bidi w:val="0"/>
              <w:jc w:val="both"/>
              <w:rPr>
                <w:rFonts w:ascii="Times New Roman" w:hAnsi="Times New Roman"/>
                <w:sz w:val="20"/>
              </w:rPr>
            </w:pPr>
            <w:r>
              <w:rPr>
                <w:rFonts w:ascii="Arial" w:hAnsi="Arial"/>
                <w:b/>
                <w:color w:val="000000"/>
                <w:sz w:val="20"/>
              </w:rPr>
              <w:t>What Am I Voting On?</w:t>
            </w:r>
            <w:r>
              <w:rPr>
                <w:rFonts w:ascii="Times New Roman" w:hAnsi="Times New Roman"/>
                <w:color w:val="000000"/>
                <w:sz w:val="20"/>
              </w:rPr>
              <w:t> </w:t>
            </w:r>
            <w:r>
              <w:rPr>
                <w:rFonts w:ascii="Arial" w:hAnsi="Arial"/>
                <w:color w:val="000000"/>
                <w:sz w:val="20"/>
              </w:rPr>
              <w:t>The Board is asking our stockholders to approve, on an advisory basis, the compensation of our NEOs as disclosed in this Proxy Statement</w:t>
            </w:r>
          </w:p>
          <w:p>
            <w:pPr>
              <w:pStyle w:val="TableContents"/>
              <w:bidi w:val="0"/>
              <w:jc w:val="both"/>
              <w:rPr/>
            </w:pPr>
            <w:r>
              <w:rPr/>
              <w:t> </w:t>
            </w:r>
          </w:p>
          <w:p>
            <w:pPr>
              <w:pStyle w:val="TableContents"/>
              <w:bidi w:val="0"/>
              <w:jc w:val="both"/>
              <w:rPr>
                <w:rFonts w:ascii="Times New Roman" w:hAnsi="Times New Roman"/>
                <w:sz w:val="20"/>
              </w:rPr>
            </w:pPr>
            <w:r>
              <w:rPr>
                <w:rFonts w:ascii="Arial" w:hAnsi="Arial"/>
                <w:b/>
                <w:color w:val="000000"/>
                <w:sz w:val="20"/>
              </w:rPr>
              <w:t>Voting Recommendation:</w:t>
            </w:r>
            <w:r>
              <w:rPr>
                <w:rFonts w:ascii="Times New Roman" w:hAnsi="Times New Roman"/>
                <w:color w:val="000000"/>
                <w:sz w:val="20"/>
              </w:rPr>
              <w:t xml:space="preserve"> </w:t>
            </w:r>
            <w:r>
              <w:rPr>
                <w:rFonts w:ascii="Arial" w:hAnsi="Arial"/>
                <w:color w:val="4F81BD"/>
                <w:sz w:val="20"/>
              </w:rPr>
              <w:t>FOR</w:t>
            </w:r>
            <w:r>
              <w:rPr>
                <w:rFonts w:ascii="Times New Roman" w:hAnsi="Times New Roman"/>
                <w:color w:val="FF883C"/>
                <w:sz w:val="20"/>
              </w:rPr>
              <w:t xml:space="preserve"> </w:t>
            </w:r>
            <w:r>
              <w:rPr>
                <w:rFonts w:ascii="Arial" w:hAnsi="Arial"/>
                <w:color w:val="000000"/>
                <w:sz w:val="20"/>
              </w:rPr>
              <w:t>the advisory vote on the compensation of our NEOs for fiscal 2026</w:t>
            </w:r>
          </w:p>
          <w:p>
            <w:pPr>
              <w:pStyle w:val="TableContents"/>
              <w:bidi w:val="0"/>
              <w:jc w:val="both"/>
              <w:rPr/>
            </w:pPr>
            <w:r>
              <w:rPr/>
              <w:t> </w:t>
            </w:r>
          </w:p>
          <w:p>
            <w:pPr>
              <w:pStyle w:val="TableContents"/>
              <w:bidi w:val="0"/>
              <w:jc w:val="both"/>
              <w:rPr>
                <w:rFonts w:ascii="Times New Roman" w:hAnsi="Times New Roman"/>
                <w:sz w:val="20"/>
              </w:rPr>
            </w:pPr>
            <w:r>
              <w:rPr>
                <w:rFonts w:ascii="Arial" w:hAnsi="Arial"/>
                <w:b/>
                <w:color w:val="000000"/>
                <w:sz w:val="20"/>
              </w:rPr>
              <w:t xml:space="preserve">Vote Required: </w:t>
            </w:r>
            <w:r>
              <w:rPr>
                <w:rFonts w:ascii="Arial" w:hAnsi="Arial"/>
                <w:color w:val="000000"/>
                <w:sz w:val="20"/>
              </w:rPr>
              <w:t>The affirmative vote of a majority of the votes cast is required to approve the proposal</w:t>
            </w:r>
            <w:r>
              <w:rPr>
                <w:rFonts w:ascii="Times New Roman" w:hAnsi="Times New Roman"/>
                <w:color w:val="000000"/>
                <w:sz w:val="20"/>
              </w:rPr>
              <w:t xml:space="preserve"> </w:t>
            </w:r>
          </w:p>
          <w:p>
            <w:pPr>
              <w:pStyle w:val="TableContents"/>
              <w:bidi w:val="0"/>
              <w:jc w:val="both"/>
              <w:rPr/>
            </w:pPr>
            <w:r>
              <w:rPr/>
              <w:t> </w:t>
            </w:r>
          </w:p>
          <w:p>
            <w:pPr>
              <w:pStyle w:val="TableContents"/>
              <w:bidi w:val="0"/>
              <w:jc w:val="both"/>
              <w:rPr>
                <w:rFonts w:ascii="Times New Roman" w:hAnsi="Times New Roman"/>
                <w:sz w:val="20"/>
              </w:rPr>
            </w:pPr>
            <w:r>
              <w:rPr>
                <w:rFonts w:ascii="Arial" w:hAnsi="Arial"/>
                <w:b/>
                <w:color w:val="000000"/>
                <w:sz w:val="20"/>
              </w:rPr>
              <w:t>Broker Discretionary Voting Allowed?</w:t>
            </w:r>
            <w:r>
              <w:rPr>
                <w:rFonts w:ascii="Times New Roman" w:hAnsi="Times New Roman"/>
                <w:color w:val="000000"/>
                <w:sz w:val="20"/>
              </w:rPr>
              <w:t> </w:t>
            </w:r>
            <w:r>
              <w:rPr>
                <w:rFonts w:ascii="Arial" w:hAnsi="Arial"/>
                <w:color w:val="000000"/>
                <w:sz w:val="20"/>
              </w:rPr>
              <w:t>No – broker non-votes have no effect</w:t>
            </w:r>
          </w:p>
          <w:p>
            <w:pPr>
              <w:pStyle w:val="TableContents"/>
              <w:bidi w:val="0"/>
              <w:jc w:val="both"/>
              <w:rPr/>
            </w:pPr>
            <w:r>
              <w:rPr/>
              <w:t> </w:t>
            </w:r>
          </w:p>
          <w:p>
            <w:pPr>
              <w:pStyle w:val="TableContents"/>
              <w:bidi w:val="0"/>
              <w:spacing w:before="0" w:after="240"/>
              <w:jc w:val="both"/>
              <w:rPr>
                <w:rFonts w:ascii="Times New Roman" w:hAnsi="Times New Roman"/>
                <w:sz w:val="20"/>
              </w:rPr>
            </w:pPr>
            <w:r>
              <w:rPr>
                <w:rFonts w:ascii="Arial" w:hAnsi="Arial"/>
                <w:b/>
                <w:color w:val="000000"/>
                <w:sz w:val="20"/>
              </w:rPr>
              <w:t>Abstentions:</w:t>
            </w:r>
            <w:r>
              <w:rPr>
                <w:rFonts w:ascii="Times New Roman" w:hAnsi="Times New Roman"/>
                <w:color w:val="000000"/>
                <w:sz w:val="20"/>
              </w:rPr>
              <w:t> </w:t>
            </w:r>
            <w:r>
              <w:rPr>
                <w:rFonts w:ascii="Arial" w:hAnsi="Arial"/>
                <w:color w:val="000000"/>
                <w:sz w:val="20"/>
              </w:rPr>
              <w:t>No effect</w:t>
            </w:r>
          </w:p>
        </w:tc>
        <w:tc>
          <w:tcPr>
            <w:tcW w:w="109" w:type="dxa"/>
            <w:tcBorders/>
            <w:shd w:fill="DCDD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shd w:fill="DCDDDE" w:val="clear"/>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spacing w:before="120" w:after="283"/>
        <w:jc w:val="both"/>
        <w:rPr>
          <w:rFonts w:ascii="Times New Roman" w:hAnsi="Times New Roman"/>
          <w:sz w:val="20"/>
        </w:rPr>
      </w:pPr>
      <w:r>
        <w:rPr>
          <w:rFonts w:ascii="Arial" w:hAnsi="Arial"/>
          <w:color w:val="000000"/>
          <w:sz w:val="20"/>
        </w:rPr>
        <w:t xml:space="preserve">Pursuant to SEC rules, our stockholders are being asked to approve, on an advisory basis, the compensation of our NEOs as disclosed in this Proxy Statement. We have recently received </w:t>
      </w:r>
      <w:r>
        <w:rPr>
          <w:rFonts w:ascii="Arial" w:hAnsi="Arial"/>
          <w:color w:val="1F497D"/>
          <w:sz w:val="20"/>
        </w:rPr>
        <w:t>high levels</w:t>
      </w:r>
      <w:r>
        <w:rPr>
          <w:rFonts w:ascii="Times New Roman" w:hAnsi="Times New Roman"/>
          <w:color w:val="000000"/>
          <w:sz w:val="20"/>
        </w:rPr>
        <w:t xml:space="preserve"> </w:t>
      </w:r>
      <w:r>
        <w:rPr>
          <w:rFonts w:ascii="Arial" w:hAnsi="Arial"/>
          <w:color w:val="000000"/>
          <w:sz w:val="20"/>
        </w:rPr>
        <w:t>of support from our stockholders on advisory votes to approve executive compensation.</w:t>
      </w:r>
    </w:p>
    <w:p>
      <w:pPr>
        <w:pStyle w:val="TextBody"/>
        <w:bidi w:val="0"/>
        <w:jc w:val="both"/>
        <w:rPr/>
      </w:pPr>
      <w:r>
        <w:rPr/>
        <w:t> </w:t>
      </w:r>
    </w:p>
    <w:tbl>
      <w:tblPr>
        <w:tblW w:w="5882" w:type="dxa"/>
        <w:jc w:val="left"/>
        <w:tblInd w:w="0" w:type="dxa"/>
        <w:tblLayout w:type="fixed"/>
        <w:tblCellMar>
          <w:top w:w="28" w:type="dxa"/>
          <w:left w:w="28" w:type="dxa"/>
          <w:bottom w:w="28" w:type="dxa"/>
          <w:right w:w="28" w:type="dxa"/>
        </w:tblCellMar>
      </w:tblPr>
      <w:tblGrid>
        <w:gridCol w:w="2086"/>
        <w:gridCol w:w="3796"/>
      </w:tblGrid>
      <w:tr>
        <w:trPr/>
        <w:tc>
          <w:tcPr>
            <w:tcW w:w="2086" w:type="dxa"/>
            <w:tcBorders/>
            <w:vAlign w:val="center"/>
          </w:tcPr>
          <w:p>
            <w:pPr>
              <w:pStyle w:val="TableContents"/>
              <w:bidi w:val="0"/>
              <w:spacing w:before="0" w:after="283"/>
              <w:jc w:val="left"/>
              <w:rPr>
                <w:sz w:val="4"/>
                <w:szCs w:val="4"/>
              </w:rPr>
            </w:pPr>
            <w:r>
              <w:rPr>
                <w:sz w:val="4"/>
                <w:szCs w:val="4"/>
              </w:rPr>
            </w:r>
          </w:p>
        </w:tc>
        <w:tc>
          <w:tcPr>
            <w:tcW w:w="3796" w:type="dxa"/>
            <w:tcBorders/>
            <w:vAlign w:val="center"/>
          </w:tcPr>
          <w:p>
            <w:pPr>
              <w:pStyle w:val="TableContents"/>
              <w:bidi w:val="0"/>
              <w:spacing w:before="0" w:after="283"/>
              <w:jc w:val="left"/>
              <w:rPr>
                <w:sz w:val="4"/>
                <w:szCs w:val="4"/>
              </w:rPr>
            </w:pPr>
            <w:r>
              <w:rPr>
                <w:sz w:val="4"/>
                <w:szCs w:val="4"/>
              </w:rPr>
            </w:r>
          </w:p>
        </w:tc>
      </w:tr>
      <w:tr>
        <w:trPr/>
        <w:tc>
          <w:tcPr>
            <w:tcW w:w="5882" w:type="dxa"/>
            <w:gridSpan w:val="2"/>
            <w:tcBorders/>
            <w:shd w:fill="004B87" w:val="clear"/>
            <w:tcMar>
              <w:top w:w="0" w:type="dxa"/>
              <w:left w:w="0" w:type="dxa"/>
              <w:bottom w:w="0" w:type="dxa"/>
              <w:right w:w="0" w:type="dxa"/>
            </w:tcMar>
            <w:vAlign w:val="center"/>
          </w:tcPr>
          <w:p>
            <w:pPr>
              <w:pStyle w:val="TableContents"/>
              <w:bidi w:val="0"/>
              <w:spacing w:before="0" w:after="283"/>
              <w:jc w:val="center"/>
              <w:rPr>
                <w:rFonts w:ascii="Arial" w:hAnsi="Arial"/>
                <w:b/>
                <w:color w:val="FFFFFF"/>
                <w:sz w:val="24"/>
              </w:rPr>
            </w:pPr>
            <w:r>
              <w:rPr>
                <w:rFonts w:ascii="Arial" w:hAnsi="Arial"/>
                <w:b/>
                <w:color w:val="FFFFFF"/>
                <w:sz w:val="24"/>
              </w:rPr>
              <w:t>Recent Support for Say-on-Pay Proposal</w:t>
            </w:r>
          </w:p>
        </w:tc>
      </w:tr>
      <w:tr>
        <w:trPr/>
        <w:tc>
          <w:tcPr>
            <w:tcW w:w="2086" w:type="dxa"/>
            <w:tcBorders/>
            <w:shd w:fill="D9D9D9" w:val="clear"/>
            <w:tcMar>
              <w:top w:w="0" w:type="dxa"/>
              <w:left w:w="0" w:type="dxa"/>
              <w:bottom w:w="0" w:type="dxa"/>
              <w:right w:w="0" w:type="dxa"/>
            </w:tcMar>
            <w:vAlign w:val="center"/>
          </w:tcPr>
          <w:p>
            <w:pPr>
              <w:pStyle w:val="TableContents"/>
              <w:bidi w:val="0"/>
              <w:spacing w:before="0" w:after="283"/>
              <w:jc w:val="left"/>
              <w:rPr/>
            </w:pPr>
            <w:r>
              <w:rPr>
                <w:color w:val="002668"/>
              </w:rPr>
              <w:t>   </w:t>
            </w:r>
            <w:r>
              <w:rPr>
                <w:rFonts w:ascii="Arial" w:hAnsi="Arial"/>
                <w:b/>
                <w:color w:val="002668"/>
                <w:sz w:val="36"/>
              </w:rPr>
              <w:t>2023:</w:t>
            </w:r>
            <w:r>
              <w:rPr>
                <w:rFonts w:ascii="Times New Roman" w:hAnsi="Times New Roman"/>
                <w:color w:val="004987"/>
                <w:sz w:val="36"/>
              </w:rPr>
              <w:t xml:space="preserve"> </w:t>
            </w:r>
            <w:r>
              <w:rPr>
                <w:rFonts w:ascii="Arial" w:hAnsi="Arial"/>
                <w:b/>
                <w:color w:val="4F81BD"/>
                <w:sz w:val="36"/>
              </w:rPr>
              <w:t>97%</w:t>
            </w:r>
            <w:r>
              <w:rPr>
                <w:rFonts w:ascii="Times New Roman" w:hAnsi="Times New Roman"/>
                <w:color w:val="4F81BD"/>
                <w:sz w:val="36"/>
              </w:rPr>
              <w:t xml:space="preserve"> </w:t>
            </w:r>
          </w:p>
        </w:tc>
        <w:tc>
          <w:tcPr>
            <w:tcW w:w="3796" w:type="dxa"/>
            <w:tcBorders/>
            <w:shd w:fill="D9D9D9" w:val="clear"/>
            <w:tcMar>
              <w:top w:w="0" w:type="dxa"/>
              <w:left w:w="0" w:type="dxa"/>
              <w:bottom w:w="0" w:type="dxa"/>
              <w:right w:w="0" w:type="dxa"/>
            </w:tcMar>
            <w:vAlign w:val="center"/>
          </w:tcPr>
          <w:p>
            <w:pPr>
              <w:pStyle w:val="TableContents"/>
              <w:bidi w:val="0"/>
              <w:spacing w:before="0" w:after="283"/>
              <w:jc w:val="left"/>
              <w:rPr/>
            </w:pPr>
            <w:r>
              <w:rPr>
                <w:color w:val="002668"/>
              </w:rPr>
              <w:t> </w:t>
            </w:r>
            <w:r>
              <w:rPr>
                <w:rFonts w:ascii="Arial" w:hAnsi="Arial"/>
                <w:b/>
                <w:color w:val="002668"/>
                <w:sz w:val="36"/>
              </w:rPr>
              <w:t>2024:</w:t>
            </w:r>
            <w:r>
              <w:rPr>
                <w:rFonts w:ascii="Times New Roman" w:hAnsi="Times New Roman"/>
                <w:color w:val="004987"/>
                <w:sz w:val="36"/>
              </w:rPr>
              <w:t xml:space="preserve"> </w:t>
            </w:r>
            <w:r>
              <w:rPr>
                <w:rFonts w:ascii="Arial" w:hAnsi="Arial"/>
                <w:b/>
                <w:color w:val="4F81BD"/>
                <w:sz w:val="36"/>
              </w:rPr>
              <w:t xml:space="preserve">95% </w:t>
            </w:r>
            <w:r>
              <w:rPr>
                <w:rFonts w:ascii="Arial" w:hAnsi="Arial"/>
                <w:b/>
                <w:color w:val="002668"/>
                <w:sz w:val="36"/>
              </w:rPr>
              <w:t>2025:</w:t>
            </w:r>
            <w:r>
              <w:rPr>
                <w:rFonts w:ascii="Times New Roman" w:hAnsi="Times New Roman"/>
                <w:color w:val="004987"/>
                <w:sz w:val="36"/>
              </w:rPr>
              <w:t xml:space="preserve"> </w:t>
            </w:r>
            <w:r>
              <w:rPr>
                <w:rFonts w:ascii="Arial" w:hAnsi="Arial"/>
                <w:b/>
                <w:color w:val="4F81BD"/>
                <w:sz w:val="36"/>
              </w:rPr>
              <w:t>92%</w:t>
            </w:r>
            <w:r>
              <w:rPr>
                <w:rFonts w:ascii="Times New Roman" w:hAnsi="Times New Roman"/>
                <w:color w:val="4F81BD"/>
                <w:sz w:val="36"/>
              </w:rPr>
              <w:t xml:space="preserve"> </w:t>
            </w:r>
          </w:p>
        </w:tc>
      </w:tr>
    </w:tbl>
    <w:p>
      <w:pPr>
        <w:pStyle w:val="TextBody"/>
        <w:bidi w:val="0"/>
        <w:spacing w:before="120" w:after="283"/>
        <w:jc w:val="both"/>
        <w:rPr>
          <w:rFonts w:ascii="Times New Roman" w:hAnsi="Times New Roman"/>
          <w:sz w:val="20"/>
        </w:rPr>
      </w:pPr>
      <w:r>
        <w:rPr>
          <w:rFonts w:ascii="Arial" w:hAnsi="Arial"/>
          <w:color w:val="000000"/>
          <w:sz w:val="20"/>
        </w:rPr>
        <w:t>As described in the Compensation Discussion and Analysis section, we believe our compensation policies and procedures are competitive, focused on pay-for-performance principles, and aligned with the long-term interests of our stockholders.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Consistent with our pay-for-performance philosophy:</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Arial" w:hAnsi="Arial"/>
          <w:color w:val="000000"/>
          <w:sz w:val="20"/>
        </w:rPr>
        <w:t xml:space="preserve">Our NEOs (other than Mr. Tengwall) </w:t>
      </w:r>
      <w:r>
        <w:rPr>
          <w:rFonts w:ascii="Arial" w:hAnsi="Arial"/>
          <w:color w:val="4F81BD"/>
          <w:sz w:val="20"/>
          <w:u w:val="single"/>
        </w:rPr>
        <w:t>received no increase in their base salaries</w:t>
      </w:r>
      <w:r>
        <w:rPr>
          <w:rFonts w:ascii="Arial" w:hAnsi="Arial"/>
          <w:color w:val="000000"/>
          <w:sz w:val="20"/>
        </w:rPr>
        <w:t>.</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Arial" w:hAnsi="Arial"/>
          <w:color w:val="000000"/>
          <w:sz w:val="20"/>
        </w:rPr>
        <w:t xml:space="preserve">Our NEOs </w:t>
      </w:r>
      <w:r>
        <w:rPr>
          <w:rFonts w:ascii="Arial" w:hAnsi="Arial"/>
          <w:color w:val="4F81BD"/>
          <w:sz w:val="20"/>
          <w:u w:val="single"/>
        </w:rPr>
        <w:t>received 121.8% of their fiscal 2026 annual cash incentive</w:t>
      </w:r>
      <w:r>
        <w:rPr>
          <w:color w:val="000000"/>
        </w:rPr>
        <w:t xml:space="preserve"> </w:t>
      </w:r>
      <w:r>
        <w:rPr>
          <w:rFonts w:ascii="Arial" w:hAnsi="Arial"/>
          <w:color w:val="000000"/>
          <w:sz w:val="20"/>
        </w:rPr>
        <w:t xml:space="preserve">based on our performance with respect to Adjusted EBITDAS, Net Sales, and certain strategic goals.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Arial" w:hAnsi="Arial"/>
          <w:color w:val="000000"/>
          <w:sz w:val="20"/>
        </w:rPr>
        <w:t xml:space="preserve">Our NEOs </w:t>
      </w:r>
      <w:r>
        <w:rPr>
          <w:rFonts w:ascii="Arial" w:hAnsi="Arial"/>
          <w:color w:val="4F81BD"/>
          <w:sz w:val="20"/>
          <w:u w:val="single"/>
        </w:rPr>
        <w:t>received none of the target shares</w:t>
      </w:r>
      <w:r>
        <w:rPr>
          <w:color w:val="4F81BD"/>
        </w:rPr>
        <w:t xml:space="preserve"> </w:t>
      </w:r>
      <w:r>
        <w:rPr>
          <w:rFonts w:ascii="Arial" w:hAnsi="Arial"/>
          <w:color w:val="000000"/>
          <w:sz w:val="20"/>
        </w:rPr>
        <w:t>of common stock for the performance-based restricted stock unit ("PSU") portion of the stock-based award in 2023</w:t>
      </w:r>
      <w:r>
        <w:rPr>
          <w:color w:val="000000"/>
        </w:rPr>
        <w:t xml:space="preserve"> </w:t>
      </w:r>
      <w:r>
        <w:rPr>
          <w:rFonts w:ascii="Arial" w:hAnsi="Arial"/>
          <w:color w:val="000000"/>
          <w:sz w:val="20"/>
        </w:rPr>
        <w:t xml:space="preserve">because we failed to meet the minimum share price performance requirements. This represented the </w:t>
      </w:r>
      <w:r>
        <w:rPr>
          <w:rFonts w:ascii="Arial" w:hAnsi="Arial"/>
          <w:i/>
          <w:color w:val="4F81BD"/>
          <w:sz w:val="20"/>
        </w:rPr>
        <w:t>fourth consecutive year that our NEOs did not receive any of the target shares</w:t>
      </w:r>
      <w:r>
        <w:rPr>
          <w:color w:val="000000"/>
        </w:rPr>
        <w:t xml:space="preserve"> </w:t>
      </w:r>
      <w:r>
        <w:rPr>
          <w:rFonts w:ascii="Arial" w:hAnsi="Arial"/>
          <w:color w:val="000000"/>
          <w:sz w:val="20"/>
        </w:rPr>
        <w:t xml:space="preserve">of common stock for the PSU portion of the applicable stock-based awards, in each case because we failed to meet the applicable minimum share price performance requirements. </w:t>
      </w:r>
    </w:p>
    <w:p>
      <w:pPr>
        <w:pStyle w:val="TextBody"/>
        <w:bidi w:val="0"/>
        <w:spacing w:before="240" w:after="283"/>
        <w:jc w:val="both"/>
        <w:rPr>
          <w:rFonts w:ascii="Arial" w:hAnsi="Arial"/>
          <w:color w:val="000000"/>
          <w:sz w:val="20"/>
        </w:rPr>
      </w:pPr>
      <w:r>
        <w:rPr>
          <w:rFonts w:ascii="Arial" w:hAnsi="Arial"/>
          <w:color w:val="000000"/>
          <w:sz w:val="20"/>
        </w:rPr>
        <w:t>The advisory vote on this resolution is not intended to address any specific element of compensation; rather, it relates to the overall compensation of our NEOs, as well as the compensation philosophy, policies, and practices described in this Proxy Statement. Our stockholders may vote for or against, or abstain from voting on, the following resolution:</w:t>
      </w:r>
    </w:p>
    <w:p>
      <w:pPr>
        <w:pStyle w:val="TextBody"/>
        <w:bidi w:val="0"/>
        <w:spacing w:before="120" w:after="283"/>
        <w:jc w:val="both"/>
        <w:rPr>
          <w:rFonts w:ascii="Times New Roman" w:hAnsi="Times New Roman"/>
          <w:sz w:val="20"/>
        </w:rPr>
      </w:pPr>
      <w:r>
        <w:rPr>
          <w:rFonts w:ascii="Arial" w:hAnsi="Arial"/>
          <w:color w:val="000000"/>
          <w:sz w:val="20"/>
        </w:rPr>
        <w:t>RESOLVED, that the stockholders of the Company approve, on an advisory basis, the compensation of the Company’s named executive officers, as disclosed in the Compensation Discussion and Analysis, executive compensation tables, and narrative discussion set forth in the Proxy Statement for the 2026 Annual Meeting of Stockholders.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This advisory vote will not be binding on the Board. The Compensation Committee will, however, take the outcome of the vote into account when considering future executive compensation decisions. We provide our stockholders with this advisory vote on an annual basis and expect that the next such vote will occur at the 2027 Annual Meeting.</w:t>
      </w:r>
    </w:p>
    <w:p>
      <w:pPr>
        <w:pStyle w:val="TextBody"/>
        <w:bidi w:val="0"/>
        <w:jc w:val="both"/>
        <w:rPr/>
      </w:pPr>
      <w:r>
        <w:rPr/>
        <w:t> </w:t>
      </w:r>
    </w:p>
    <w:p>
      <w:pPr>
        <w:pStyle w:val="TextBody"/>
        <w:bidi w:val="0"/>
        <w:jc w:val="left"/>
        <w:rPr/>
      </w:pPr>
      <w:r>
        <w:rPr/>
        <w:t> </w:t>
      </w:r>
    </w:p>
    <w:tbl>
      <w:tblPr>
        <w:tblW w:w="3702" w:type="dxa"/>
        <w:jc w:val="left"/>
        <w:tblInd w:w="0" w:type="dxa"/>
        <w:tblLayout w:type="fixed"/>
        <w:tblCellMar>
          <w:top w:w="28" w:type="dxa"/>
          <w:left w:w="28" w:type="dxa"/>
          <w:bottom w:w="28" w:type="dxa"/>
          <w:right w:w="28" w:type="dxa"/>
        </w:tblCellMar>
      </w:tblPr>
      <w:tblGrid>
        <w:gridCol w:w="1406"/>
        <w:gridCol w:w="2296"/>
      </w:tblGrid>
      <w:tr>
        <w:trPr/>
        <w:tc>
          <w:tcPr>
            <w:tcW w:w="1406"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r>
      <w:tr>
        <w:trPr/>
        <w:tc>
          <w:tcPr>
            <w:tcW w:w="140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828675" cy="19050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828675" cy="190500"/>
                          </a:xfrm>
                          <a:prstGeom prst="rect">
                            <a:avLst/>
                          </a:prstGeom>
                        </pic:spPr>
                      </pic:pic>
                    </a:graphicData>
                  </a:graphic>
                </wp:inline>
              </w:drawing>
            </w:r>
          </w:p>
        </w:tc>
        <w:tc>
          <w:tcPr>
            <w:tcW w:w="2296" w:type="dxa"/>
            <w:tcBorders/>
            <w:tcMar>
              <w:top w:w="0" w:type="dxa"/>
              <w:left w:w="0" w:type="dxa"/>
              <w:bottom w:w="0" w:type="dxa"/>
              <w:right w:w="0" w:type="dxa"/>
            </w:tcMar>
            <w:vAlign w:val="center"/>
          </w:tcPr>
          <w:p>
            <w:pPr>
              <w:pStyle w:val="TableContents"/>
              <w:bidi w:val="0"/>
              <w:spacing w:before="0" w:after="283"/>
              <w:jc w:val="right"/>
              <w:rPr>
                <w:rFonts w:ascii="Arial" w:hAnsi="Arial"/>
                <w:color w:val="091F2C"/>
                <w:sz w:val="18"/>
              </w:rPr>
            </w:pPr>
            <w:r>
              <w:rPr>
                <w:rFonts w:ascii="Arial" w:hAnsi="Arial"/>
                <w:color w:val="091F2C"/>
                <w:sz w:val="18"/>
              </w:rPr>
              <w:t>2026 Proxy Statement I 16</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2277" w:type="dxa"/>
        <w:jc w:val="left"/>
        <w:tblInd w:w="0" w:type="dxa"/>
        <w:tblLayout w:type="fixed"/>
        <w:tblCellMar>
          <w:top w:w="28" w:type="dxa"/>
          <w:left w:w="28" w:type="dxa"/>
          <w:bottom w:w="28" w:type="dxa"/>
          <w:right w:w="28" w:type="dxa"/>
        </w:tblCellMar>
      </w:tblPr>
      <w:tblGrid>
        <w:gridCol w:w="2086"/>
        <w:gridCol w:w="191"/>
      </w:tblGrid>
      <w:tr>
        <w:trPr/>
        <w:tc>
          <w:tcPr>
            <w:tcW w:w="20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86" w:type="dxa"/>
            <w:tcBorders/>
            <w:tcMar>
              <w:top w:w="0" w:type="dxa"/>
              <w:left w:w="0" w:type="dxa"/>
              <w:bottom w:w="0" w:type="dxa"/>
              <w:right w:w="0" w:type="dxa"/>
            </w:tcMar>
            <w:vAlign w:val="center"/>
          </w:tcPr>
          <w:p>
            <w:pPr>
              <w:pStyle w:val="TableContents"/>
              <w:bidi w:val="0"/>
              <w:spacing w:before="0" w:after="283"/>
              <w:jc w:val="left"/>
              <w:rPr>
                <w:rFonts w:ascii="Arial" w:hAnsi="Arial"/>
                <w:color w:val="002668"/>
                <w:sz w:val="20"/>
              </w:rPr>
            </w:pPr>
            <w:r>
              <w:rPr>
                <w:rFonts w:ascii="Arial" w:hAnsi="Arial"/>
                <w:color w:val="002668"/>
                <w:sz w:val="20"/>
              </w:rPr>
              <w:t>Compensation Matters</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bottom w:val="single" w:sz="8" w:space="0" w:color="002668"/>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Arial" w:hAnsi="Arial"/>
          <w:b/>
          <w:caps/>
          <w:color w:val="002668"/>
          <w:sz w:val="40"/>
        </w:rPr>
      </w:pPr>
      <w:bookmarkStart w:id="6" w:name="compensation_discussion_analysis"/>
      <w:bookmarkEnd w:id="6"/>
      <w:r>
        <w:rPr>
          <w:rFonts w:ascii="Arial" w:hAnsi="Arial"/>
          <w:b/>
          <w:caps/>
          <w:color w:val="002668"/>
          <w:sz w:val="40"/>
        </w:rPr>
        <w:t>COMPENSATION DISCUSSION AND ANALysis</w:t>
      </w:r>
    </w:p>
    <w:p>
      <w:pPr>
        <w:pStyle w:val="TextBody"/>
        <w:bidi w:val="0"/>
        <w:spacing w:before="120" w:after="120"/>
        <w:jc w:val="both"/>
        <w:rPr>
          <w:rFonts w:ascii="Arial" w:hAnsi="Arial"/>
          <w:b/>
          <w:color w:val="002668"/>
          <w:sz w:val="28"/>
        </w:rPr>
      </w:pPr>
      <w:r>
        <w:rPr>
          <w:rFonts w:ascii="Arial" w:hAnsi="Arial"/>
          <w:b/>
          <w:color w:val="002668"/>
          <w:sz w:val="28"/>
        </w:rPr>
        <w:t>EXECUTIVE SUMMARY</w:t>
      </w:r>
    </w:p>
    <w:p>
      <w:pPr>
        <w:pStyle w:val="TextBody"/>
        <w:bidi w:val="0"/>
        <w:jc w:val="both"/>
        <w:rPr>
          <w:rFonts w:ascii="Times New Roman" w:hAnsi="Times New Roman"/>
          <w:sz w:val="20"/>
        </w:rPr>
      </w:pPr>
      <w:r>
        <w:rPr>
          <w:rFonts w:ascii="Arial" w:hAnsi="Arial"/>
          <w:color w:val="002668"/>
          <w:sz w:val="24"/>
          <w:u w:val="single"/>
        </w:rPr>
        <w:t>Named Executive Officers</w:t>
      </w:r>
      <w:r>
        <w:rPr>
          <w:rFonts w:ascii="Times New Roman" w:hAnsi="Times New Roman"/>
          <w:color w:val="002668"/>
          <w:sz w:val="20"/>
        </w:rPr>
        <w:t xml:space="preserve"> </w:t>
      </w:r>
    </w:p>
    <w:p>
      <w:pPr>
        <w:pStyle w:val="TextBody"/>
        <w:bidi w:val="0"/>
        <w:jc w:val="both"/>
        <w:rPr>
          <w:rFonts w:ascii="Arial" w:hAnsi="Arial"/>
          <w:color w:val="000000"/>
          <w:sz w:val="20"/>
        </w:rPr>
      </w:pPr>
      <w:r>
        <w:rPr>
          <w:rFonts w:ascii="Arial" w:hAnsi="Arial"/>
          <w:color w:val="000000"/>
          <w:sz w:val="20"/>
        </w:rPr>
        <w:t>This section describes our executive compensation program, outlines the core principles behind that program, and reviews the actions taken by the Compensation Committee concerning the fiscal 2026 compensation of the following NEOs:</w:t>
      </w:r>
    </w:p>
    <w:p>
      <w:pPr>
        <w:pStyle w:val="TextBody"/>
        <w:bidi w:val="0"/>
        <w:jc w:val="both"/>
        <w:rPr/>
      </w:pPr>
      <w:r>
        <w:rPr/>
        <w:t> </w:t>
      </w:r>
    </w:p>
    <w:tbl>
      <w:tblPr>
        <w:tblW w:w="6947" w:type="dxa"/>
        <w:jc w:val="left"/>
        <w:tblInd w:w="0" w:type="dxa"/>
        <w:tblLayout w:type="fixed"/>
        <w:tblCellMar>
          <w:top w:w="28" w:type="dxa"/>
          <w:left w:w="28" w:type="dxa"/>
          <w:bottom w:w="28" w:type="dxa"/>
          <w:right w:w="28" w:type="dxa"/>
        </w:tblCellMar>
      </w:tblPr>
      <w:tblGrid>
        <w:gridCol w:w="1981"/>
        <w:gridCol w:w="4966"/>
      </w:tblGrid>
      <w:tr>
        <w:trPr/>
        <w:tc>
          <w:tcPr>
            <w:tcW w:w="1981" w:type="dxa"/>
            <w:tcBorders/>
            <w:vAlign w:val="center"/>
          </w:tcPr>
          <w:p>
            <w:pPr>
              <w:pStyle w:val="TableContents"/>
              <w:bidi w:val="0"/>
              <w:spacing w:before="0" w:after="283"/>
              <w:jc w:val="left"/>
              <w:rPr>
                <w:sz w:val="4"/>
                <w:szCs w:val="4"/>
              </w:rPr>
            </w:pPr>
            <w:r>
              <w:rPr>
                <w:sz w:val="4"/>
                <w:szCs w:val="4"/>
              </w:rPr>
            </w:r>
          </w:p>
        </w:tc>
        <w:tc>
          <w:tcPr>
            <w:tcW w:w="4966" w:type="dxa"/>
            <w:tcBorders/>
            <w:vAlign w:val="center"/>
          </w:tcPr>
          <w:p>
            <w:pPr>
              <w:pStyle w:val="TableContents"/>
              <w:bidi w:val="0"/>
              <w:spacing w:before="0" w:after="283"/>
              <w:ind w:left="0" w:right="0" w:firstLine="90"/>
              <w:jc w:val="left"/>
              <w:rPr>
                <w:sz w:val="4"/>
                <w:szCs w:val="4"/>
              </w:rPr>
            </w:pPr>
            <w:r>
              <w:rPr>
                <w:sz w:val="4"/>
                <w:szCs w:val="4"/>
              </w:rPr>
            </w:r>
          </w:p>
        </w:tc>
      </w:tr>
      <w:tr>
        <w:trPr/>
        <w:tc>
          <w:tcPr>
            <w:tcW w:w="1981" w:type="dxa"/>
            <w:tcBorders/>
            <w:shd w:fill="002668" w:val="clear"/>
            <w:tcMar>
              <w:top w:w="0" w:type="dxa"/>
              <w:left w:w="0" w:type="dxa"/>
              <w:bottom w:w="0" w:type="dxa"/>
              <w:right w:w="0" w:type="dxa"/>
            </w:tcMar>
            <w:vAlign w:val="center"/>
          </w:tcPr>
          <w:p>
            <w:pPr>
              <w:pStyle w:val="TableContents"/>
              <w:bidi w:val="0"/>
              <w:spacing w:before="0" w:after="283"/>
              <w:ind w:left="0" w:right="0" w:firstLine="90"/>
              <w:jc w:val="both"/>
              <w:rPr>
                <w:rFonts w:ascii="Arial" w:hAnsi="Arial"/>
                <w:b/>
                <w:color w:val="FFFFFF"/>
                <w:sz w:val="18"/>
              </w:rPr>
            </w:pPr>
            <w:r>
              <w:rPr>
                <w:rFonts w:ascii="Arial" w:hAnsi="Arial"/>
                <w:b/>
                <w:color w:val="FFFFFF"/>
                <w:sz w:val="18"/>
              </w:rPr>
              <w:t>Name</w:t>
            </w:r>
          </w:p>
        </w:tc>
        <w:tc>
          <w:tcPr>
            <w:tcW w:w="4966" w:type="dxa"/>
            <w:tcBorders/>
            <w:shd w:fill="002668" w:val="clear"/>
            <w:tcMar>
              <w:top w:w="0" w:type="dxa"/>
              <w:left w:w="0" w:type="dxa"/>
              <w:bottom w:w="0" w:type="dxa"/>
              <w:right w:w="0" w:type="dxa"/>
            </w:tcMar>
            <w:vAlign w:val="center"/>
          </w:tcPr>
          <w:p>
            <w:pPr>
              <w:pStyle w:val="TableContents"/>
              <w:bidi w:val="0"/>
              <w:spacing w:before="0" w:after="283"/>
              <w:ind w:left="0" w:right="0" w:firstLine="90"/>
              <w:jc w:val="both"/>
              <w:rPr>
                <w:rFonts w:ascii="Arial" w:hAnsi="Arial"/>
                <w:b/>
                <w:color w:val="FFFFFF"/>
                <w:sz w:val="18"/>
              </w:rPr>
            </w:pPr>
            <w:r>
              <w:rPr>
                <w:rFonts w:ascii="Arial" w:hAnsi="Arial"/>
                <w:b/>
                <w:color w:val="FFFFFF"/>
                <w:sz w:val="18"/>
              </w:rPr>
              <w:t>Title</w:t>
            </w:r>
          </w:p>
        </w:tc>
      </w:tr>
      <w:tr>
        <w:trPr/>
        <w:tc>
          <w:tcPr>
            <w:tcW w:w="1981" w:type="dxa"/>
            <w:tcBorders/>
            <w:shd w:fill="DCDDDE" w:val="clear"/>
            <w:tcMar>
              <w:top w:w="0" w:type="dxa"/>
              <w:left w:w="0" w:type="dxa"/>
              <w:bottom w:w="0" w:type="dxa"/>
              <w:right w:w="0" w:type="dxa"/>
            </w:tcMar>
            <w:vAlign w:val="center"/>
          </w:tcPr>
          <w:p>
            <w:pPr>
              <w:pStyle w:val="TableContents"/>
              <w:bidi w:val="0"/>
              <w:spacing w:before="60" w:after="60"/>
              <w:ind w:left="0" w:right="0" w:firstLine="90"/>
              <w:jc w:val="both"/>
              <w:rPr>
                <w:rFonts w:ascii="Times New Roman" w:hAnsi="Times New Roman"/>
                <w:sz w:val="18"/>
              </w:rPr>
            </w:pPr>
            <w:r>
              <w:rPr>
                <w:rFonts w:ascii="Arial" w:hAnsi="Arial"/>
                <w:color w:val="000000"/>
                <w:sz w:val="18"/>
              </w:rPr>
              <w:t>Mark P. Smith</w:t>
            </w:r>
            <w:r>
              <w:rPr>
                <w:rFonts w:ascii="Times New Roman" w:hAnsi="Times New Roman"/>
                <w:color w:val="000000"/>
                <w:sz w:val="18"/>
              </w:rPr>
              <w:t xml:space="preserve"> </w:t>
            </w:r>
          </w:p>
        </w:tc>
        <w:tc>
          <w:tcPr>
            <w:tcW w:w="4966" w:type="dxa"/>
            <w:tcBorders/>
            <w:shd w:fill="DCDDDE" w:val="clear"/>
            <w:tcMar>
              <w:top w:w="0" w:type="dxa"/>
              <w:left w:w="0" w:type="dxa"/>
              <w:bottom w:w="0" w:type="dxa"/>
              <w:right w:w="0" w:type="dxa"/>
            </w:tcMar>
            <w:vAlign w:val="center"/>
          </w:tcPr>
          <w:p>
            <w:pPr>
              <w:pStyle w:val="TableContents"/>
              <w:bidi w:val="0"/>
              <w:spacing w:before="60" w:after="60"/>
              <w:ind w:left="0" w:right="0" w:firstLine="90"/>
              <w:jc w:val="both"/>
              <w:rPr>
                <w:rFonts w:ascii="Arial" w:hAnsi="Arial"/>
                <w:color w:val="000000"/>
                <w:sz w:val="18"/>
              </w:rPr>
            </w:pPr>
            <w:r>
              <w:rPr>
                <w:rFonts w:ascii="Arial" w:hAnsi="Arial"/>
                <w:color w:val="000000"/>
                <w:sz w:val="18"/>
              </w:rPr>
              <w:t>President and CEO</w:t>
            </w:r>
          </w:p>
        </w:tc>
      </w:tr>
      <w:tr>
        <w:trPr/>
        <w:tc>
          <w:tcPr>
            <w:tcW w:w="1981" w:type="dxa"/>
            <w:tcBorders/>
            <w:tcMar>
              <w:top w:w="0" w:type="dxa"/>
              <w:left w:w="0" w:type="dxa"/>
              <w:bottom w:w="0" w:type="dxa"/>
              <w:right w:w="0" w:type="dxa"/>
            </w:tcMar>
            <w:vAlign w:val="center"/>
          </w:tcPr>
          <w:p>
            <w:pPr>
              <w:pStyle w:val="TableContents"/>
              <w:bidi w:val="0"/>
              <w:spacing w:before="60" w:after="60"/>
              <w:ind w:left="0" w:right="0" w:firstLine="90"/>
              <w:jc w:val="both"/>
              <w:rPr>
                <w:rFonts w:ascii="Times New Roman" w:hAnsi="Times New Roman"/>
                <w:sz w:val="18"/>
              </w:rPr>
            </w:pPr>
            <w:r>
              <w:rPr>
                <w:rFonts w:ascii="Arial" w:hAnsi="Arial"/>
                <w:color w:val="000000"/>
                <w:sz w:val="18"/>
              </w:rPr>
              <w:t>Deana L. McPherson</w:t>
            </w:r>
            <w:r>
              <w:rPr>
                <w:rFonts w:ascii="Times New Roman" w:hAnsi="Times New Roman"/>
                <w:color w:val="000000"/>
                <w:sz w:val="18"/>
              </w:rPr>
              <w:t xml:space="preserve"> </w:t>
            </w:r>
          </w:p>
        </w:tc>
        <w:tc>
          <w:tcPr>
            <w:tcW w:w="4966" w:type="dxa"/>
            <w:tcBorders/>
            <w:tcMar>
              <w:top w:w="0" w:type="dxa"/>
              <w:left w:w="0" w:type="dxa"/>
              <w:bottom w:w="0" w:type="dxa"/>
              <w:right w:w="0" w:type="dxa"/>
            </w:tcMar>
            <w:vAlign w:val="center"/>
          </w:tcPr>
          <w:p>
            <w:pPr>
              <w:pStyle w:val="TableContents"/>
              <w:bidi w:val="0"/>
              <w:spacing w:before="60" w:after="60"/>
              <w:jc w:val="both"/>
              <w:rPr>
                <w:rFonts w:ascii="Arial" w:hAnsi="Arial"/>
                <w:color w:val="000000"/>
                <w:sz w:val="18"/>
              </w:rPr>
            </w:pPr>
            <w:r>
              <w:rPr>
                <w:rFonts w:ascii="Arial" w:hAnsi="Arial"/>
                <w:color w:val="000000"/>
                <w:sz w:val="18"/>
              </w:rPr>
              <w:t>Executive Vice President, CFO, Treasurer, and Assistant</w:t>
            </w:r>
          </w:p>
          <w:p>
            <w:pPr>
              <w:pStyle w:val="TableContents"/>
              <w:bidi w:val="0"/>
              <w:spacing w:before="0" w:after="60"/>
              <w:ind w:left="0" w:right="0" w:firstLine="90"/>
              <w:jc w:val="both"/>
              <w:rPr>
                <w:rFonts w:ascii="Arial" w:hAnsi="Arial"/>
                <w:color w:val="000000"/>
                <w:sz w:val="18"/>
              </w:rPr>
            </w:pPr>
            <w:r>
              <w:rPr>
                <w:rFonts w:ascii="Arial" w:hAnsi="Arial"/>
                <w:color w:val="000000"/>
                <w:sz w:val="18"/>
              </w:rPr>
              <w:t>Secretary</w:t>
            </w:r>
          </w:p>
        </w:tc>
      </w:tr>
      <w:tr>
        <w:trPr/>
        <w:tc>
          <w:tcPr>
            <w:tcW w:w="1981" w:type="dxa"/>
            <w:tcBorders/>
            <w:shd w:fill="D9D9D9" w:val="clear"/>
            <w:tcMar>
              <w:top w:w="0" w:type="dxa"/>
              <w:left w:w="0" w:type="dxa"/>
              <w:bottom w:w="0" w:type="dxa"/>
              <w:right w:w="0" w:type="dxa"/>
            </w:tcMar>
            <w:vAlign w:val="center"/>
          </w:tcPr>
          <w:p>
            <w:pPr>
              <w:pStyle w:val="TableContents"/>
              <w:bidi w:val="0"/>
              <w:spacing w:before="60" w:after="60"/>
              <w:ind w:left="0" w:right="0" w:firstLine="90"/>
              <w:jc w:val="both"/>
              <w:rPr>
                <w:rFonts w:ascii="Arial" w:hAnsi="Arial"/>
                <w:color w:val="000000"/>
                <w:sz w:val="18"/>
              </w:rPr>
            </w:pPr>
            <w:r>
              <w:rPr>
                <w:rFonts w:ascii="Arial" w:hAnsi="Arial"/>
                <w:color w:val="000000"/>
                <w:sz w:val="18"/>
              </w:rPr>
              <w:t>Kevin A. Maxwell</w:t>
            </w:r>
          </w:p>
        </w:tc>
        <w:tc>
          <w:tcPr>
            <w:tcW w:w="4966" w:type="dxa"/>
            <w:tcBorders/>
            <w:shd w:fill="D9D9D9" w:val="clear"/>
            <w:tcMar>
              <w:top w:w="0" w:type="dxa"/>
              <w:left w:w="0" w:type="dxa"/>
              <w:bottom w:w="0" w:type="dxa"/>
              <w:right w:w="0" w:type="dxa"/>
            </w:tcMar>
            <w:vAlign w:val="center"/>
          </w:tcPr>
          <w:p>
            <w:pPr>
              <w:pStyle w:val="TableContents"/>
              <w:bidi w:val="0"/>
              <w:spacing w:before="60" w:after="60"/>
              <w:jc w:val="both"/>
              <w:rPr>
                <w:rFonts w:ascii="Arial" w:hAnsi="Arial"/>
                <w:color w:val="000000"/>
                <w:sz w:val="18"/>
              </w:rPr>
            </w:pPr>
            <w:r>
              <w:rPr>
                <w:rFonts w:ascii="Arial" w:hAnsi="Arial"/>
                <w:color w:val="000000"/>
                <w:sz w:val="18"/>
              </w:rPr>
              <w:t>Senior Vice President, General Counsel, Chief Compliance</w:t>
            </w:r>
          </w:p>
          <w:p>
            <w:pPr>
              <w:pStyle w:val="TableContents"/>
              <w:bidi w:val="0"/>
              <w:spacing w:before="0" w:after="60"/>
              <w:ind w:left="0" w:right="0" w:firstLine="90"/>
              <w:jc w:val="both"/>
              <w:rPr>
                <w:rFonts w:ascii="Arial" w:hAnsi="Arial"/>
                <w:color w:val="000000"/>
                <w:sz w:val="18"/>
              </w:rPr>
            </w:pPr>
            <w:r>
              <w:rPr>
                <w:rFonts w:ascii="Arial" w:hAnsi="Arial"/>
                <w:color w:val="000000"/>
                <w:sz w:val="18"/>
              </w:rPr>
              <w:t>Officer, and Secretary</w:t>
            </w:r>
          </w:p>
        </w:tc>
      </w:tr>
      <w:tr>
        <w:trPr/>
        <w:tc>
          <w:tcPr>
            <w:tcW w:w="1981" w:type="dxa"/>
            <w:tcBorders/>
            <w:tcMar>
              <w:top w:w="0" w:type="dxa"/>
              <w:left w:w="0" w:type="dxa"/>
              <w:bottom w:w="0" w:type="dxa"/>
              <w:right w:w="0" w:type="dxa"/>
            </w:tcMar>
            <w:vAlign w:val="center"/>
          </w:tcPr>
          <w:p>
            <w:pPr>
              <w:pStyle w:val="TableContents"/>
              <w:bidi w:val="0"/>
              <w:spacing w:before="60" w:after="60"/>
              <w:ind w:left="0" w:right="0" w:firstLine="90"/>
              <w:jc w:val="both"/>
              <w:rPr>
                <w:rFonts w:ascii="Times New Roman" w:hAnsi="Times New Roman"/>
                <w:sz w:val="18"/>
              </w:rPr>
            </w:pPr>
            <w:r>
              <w:rPr>
                <w:rFonts w:ascii="Arial" w:hAnsi="Arial"/>
                <w:color w:val="000000"/>
                <w:sz w:val="18"/>
              </w:rPr>
              <w:t>Susan J. Cupero</w:t>
            </w:r>
            <w:r>
              <w:rPr>
                <w:rFonts w:ascii="Times New Roman" w:hAnsi="Times New Roman"/>
                <w:color w:val="000000"/>
                <w:sz w:val="18"/>
              </w:rPr>
              <w:t xml:space="preserve"> </w:t>
            </w:r>
            <w:r>
              <w:rPr>
                <w:rFonts w:ascii="Arial" w:hAnsi="Arial"/>
                <w:color w:val="000000"/>
                <w:sz w:val="12"/>
              </w:rPr>
              <w:t>(1)</w:t>
            </w:r>
          </w:p>
        </w:tc>
        <w:tc>
          <w:tcPr>
            <w:tcW w:w="4966" w:type="dxa"/>
            <w:tcBorders/>
            <w:tcMar>
              <w:top w:w="0" w:type="dxa"/>
              <w:left w:w="0" w:type="dxa"/>
              <w:bottom w:w="0" w:type="dxa"/>
              <w:right w:w="0" w:type="dxa"/>
            </w:tcMar>
            <w:vAlign w:val="center"/>
          </w:tcPr>
          <w:p>
            <w:pPr>
              <w:pStyle w:val="TableContents"/>
              <w:bidi w:val="0"/>
              <w:spacing w:before="60" w:after="60"/>
              <w:ind w:left="0" w:right="0" w:firstLine="90"/>
              <w:jc w:val="both"/>
              <w:rPr>
                <w:rFonts w:ascii="Arial" w:hAnsi="Arial"/>
                <w:color w:val="000000"/>
                <w:sz w:val="18"/>
              </w:rPr>
            </w:pPr>
            <w:r>
              <w:rPr>
                <w:rFonts w:ascii="Arial" w:hAnsi="Arial"/>
                <w:color w:val="000000"/>
                <w:sz w:val="18"/>
              </w:rPr>
              <w:t>Vice President, Sales</w:t>
            </w:r>
          </w:p>
        </w:tc>
      </w:tr>
      <w:tr>
        <w:trPr/>
        <w:tc>
          <w:tcPr>
            <w:tcW w:w="1981" w:type="dxa"/>
            <w:tcBorders/>
            <w:shd w:fill="DCDDDE" w:val="clear"/>
            <w:tcMar>
              <w:top w:w="0" w:type="dxa"/>
              <w:left w:w="0" w:type="dxa"/>
              <w:bottom w:w="0" w:type="dxa"/>
              <w:right w:w="0" w:type="dxa"/>
            </w:tcMar>
            <w:vAlign w:val="center"/>
          </w:tcPr>
          <w:p>
            <w:pPr>
              <w:pStyle w:val="TableContents"/>
              <w:bidi w:val="0"/>
              <w:spacing w:before="60" w:after="60"/>
              <w:ind w:left="0" w:right="0" w:firstLine="90"/>
              <w:jc w:val="both"/>
              <w:rPr>
                <w:rFonts w:ascii="Times New Roman" w:hAnsi="Times New Roman"/>
                <w:sz w:val="18"/>
              </w:rPr>
            </w:pPr>
            <w:r>
              <w:rPr>
                <w:rFonts w:ascii="Arial" w:hAnsi="Arial"/>
                <w:color w:val="000000"/>
                <w:sz w:val="18"/>
              </w:rPr>
              <w:t xml:space="preserve">Kyle O. Tengwall </w:t>
            </w:r>
            <w:r>
              <w:rPr>
                <w:rFonts w:ascii="Arial" w:hAnsi="Arial"/>
                <w:color w:val="000000"/>
                <w:sz w:val="12"/>
              </w:rPr>
              <w:t>(2)</w:t>
            </w:r>
          </w:p>
        </w:tc>
        <w:tc>
          <w:tcPr>
            <w:tcW w:w="4966" w:type="dxa"/>
            <w:tcBorders/>
            <w:shd w:fill="DCDDDE" w:val="clear"/>
            <w:tcMar>
              <w:top w:w="0" w:type="dxa"/>
              <w:left w:w="0" w:type="dxa"/>
              <w:bottom w:w="0" w:type="dxa"/>
              <w:right w:w="0" w:type="dxa"/>
            </w:tcMar>
            <w:vAlign w:val="center"/>
          </w:tcPr>
          <w:p>
            <w:pPr>
              <w:pStyle w:val="TableContents"/>
              <w:bidi w:val="0"/>
              <w:spacing w:before="60" w:after="60"/>
              <w:jc w:val="both"/>
              <w:rPr>
                <w:rFonts w:ascii="Arial" w:hAnsi="Arial"/>
                <w:color w:val="000000"/>
                <w:sz w:val="18"/>
              </w:rPr>
            </w:pPr>
            <w:r>
              <w:rPr>
                <w:rFonts w:ascii="Arial" w:hAnsi="Arial"/>
                <w:color w:val="000000"/>
                <w:sz w:val="18"/>
              </w:rPr>
              <w:t>Vice President, Marketing and Strategy</w:t>
            </w:r>
          </w:p>
        </w:tc>
      </w:tr>
    </w:tbl>
    <w:p>
      <w:pPr>
        <w:pStyle w:val="TextBody"/>
        <w:bidi w:val="0"/>
        <w:spacing w:before="120" w:after="283"/>
        <w:jc w:val="both"/>
        <w:rPr>
          <w:rFonts w:ascii="Arial" w:hAnsi="Arial"/>
          <w:color w:val="000000"/>
          <w:sz w:val="18"/>
        </w:rPr>
      </w:pPr>
      <w:r>
        <w:rPr>
          <w:rFonts w:ascii="Arial" w:hAnsi="Arial"/>
          <w:color w:val="000000"/>
          <w:sz w:val="18"/>
        </w:rPr>
        <w:t>(1)</w:t>
      </w:r>
    </w:p>
    <w:p>
      <w:pPr>
        <w:pStyle w:val="TextBody"/>
        <w:bidi w:val="0"/>
        <w:spacing w:before="120" w:after="283"/>
        <w:jc w:val="both"/>
        <w:rPr>
          <w:rFonts w:ascii="Arial" w:hAnsi="Arial"/>
          <w:color w:val="000000"/>
          <w:sz w:val="18"/>
        </w:rPr>
      </w:pPr>
      <w:r>
        <w:rPr>
          <w:rFonts w:ascii="Arial" w:hAnsi="Arial"/>
          <w:color w:val="000000"/>
          <w:sz w:val="18"/>
        </w:rPr>
        <w:t>Ms. Cupero retired from the Company effective May 5, 2025.</w:t>
      </w:r>
    </w:p>
    <w:p>
      <w:pPr>
        <w:pStyle w:val="TextBody"/>
        <w:bidi w:val="0"/>
        <w:spacing w:before="120" w:after="283"/>
        <w:jc w:val="both"/>
        <w:rPr>
          <w:rFonts w:ascii="Arial" w:hAnsi="Arial"/>
          <w:color w:val="000000"/>
          <w:sz w:val="18"/>
        </w:rPr>
      </w:pPr>
      <w:r>
        <w:rPr>
          <w:rFonts w:ascii="Arial" w:hAnsi="Arial"/>
          <w:color w:val="000000"/>
          <w:sz w:val="18"/>
        </w:rPr>
        <w:t>(2)</w:t>
      </w:r>
    </w:p>
    <w:p>
      <w:pPr>
        <w:pStyle w:val="TextBody"/>
        <w:bidi w:val="0"/>
        <w:spacing w:before="120" w:after="283"/>
        <w:jc w:val="both"/>
        <w:rPr>
          <w:rFonts w:ascii="Arial" w:hAnsi="Arial"/>
          <w:color w:val="000000"/>
          <w:sz w:val="18"/>
        </w:rPr>
      </w:pPr>
      <w:r>
        <w:rPr>
          <w:rFonts w:ascii="Arial" w:hAnsi="Arial"/>
          <w:color w:val="000000"/>
          <w:sz w:val="18"/>
        </w:rPr>
        <w:t>Mr. Tengwall was appointed an executive officer effective September 15, 2025.</w:t>
      </w:r>
    </w:p>
    <w:p>
      <w:pPr>
        <w:pStyle w:val="TextBody"/>
        <w:bidi w:val="0"/>
        <w:spacing w:before="240" w:after="283"/>
        <w:jc w:val="both"/>
        <w:rPr>
          <w:rFonts w:ascii="Times New Roman" w:hAnsi="Times New Roman"/>
          <w:sz w:val="20"/>
        </w:rPr>
      </w:pPr>
      <w:r>
        <w:rPr>
          <w:rFonts w:ascii="Arial" w:hAnsi="Arial"/>
          <w:color w:val="002668"/>
          <w:sz w:val="24"/>
          <w:u w:val="single"/>
        </w:rPr>
        <w:t>Program Emphasis</w:t>
      </w:r>
      <w:r>
        <w:rPr>
          <w:rFonts w:ascii="Times New Roman" w:hAnsi="Times New Roman"/>
          <w:color w:val="002668"/>
          <w:sz w:val="20"/>
        </w:rPr>
        <w:t xml:space="preserve"> </w:t>
      </w:r>
    </w:p>
    <w:p>
      <w:pPr>
        <w:pStyle w:val="TextBody"/>
        <w:bidi w:val="0"/>
        <w:jc w:val="both"/>
        <w:rPr>
          <w:rFonts w:ascii="Arial" w:hAnsi="Arial"/>
          <w:color w:val="000000"/>
          <w:sz w:val="20"/>
        </w:rPr>
      </w:pPr>
      <w:r>
        <w:rPr>
          <w:rFonts w:ascii="Arial" w:hAnsi="Arial"/>
          <w:color w:val="000000"/>
          <w:sz w:val="20"/>
        </w:rPr>
        <w:t>Our executive compensation program emphasizes our pay-for-performance philosophy and is designed to help us attract, motivate, and retain highly qualified executives.</w:t>
      </w:r>
    </w:p>
    <w:p>
      <w:pPr>
        <w:pStyle w:val="TextBody"/>
        <w:bidi w:val="0"/>
        <w:spacing w:before="240" w:after="283"/>
        <w:jc w:val="both"/>
        <w:rPr>
          <w:rFonts w:ascii="Times New Roman" w:hAnsi="Times New Roman"/>
          <w:sz w:val="20"/>
        </w:rPr>
      </w:pPr>
      <w:r>
        <w:rPr>
          <w:rFonts w:ascii="Arial" w:hAnsi="Arial"/>
          <w:color w:val="002668"/>
          <w:sz w:val="24"/>
          <w:u w:val="single"/>
        </w:rPr>
        <w:t>Compensation Governance and Practices</w:t>
      </w:r>
      <w:r>
        <w:rPr>
          <w:rFonts w:ascii="Times New Roman" w:hAnsi="Times New Roman"/>
          <w:color w:val="002668"/>
          <w:sz w:val="20"/>
        </w:rPr>
        <w:t xml:space="preserve"> </w:t>
      </w:r>
    </w:p>
    <w:p>
      <w:pPr>
        <w:pStyle w:val="TextBody"/>
        <w:bidi w:val="0"/>
        <w:jc w:val="both"/>
        <w:rPr>
          <w:rFonts w:ascii="Arial" w:hAnsi="Arial"/>
          <w:color w:val="000000"/>
          <w:sz w:val="20"/>
        </w:rPr>
      </w:pPr>
      <w:r>
        <w:rPr>
          <w:rFonts w:ascii="Arial" w:hAnsi="Arial"/>
          <w:color w:val="000000"/>
          <w:sz w:val="20"/>
        </w:rPr>
        <w:t>Our executive compensation program demonstrates our ongoing commitment to good corporate governance practices and aligns our executive officers’ interests with those of our stockholders.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555"/>
        <w:gridCol w:w="2252"/>
        <w:gridCol w:w="109"/>
        <w:gridCol w:w="266"/>
        <w:gridCol w:w="5023"/>
      </w:tblGrid>
      <w:tr>
        <w:trPr/>
        <w:tc>
          <w:tcPr>
            <w:tcW w:w="2555" w:type="dxa"/>
            <w:tcBorders/>
            <w:vAlign w:val="center"/>
          </w:tcPr>
          <w:p>
            <w:pPr>
              <w:pStyle w:val="TableContents"/>
              <w:bidi w:val="0"/>
              <w:spacing w:before="0" w:after="283"/>
              <w:jc w:val="left"/>
              <w:rPr>
                <w:sz w:val="4"/>
                <w:szCs w:val="4"/>
              </w:rPr>
            </w:pPr>
            <w:r>
              <w:rPr>
                <w:sz w:val="4"/>
                <w:szCs w:val="4"/>
              </w:rPr>
            </w:r>
          </w:p>
        </w:tc>
        <w:tc>
          <w:tcPr>
            <w:tcW w:w="2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023" w:type="dxa"/>
            <w:tcBorders/>
            <w:vAlign w:val="center"/>
          </w:tcPr>
          <w:p>
            <w:pPr>
              <w:pStyle w:val="TableContents"/>
              <w:bidi w:val="0"/>
              <w:spacing w:before="0" w:after="283"/>
              <w:ind w:left="0" w:right="0" w:firstLine="120"/>
              <w:jc w:val="left"/>
              <w:rPr>
                <w:sz w:val="4"/>
                <w:szCs w:val="4"/>
              </w:rPr>
            </w:pPr>
            <w:r>
              <w:rPr>
                <w:sz w:val="4"/>
                <w:szCs w:val="4"/>
              </w:rPr>
            </w:r>
          </w:p>
        </w:tc>
      </w:tr>
      <w:tr>
        <w:trPr/>
        <w:tc>
          <w:tcPr>
            <w:tcW w:w="4807" w:type="dxa"/>
            <w:gridSpan w:val="2"/>
            <w:tcBorders/>
            <w:shd w:fill="DCDDDE" w:val="clear"/>
            <w:tcMar>
              <w:top w:w="0" w:type="dxa"/>
              <w:left w:w="0" w:type="dxa"/>
              <w:bottom w:w="0" w:type="dxa"/>
              <w:right w:w="0" w:type="dxa"/>
            </w:tcMar>
            <w:vAlign w:val="center"/>
          </w:tcPr>
          <w:p>
            <w:pPr>
              <w:pStyle w:val="TableContents"/>
              <w:bidi w:val="0"/>
              <w:spacing w:before="120" w:after="283"/>
              <w:ind w:left="0" w:right="0" w:firstLine="120"/>
              <w:jc w:val="both"/>
              <w:rPr>
                <w:rFonts w:ascii="Arial" w:hAnsi="Arial"/>
                <w:b/>
                <w:color w:val="002668"/>
                <w:sz w:val="20"/>
              </w:rPr>
            </w:pPr>
            <w:r>
              <w:rPr>
                <w:rFonts w:ascii="Arial" w:hAnsi="Arial"/>
                <w:b/>
                <w:color w:val="002668"/>
                <w:sz w:val="20"/>
              </w:rPr>
              <w:t>Risk Mitigation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cMar>
              <w:top w:w="0" w:type="dxa"/>
              <w:left w:w="0" w:type="dxa"/>
              <w:bottom w:w="0" w:type="dxa"/>
              <w:right w:w="0" w:type="dxa"/>
            </w:tcMar>
            <w:vAlign w:val="center"/>
          </w:tcPr>
          <w:p>
            <w:pPr>
              <w:pStyle w:val="TableContents"/>
              <w:bidi w:val="0"/>
              <w:spacing w:before="0" w:after="283"/>
              <w:ind w:left="0" w:right="0" w:firstLine="120"/>
              <w:jc w:val="both"/>
              <w:rPr/>
            </w:pPr>
            <w:r>
              <w:rPr/>
              <w:t> </w:t>
            </w:r>
          </w:p>
        </w:tc>
        <w:tc>
          <w:tcPr>
            <w:tcW w:w="5023" w:type="dxa"/>
            <w:tcBorders/>
            <w:shd w:fill="DCDDDE" w:val="clear"/>
            <w:tcMar>
              <w:top w:w="0" w:type="dxa"/>
              <w:left w:w="0" w:type="dxa"/>
              <w:bottom w:w="0" w:type="dxa"/>
              <w:right w:w="0" w:type="dxa"/>
            </w:tcMar>
            <w:vAlign w:val="center"/>
          </w:tcPr>
          <w:p>
            <w:pPr>
              <w:pStyle w:val="TableContents"/>
              <w:bidi w:val="0"/>
              <w:spacing w:before="120" w:after="283"/>
              <w:ind w:left="0" w:right="0" w:firstLine="120"/>
              <w:jc w:val="both"/>
              <w:rPr>
                <w:rFonts w:ascii="Arial" w:hAnsi="Arial"/>
                <w:b/>
                <w:color w:val="002668"/>
                <w:sz w:val="20"/>
              </w:rPr>
            </w:pPr>
            <w:r>
              <w:rPr>
                <w:rFonts w:ascii="Arial" w:hAnsi="Arial"/>
                <w:b/>
                <w:color w:val="002668"/>
                <w:sz w:val="20"/>
              </w:rPr>
              <w:t>Program Features</w:t>
            </w:r>
          </w:p>
        </w:tc>
      </w:tr>
      <w:tr>
        <w:trPr/>
        <w:tc>
          <w:tcPr>
            <w:tcW w:w="2555" w:type="dxa"/>
            <w:tcBorders/>
            <w:shd w:fill="DCDDDE" w:val="clear"/>
            <w:tcMar>
              <w:top w:w="0" w:type="dxa"/>
              <w:left w:w="0" w:type="dxa"/>
              <w:bottom w:w="0" w:type="dxa"/>
              <w:right w:w="0" w:type="dxa"/>
            </w:tcMar>
            <w:vAlign w:val="center"/>
          </w:tcPr>
          <w:p>
            <w:pPr>
              <w:pStyle w:val="TableContents"/>
              <w:bidi w:val="0"/>
              <w:spacing w:before="0" w:after="283"/>
              <w:jc w:val="both"/>
              <w:rPr/>
            </w:pPr>
            <w:r>
              <w:rPr/>
              <w:t> </w:t>
            </w:r>
          </w:p>
        </w:tc>
        <w:tc>
          <w:tcPr>
            <w:tcW w:w="2252" w:type="dxa"/>
            <w:tcBorders/>
            <w:shd w:fill="DCDDDE" w:val="clear"/>
            <w:tcMar>
              <w:top w:w="0" w:type="dxa"/>
              <w:left w:w="0" w:type="dxa"/>
              <w:bottom w:w="0" w:type="dxa"/>
              <w:right w:w="0" w:type="dxa"/>
            </w:tcMar>
            <w:vAlign w:val="center"/>
          </w:tcPr>
          <w:p>
            <w:pPr>
              <w:pStyle w:val="TableContents"/>
              <w:bidi w:val="0"/>
              <w:spacing w:before="0" w:after="283"/>
              <w:jc w:val="both"/>
              <w:rPr/>
            </w:pPr>
            <w:r>
              <w:rPr/>
              <w:t> </w:t>
            </w:r>
          </w:p>
        </w:tc>
        <w:tc>
          <w:tcPr>
            <w:tcW w:w="375"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5023" w:type="dxa"/>
            <w:tcBorders/>
            <w:shd w:fill="DCDDDE" w:val="clear"/>
            <w:tcMar>
              <w:top w:w="0" w:type="dxa"/>
              <w:left w:w="0" w:type="dxa"/>
              <w:bottom w:w="0" w:type="dxa"/>
              <w:right w:w="0" w:type="dxa"/>
            </w:tcMar>
            <w:vAlign w:val="center"/>
          </w:tcPr>
          <w:p>
            <w:pPr>
              <w:pStyle w:val="TableContents"/>
              <w:bidi w:val="0"/>
              <w:spacing w:before="0" w:after="283"/>
              <w:ind w:left="0" w:right="0" w:firstLine="120"/>
              <w:jc w:val="both"/>
              <w:rPr/>
            </w:pPr>
            <w:r>
              <w:rPr/>
              <w:t> </w:t>
            </w:r>
          </w:p>
        </w:tc>
      </w:tr>
      <w:tr>
        <w:trPr/>
        <w:tc>
          <w:tcPr>
            <w:tcW w:w="4807" w:type="dxa"/>
            <w:gridSpan w:val="2"/>
            <w:vMerge w:val="restart"/>
            <w:tcBorders/>
            <w:shd w:fill="DCDDDE" w:val="clear"/>
            <w:tcMar>
              <w:top w:w="0" w:type="dxa"/>
              <w:left w:w="0" w:type="dxa"/>
              <w:bottom w:w="0" w:type="dxa"/>
              <w:right w:w="0" w:type="dxa"/>
            </w:tcMar>
            <w:vAlign w:val="center"/>
          </w:tcPr>
          <w:p>
            <w:pPr>
              <w:pStyle w:val="TableContents"/>
              <w:bidi w:val="0"/>
              <w:ind w:left="0" w:right="0" w:firstLine="120"/>
              <w:jc w:val="left"/>
              <w:rPr>
                <w:rFonts w:ascii="Times New Roman" w:hAnsi="Times New Roman"/>
                <w:sz w:val="18"/>
              </w:rPr>
            </w:pPr>
            <w:r>
              <w:rPr>
                <w:rFonts w:ascii="Times New Roman" w:hAnsi="Times New Roman"/>
                <w:color w:val="1F497D"/>
                <w:sz w:val="18"/>
              </w:rPr>
              <w:t xml:space="preserve"> </w:t>
            </w:r>
            <w:r>
              <w:rPr>
                <w:rFonts w:ascii="Arial" w:hAnsi="Arial"/>
                <w:color w:val="000000"/>
                <w:sz w:val="18"/>
              </w:rPr>
              <w:t>Clawback policy</w:t>
            </w:r>
          </w:p>
          <w:p>
            <w:pPr>
              <w:pStyle w:val="TableContents"/>
              <w:bidi w:val="0"/>
              <w:spacing w:before="120" w:after="283"/>
              <w:ind w:left="0" w:right="0" w:firstLine="120"/>
              <w:jc w:val="left"/>
              <w:rPr>
                <w:rFonts w:ascii="Times New Roman" w:hAnsi="Times New Roman"/>
                <w:sz w:val="18"/>
              </w:rPr>
            </w:pPr>
            <w:r>
              <w:rPr>
                <w:rFonts w:ascii="Times New Roman" w:hAnsi="Times New Roman"/>
                <w:color w:val="1F497D"/>
                <w:sz w:val="18"/>
              </w:rPr>
              <w:t xml:space="preserve"> </w:t>
            </w:r>
            <w:r>
              <w:rPr>
                <w:rFonts w:ascii="Arial" w:hAnsi="Arial"/>
                <w:color w:val="000000"/>
                <w:sz w:val="18"/>
              </w:rPr>
              <w:t>Stock ownership guidelines</w:t>
            </w:r>
            <w:r>
              <w:rPr>
                <w:rFonts w:ascii="Times New Roman" w:hAnsi="Times New Roman"/>
                <w:color w:val="000000"/>
                <w:sz w:val="18"/>
              </w:rPr>
              <w:t xml:space="preserve"> </w:t>
            </w:r>
          </w:p>
          <w:p>
            <w:pPr>
              <w:pStyle w:val="TableContents"/>
              <w:bidi w:val="0"/>
              <w:spacing w:before="120" w:after="283"/>
              <w:ind w:left="0" w:right="0" w:firstLine="120"/>
              <w:jc w:val="left"/>
              <w:rPr>
                <w:rFonts w:ascii="Times New Roman" w:hAnsi="Times New Roman"/>
                <w:sz w:val="18"/>
              </w:rPr>
            </w:pPr>
            <w:r>
              <w:rPr>
                <w:rFonts w:ascii="Times New Roman" w:hAnsi="Times New Roman"/>
                <w:color w:val="1F497D"/>
                <w:sz w:val="18"/>
              </w:rPr>
              <w:t xml:space="preserve"> </w:t>
            </w:r>
            <w:r>
              <w:rPr>
                <w:rFonts w:ascii="Arial" w:hAnsi="Arial"/>
                <w:color w:val="000000"/>
                <w:sz w:val="18"/>
              </w:rPr>
              <w:t>Derivatives trading and hedging policy</w:t>
            </w:r>
          </w:p>
          <w:p>
            <w:pPr>
              <w:pStyle w:val="TableContents"/>
              <w:bidi w:val="0"/>
              <w:spacing w:before="120" w:after="60"/>
              <w:ind w:left="0" w:right="0" w:firstLine="120"/>
              <w:jc w:val="left"/>
              <w:rPr>
                <w:rFonts w:ascii="Times New Roman" w:hAnsi="Times New Roman"/>
                <w:sz w:val="18"/>
              </w:rPr>
            </w:pPr>
            <w:r>
              <w:rPr>
                <w:rFonts w:ascii="Times New Roman" w:hAnsi="Times New Roman"/>
                <w:color w:val="1F497D"/>
                <w:sz w:val="18"/>
              </w:rPr>
              <w:t xml:space="preserve"> </w:t>
            </w:r>
            <w:r>
              <w:rPr>
                <w:rFonts w:ascii="Arial" w:hAnsi="Arial"/>
                <w:color w:val="000000"/>
                <w:sz w:val="18"/>
              </w:rPr>
              <w:t>Annual review of compensation plans and policies includes risk assessment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cMar>
              <w:top w:w="0" w:type="dxa"/>
              <w:left w:w="0" w:type="dxa"/>
              <w:bottom w:w="0" w:type="dxa"/>
              <w:right w:w="0" w:type="dxa"/>
            </w:tcMar>
            <w:vAlign w:val="center"/>
          </w:tcPr>
          <w:p>
            <w:pPr>
              <w:pStyle w:val="TableContents"/>
              <w:bidi w:val="0"/>
              <w:spacing w:before="0" w:after="283"/>
              <w:ind w:left="0" w:right="0" w:firstLine="120"/>
              <w:jc w:val="left"/>
              <w:rPr/>
            </w:pPr>
            <w:r>
              <w:rPr/>
              <w:t> </w:t>
            </w:r>
          </w:p>
        </w:tc>
        <w:tc>
          <w:tcPr>
            <w:tcW w:w="5023" w:type="dxa"/>
            <w:vMerge w:val="restart"/>
            <w:tcBorders/>
            <w:shd w:fill="DCDDDE" w:val="clear"/>
            <w:tcMar>
              <w:top w:w="0" w:type="dxa"/>
              <w:left w:w="0" w:type="dxa"/>
              <w:bottom w:w="0" w:type="dxa"/>
              <w:right w:w="0" w:type="dxa"/>
            </w:tcMar>
            <w:vAlign w:val="center"/>
          </w:tcPr>
          <w:p>
            <w:pPr>
              <w:pStyle w:val="TableContents"/>
              <w:bidi w:val="0"/>
              <w:ind w:left="0" w:right="0" w:firstLine="120"/>
              <w:jc w:val="left"/>
              <w:rPr>
                <w:rFonts w:ascii="Times New Roman" w:hAnsi="Times New Roman"/>
                <w:sz w:val="18"/>
              </w:rPr>
            </w:pPr>
            <w:r>
              <w:rPr>
                <w:rFonts w:ascii="Times New Roman" w:hAnsi="Times New Roman"/>
                <w:color w:val="1F497D"/>
                <w:sz w:val="18"/>
              </w:rPr>
              <w:t xml:space="preserve"> </w:t>
            </w:r>
            <w:r>
              <w:rPr>
                <w:rFonts w:ascii="Arial" w:hAnsi="Arial"/>
                <w:color w:val="000000"/>
                <w:sz w:val="18"/>
              </w:rPr>
              <w:t>Annual say-on-pay advisory vote</w:t>
            </w:r>
          </w:p>
          <w:p>
            <w:pPr>
              <w:pStyle w:val="TableContents"/>
              <w:bidi w:val="0"/>
              <w:spacing w:before="120" w:after="283"/>
              <w:ind w:left="0" w:right="0" w:firstLine="120"/>
              <w:jc w:val="left"/>
              <w:rPr>
                <w:rFonts w:ascii="Times New Roman" w:hAnsi="Times New Roman"/>
                <w:sz w:val="18"/>
              </w:rPr>
            </w:pPr>
            <w:r>
              <w:rPr>
                <w:rFonts w:ascii="Times New Roman" w:hAnsi="Times New Roman"/>
                <w:color w:val="1F497D"/>
                <w:sz w:val="18"/>
              </w:rPr>
              <w:t xml:space="preserve"> </w:t>
            </w:r>
            <w:r>
              <w:rPr>
                <w:rFonts w:ascii="Arial" w:hAnsi="Arial"/>
                <w:color w:val="000000"/>
                <w:sz w:val="18"/>
              </w:rPr>
              <w:t>Independent compensation consultant</w:t>
            </w:r>
            <w:r>
              <w:rPr>
                <w:rFonts w:ascii="Times New Roman" w:hAnsi="Times New Roman"/>
                <w:color w:val="000000"/>
                <w:sz w:val="18"/>
              </w:rPr>
              <w:t xml:space="preserve"> </w:t>
            </w:r>
          </w:p>
          <w:p>
            <w:pPr>
              <w:pStyle w:val="TableContents"/>
              <w:bidi w:val="0"/>
              <w:spacing w:before="120" w:after="283"/>
              <w:ind w:left="0" w:right="0" w:firstLine="120"/>
              <w:jc w:val="left"/>
              <w:rPr>
                <w:rFonts w:ascii="Times New Roman" w:hAnsi="Times New Roman"/>
                <w:sz w:val="18"/>
              </w:rPr>
            </w:pPr>
            <w:r>
              <w:rPr>
                <w:rFonts w:ascii="Times New Roman" w:hAnsi="Times New Roman"/>
                <w:color w:val="1F497D"/>
                <w:sz w:val="18"/>
              </w:rPr>
              <w:t xml:space="preserve"> </w:t>
            </w:r>
            <w:r>
              <w:rPr>
                <w:rFonts w:ascii="Times New Roman" w:hAnsi="Times New Roman"/>
                <w:color w:val="000000"/>
                <w:sz w:val="18"/>
              </w:rPr>
              <w:t>"</w:t>
            </w:r>
            <w:r>
              <w:rPr>
                <w:rFonts w:ascii="Arial" w:hAnsi="Arial"/>
                <w:color w:val="000000"/>
                <w:sz w:val="18"/>
              </w:rPr>
              <w:t>Double trigger" vesting acceleration in the event</w:t>
              <w:br/>
              <w:t>    of a change-in-control</w:t>
            </w:r>
          </w:p>
          <w:p>
            <w:pPr>
              <w:pStyle w:val="TableContents"/>
              <w:bidi w:val="0"/>
              <w:spacing w:before="120" w:after="60"/>
              <w:ind w:left="0" w:right="0" w:firstLine="120"/>
              <w:jc w:val="left"/>
              <w:rPr>
                <w:rFonts w:ascii="Times New Roman" w:hAnsi="Times New Roman"/>
                <w:sz w:val="18"/>
              </w:rPr>
            </w:pPr>
            <w:r>
              <w:rPr>
                <w:rFonts w:ascii="Times New Roman" w:hAnsi="Times New Roman"/>
                <w:color w:val="1F497D"/>
                <w:sz w:val="18"/>
              </w:rPr>
              <w:t xml:space="preserve"> </w:t>
            </w:r>
            <w:r>
              <w:rPr>
                <w:rFonts w:ascii="Arial" w:hAnsi="Arial"/>
                <w:color w:val="000000"/>
                <w:sz w:val="18"/>
              </w:rPr>
              <w:t>No tax gross-ups in connection with severance or change-in control payments</w:t>
            </w:r>
          </w:p>
        </w:tc>
      </w:tr>
      <w:tr>
        <w:trPr/>
        <w:tc>
          <w:tcPr>
            <w:tcW w:w="4807" w:type="dxa"/>
            <w:gridSpan w:val="2"/>
            <w:vMerge w:val="continue"/>
            <w:tcBorders/>
            <w:shd w:fill="DCDDDE" w:val="clear"/>
            <w:tcMar>
              <w:top w:w="0" w:type="dxa"/>
              <w:left w:w="0" w:type="dxa"/>
              <w:bottom w:w="0" w:type="dxa"/>
              <w:right w:w="0" w:type="dxa"/>
            </w:tcMar>
            <w:vAlign w:val="center"/>
          </w:tcPr>
          <w:p>
            <w:pPr>
              <w:pStyle w:val="Normal"/>
              <w:bidi w:val="0"/>
              <w:jc w:val="left"/>
              <w:rPr/>
            </w:pPr>
            <w:r>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cMar>
              <w:top w:w="0" w:type="dxa"/>
              <w:left w:w="0" w:type="dxa"/>
              <w:bottom w:w="0" w:type="dxa"/>
              <w:right w:w="0" w:type="dxa"/>
            </w:tcMar>
            <w:vAlign w:val="center"/>
          </w:tcPr>
          <w:p>
            <w:pPr>
              <w:pStyle w:val="TableContents"/>
              <w:bidi w:val="0"/>
              <w:spacing w:before="0" w:after="283"/>
              <w:jc w:val="left"/>
              <w:rPr/>
            </w:pPr>
            <w:r>
              <w:rPr/>
              <w:t> </w:t>
            </w:r>
          </w:p>
        </w:tc>
        <w:tc>
          <w:tcPr>
            <w:tcW w:w="5023" w:type="dxa"/>
            <w:vMerge w:val="continue"/>
            <w:tcBorders/>
            <w:shd w:fill="DCDDDE" w:val="clear"/>
            <w:tcMar>
              <w:top w:w="0" w:type="dxa"/>
              <w:left w:w="0" w:type="dxa"/>
              <w:bottom w:w="0" w:type="dxa"/>
              <w:right w:w="0" w:type="dxa"/>
            </w:tcMar>
            <w:vAlign w:val="center"/>
          </w:tcPr>
          <w:p>
            <w:pPr>
              <w:pStyle w:val="Normal"/>
              <w:bidi w:val="0"/>
              <w:jc w:val="left"/>
              <w:rPr/>
            </w:pPr>
            <w:r>
              <w:rPr/>
            </w:r>
          </w:p>
        </w:tc>
      </w:tr>
    </w:tbl>
    <w:p>
      <w:pPr>
        <w:pStyle w:val="TextBody"/>
        <w:bidi w:val="0"/>
        <w:spacing w:before="120" w:after="283"/>
        <w:jc w:val="both"/>
        <w:rPr>
          <w:rFonts w:ascii="Arial" w:hAnsi="Arial"/>
          <w:color w:val="002668"/>
          <w:sz w:val="24"/>
          <w:u w:val="single"/>
        </w:rPr>
      </w:pPr>
      <w:r>
        <w:rPr>
          <w:rFonts w:ascii="Arial" w:hAnsi="Arial"/>
          <w:color w:val="002668"/>
          <w:sz w:val="24"/>
          <w:u w:val="single"/>
        </w:rPr>
        <w:t>Say-on-Pay Results</w:t>
      </w:r>
    </w:p>
    <w:p>
      <w:pPr>
        <w:pStyle w:val="TextBody"/>
        <w:bidi w:val="0"/>
        <w:jc w:val="left"/>
        <w:rPr>
          <w:rFonts w:ascii="Arial" w:hAnsi="Arial"/>
          <w:color w:val="000000"/>
          <w:sz w:val="20"/>
        </w:rPr>
      </w:pPr>
      <w:r>
        <w:rPr>
          <w:rFonts w:ascii="Arial" w:hAnsi="Arial"/>
          <w:color w:val="000000"/>
          <w:sz w:val="20"/>
        </w:rPr>
        <w:t>We have recently received high levels of support from our stockholders on advisory votes to approve executive compensation. At the 2025 Annual Meeting, 92% of the votes cast were in favor of the advisory vote to approve executive compensation. Based on these high levels of support, the Compensation Committee determined not to make any material changes to our executive compensation program, except certain changes to our long-term incentive compensation structure (as described below).</w:t>
      </w:r>
    </w:p>
    <w:tbl>
      <w:tblPr>
        <w:tblW w:w="5642" w:type="dxa"/>
        <w:jc w:val="left"/>
        <w:tblInd w:w="0" w:type="dxa"/>
        <w:tblLayout w:type="fixed"/>
        <w:tblCellMar>
          <w:top w:w="28" w:type="dxa"/>
          <w:left w:w="28" w:type="dxa"/>
          <w:bottom w:w="28" w:type="dxa"/>
          <w:right w:w="28" w:type="dxa"/>
        </w:tblCellMar>
      </w:tblPr>
      <w:tblGrid>
        <w:gridCol w:w="1996"/>
        <w:gridCol w:w="3646"/>
      </w:tblGrid>
      <w:tr>
        <w:trPr/>
        <w:tc>
          <w:tcPr>
            <w:tcW w:w="1996" w:type="dxa"/>
            <w:tcBorders/>
            <w:vAlign w:val="center"/>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c>
          <w:tcPr>
            <w:tcW w:w="5642" w:type="dxa"/>
            <w:gridSpan w:val="2"/>
            <w:tcBorders/>
            <w:shd w:fill="002668" w:val="clear"/>
            <w:tcMar>
              <w:top w:w="0" w:type="dxa"/>
              <w:left w:w="0" w:type="dxa"/>
              <w:bottom w:w="0" w:type="dxa"/>
              <w:right w:w="0" w:type="dxa"/>
            </w:tcMar>
            <w:vAlign w:val="center"/>
          </w:tcPr>
          <w:p>
            <w:pPr>
              <w:pStyle w:val="TableContents"/>
              <w:bidi w:val="0"/>
              <w:spacing w:before="0" w:after="283"/>
              <w:jc w:val="center"/>
              <w:rPr>
                <w:rFonts w:ascii="Arial" w:hAnsi="Arial"/>
                <w:b/>
                <w:color w:val="FFFFFF"/>
                <w:sz w:val="24"/>
              </w:rPr>
            </w:pPr>
            <w:r>
              <w:rPr>
                <w:rFonts w:ascii="Arial" w:hAnsi="Arial"/>
                <w:b/>
                <w:color w:val="FFFFFF"/>
                <w:sz w:val="24"/>
              </w:rPr>
              <w:t>Recent Support for Say-on-Pay Proposal</w:t>
            </w:r>
          </w:p>
        </w:tc>
      </w:tr>
      <w:tr>
        <w:trPr/>
        <w:tc>
          <w:tcPr>
            <w:tcW w:w="1996" w:type="dxa"/>
            <w:tcBorders/>
            <w:shd w:fill="D9D9D9" w:val="clear"/>
            <w:tcMar>
              <w:top w:w="0" w:type="dxa"/>
              <w:left w:w="0" w:type="dxa"/>
              <w:bottom w:w="0" w:type="dxa"/>
              <w:right w:w="0" w:type="dxa"/>
            </w:tcMar>
            <w:vAlign w:val="center"/>
          </w:tcPr>
          <w:p>
            <w:pPr>
              <w:pStyle w:val="TableContents"/>
              <w:bidi w:val="0"/>
              <w:spacing w:before="0" w:after="283"/>
              <w:jc w:val="left"/>
              <w:rPr/>
            </w:pPr>
            <w:r>
              <w:rPr>
                <w:color w:val="002668"/>
              </w:rPr>
              <w:t>   </w:t>
            </w:r>
            <w:r>
              <w:rPr>
                <w:rFonts w:ascii="Arial" w:hAnsi="Arial"/>
                <w:b/>
                <w:color w:val="002668"/>
                <w:sz w:val="36"/>
              </w:rPr>
              <w:t>2023:</w:t>
            </w:r>
            <w:r>
              <w:rPr>
                <w:rFonts w:ascii="Times New Roman" w:hAnsi="Times New Roman"/>
                <w:color w:val="004987"/>
                <w:sz w:val="36"/>
              </w:rPr>
              <w:t xml:space="preserve"> </w:t>
            </w:r>
            <w:r>
              <w:rPr>
                <w:rFonts w:ascii="Arial" w:hAnsi="Arial"/>
                <w:b/>
                <w:color w:val="4F81BD"/>
                <w:sz w:val="36"/>
              </w:rPr>
              <w:t>97%</w:t>
            </w:r>
          </w:p>
        </w:tc>
        <w:tc>
          <w:tcPr>
            <w:tcW w:w="3646" w:type="dxa"/>
            <w:tcBorders/>
            <w:shd w:fill="D9D9D9"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36"/>
              </w:rPr>
            </w:pPr>
            <w:r>
              <w:rPr>
                <w:rFonts w:ascii="Arial" w:hAnsi="Arial"/>
                <w:b/>
                <w:color w:val="002668"/>
                <w:sz w:val="36"/>
              </w:rPr>
              <w:t>2024:</w:t>
            </w:r>
            <w:r>
              <w:rPr>
                <w:rFonts w:ascii="Times New Roman" w:hAnsi="Times New Roman"/>
                <w:color w:val="004987"/>
                <w:sz w:val="36"/>
              </w:rPr>
              <w:t xml:space="preserve"> </w:t>
            </w:r>
            <w:r>
              <w:rPr>
                <w:rFonts w:ascii="Arial" w:hAnsi="Arial"/>
                <w:b/>
                <w:color w:val="4F81BD"/>
                <w:sz w:val="36"/>
              </w:rPr>
              <w:t xml:space="preserve">95% </w:t>
            </w:r>
            <w:r>
              <w:rPr>
                <w:rFonts w:ascii="Arial" w:hAnsi="Arial"/>
                <w:b/>
                <w:color w:val="002668"/>
                <w:sz w:val="36"/>
              </w:rPr>
              <w:t>2025:</w:t>
            </w:r>
            <w:r>
              <w:rPr>
                <w:rFonts w:ascii="Times New Roman" w:hAnsi="Times New Roman"/>
                <w:color w:val="004987"/>
                <w:sz w:val="36"/>
              </w:rPr>
              <w:t xml:space="preserve"> </w:t>
            </w:r>
            <w:r>
              <w:rPr>
                <w:rFonts w:ascii="Arial" w:hAnsi="Arial"/>
                <w:b/>
                <w:color w:val="4F81BD"/>
                <w:sz w:val="36"/>
              </w:rPr>
              <w:t>92%</w:t>
            </w:r>
          </w:p>
        </w:tc>
      </w:tr>
    </w:tbl>
    <w:p>
      <w:pPr>
        <w:pStyle w:val="TextBody"/>
        <w:bidi w:val="0"/>
        <w:jc w:val="both"/>
        <w:rPr/>
      </w:pPr>
      <w:r>
        <w:rPr/>
        <w:t> </w:t>
      </w:r>
    </w:p>
    <w:p>
      <w:pPr>
        <w:pStyle w:val="TextBody"/>
        <w:bidi w:val="0"/>
        <w:jc w:val="left"/>
        <w:rPr/>
      </w:pPr>
      <w:r>
        <w:rPr/>
        <w:t> </w:t>
      </w:r>
    </w:p>
    <w:tbl>
      <w:tblPr>
        <w:tblW w:w="3702" w:type="dxa"/>
        <w:jc w:val="left"/>
        <w:tblInd w:w="0" w:type="dxa"/>
        <w:tblLayout w:type="fixed"/>
        <w:tblCellMar>
          <w:top w:w="28" w:type="dxa"/>
          <w:left w:w="28" w:type="dxa"/>
          <w:bottom w:w="28" w:type="dxa"/>
          <w:right w:w="28" w:type="dxa"/>
        </w:tblCellMar>
      </w:tblPr>
      <w:tblGrid>
        <w:gridCol w:w="2266"/>
        <w:gridCol w:w="1436"/>
      </w:tblGrid>
      <w:tr>
        <w:trPr/>
        <w:tc>
          <w:tcPr>
            <w:tcW w:w="2266"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2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91F2C"/>
                <w:sz w:val="18"/>
              </w:rPr>
              <w:t>17</w:t>
            </w:r>
            <w:r>
              <w:rPr>
                <w:rFonts w:ascii="Times New Roman" w:hAnsi="Times New Roman"/>
                <w:color w:val="091F2C"/>
                <w:sz w:val="18"/>
              </w:rPr>
              <w:t> </w:t>
            </w:r>
            <w:r>
              <w:rPr>
                <w:rFonts w:ascii="Arial" w:hAnsi="Arial"/>
                <w:color w:val="091F2C"/>
                <w:sz w:val="18"/>
              </w:rPr>
              <w:t>I 2026 Proxy Statement</w:t>
            </w:r>
          </w:p>
        </w:tc>
        <w:tc>
          <w:tcPr>
            <w:tcW w:w="143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828675" cy="19050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828675" cy="190500"/>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2277" w:type="dxa"/>
        <w:jc w:val="left"/>
        <w:tblInd w:w="0" w:type="dxa"/>
        <w:tblLayout w:type="fixed"/>
        <w:tblCellMar>
          <w:top w:w="28" w:type="dxa"/>
          <w:left w:w="28" w:type="dxa"/>
          <w:bottom w:w="28" w:type="dxa"/>
          <w:right w:w="28" w:type="dxa"/>
        </w:tblCellMar>
      </w:tblPr>
      <w:tblGrid>
        <w:gridCol w:w="2086"/>
        <w:gridCol w:w="191"/>
      </w:tblGrid>
      <w:tr>
        <w:trPr/>
        <w:tc>
          <w:tcPr>
            <w:tcW w:w="20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86" w:type="dxa"/>
            <w:tcBorders/>
            <w:tcMar>
              <w:top w:w="0" w:type="dxa"/>
              <w:left w:w="0" w:type="dxa"/>
              <w:bottom w:w="0" w:type="dxa"/>
              <w:right w:w="0" w:type="dxa"/>
            </w:tcMar>
            <w:vAlign w:val="center"/>
          </w:tcPr>
          <w:p>
            <w:pPr>
              <w:pStyle w:val="TableContents"/>
              <w:bidi w:val="0"/>
              <w:spacing w:before="0" w:after="283"/>
              <w:jc w:val="left"/>
              <w:rPr>
                <w:rFonts w:ascii="Arial" w:hAnsi="Arial"/>
                <w:color w:val="002668"/>
                <w:sz w:val="20"/>
              </w:rPr>
            </w:pPr>
            <w:r>
              <w:rPr>
                <w:rFonts w:ascii="Arial" w:hAnsi="Arial"/>
                <w:color w:val="002668"/>
                <w:sz w:val="20"/>
              </w:rPr>
              <w:t>Compensation Matters</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bottom w:val="single" w:sz="8" w:space="0" w:color="002668"/>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Arial" w:hAnsi="Arial"/>
          <w:color w:val="002668"/>
          <w:sz w:val="24"/>
          <w:u w:val="single"/>
        </w:rPr>
        <w:t>Summary of Fiscal 2026 Compensation Program</w:t>
      </w:r>
      <w:r>
        <w:rPr>
          <w:rFonts w:ascii="Times New Roman" w:hAnsi="Times New Roman"/>
          <w:color w:val="002668"/>
          <w:sz w:val="20"/>
        </w:rPr>
        <w:t xml:space="preserve"> </w:t>
      </w:r>
    </w:p>
    <w:p>
      <w:pPr>
        <w:pStyle w:val="TextBody"/>
        <w:bidi w:val="0"/>
        <w:spacing w:before="40" w:after="283"/>
        <w:jc w:val="both"/>
        <w:rPr>
          <w:rFonts w:ascii="Times New Roman" w:hAnsi="Times New Roman"/>
          <w:sz w:val="20"/>
        </w:rPr>
      </w:pPr>
      <w:r>
        <w:rPr>
          <w:rFonts w:ascii="Arial" w:hAnsi="Arial"/>
          <w:color w:val="000000"/>
          <w:sz w:val="20"/>
        </w:rPr>
        <w:t>The following highlights aspects of our fiscal 2026 compensation program:</w:t>
      </w:r>
      <w:r>
        <w:rPr>
          <w:rFonts w:ascii="Times New Roman" w:hAnsi="Times New Roman"/>
          <w:color w:val="000000"/>
          <w:sz w:val="20"/>
        </w:rPr>
        <w:t xml:space="preserve"> </w:t>
      </w:r>
    </w:p>
    <w:p>
      <w:pPr>
        <w:pStyle w:val="TextBody"/>
        <w:bidi w:val="0"/>
        <w:spacing w:before="120" w:after="283"/>
        <w:jc w:val="both"/>
        <w:rPr>
          <w:color w:val="4F81BD"/>
        </w:rPr>
      </w:pPr>
      <w:r>
        <w:rPr>
          <w:color w:val="4F81BD"/>
        </w:rPr>
        <w:t>•</w:t>
      </w:r>
    </w:p>
    <w:p>
      <w:pPr>
        <w:pStyle w:val="TextBody"/>
        <w:bidi w:val="0"/>
        <w:spacing w:before="120" w:after="283"/>
        <w:jc w:val="both"/>
        <w:rPr/>
      </w:pPr>
      <w:r>
        <w:rPr>
          <w:rFonts w:ascii="Arial" w:hAnsi="Arial"/>
          <w:b/>
          <w:i/>
          <w:color w:val="4F81BD"/>
          <w:sz w:val="20"/>
        </w:rPr>
        <w:t>Base Salary</w:t>
      </w:r>
      <w:r>
        <w:rPr>
          <w:color w:val="4F81BD"/>
        </w:rPr>
        <w:t xml:space="preserve"> </w:t>
      </w:r>
      <w:r>
        <w:rPr>
          <w:color w:val="000000"/>
        </w:rPr>
        <w:t xml:space="preserve">— </w:t>
      </w:r>
      <w:r>
        <w:rPr>
          <w:rFonts w:ascii="Arial" w:hAnsi="Arial"/>
          <w:color w:val="000000"/>
          <w:sz w:val="20"/>
        </w:rPr>
        <w:t xml:space="preserve">Consistent with past practice, in April 2025, the Compensation Committee, with advice from its independent compensation consultant, reviewed the base salaries of our executive officers and compared them with peer group and broad market data. The Compensation Committee typically adjusts base salary levels to pay competitively in comparison to comparable positions at our peer group, to enhance retention value, to reflect executive performance, and to take into account cost-of-living factors. However, for fiscal 2026, the Compensation Committee </w:t>
      </w:r>
      <w:r>
        <w:rPr>
          <w:rFonts w:ascii="Arial" w:hAnsi="Arial"/>
          <w:color w:val="4F81BD"/>
          <w:sz w:val="20"/>
          <w:u w:val="single"/>
        </w:rPr>
        <w:t>determined not to increase the base salaries of our NEOs</w:t>
      </w:r>
      <w:r>
        <w:rPr>
          <w:rFonts w:ascii="Arial" w:hAnsi="Arial"/>
          <w:color w:val="000000"/>
          <w:sz w:val="20"/>
        </w:rPr>
        <w:t xml:space="preserve">, except for Mr. Tengwall, who received a 4.1% increase later in the year in connection with his appointment as an executive officer. </w:t>
      </w:r>
    </w:p>
    <w:p>
      <w:pPr>
        <w:pStyle w:val="TextBody"/>
        <w:bidi w:val="0"/>
        <w:spacing w:before="120" w:after="283"/>
        <w:jc w:val="both"/>
        <w:rPr>
          <w:color w:val="1F497D"/>
        </w:rPr>
      </w:pPr>
      <w:r>
        <w:rPr>
          <w:color w:val="1F497D"/>
        </w:rPr>
        <w:t>•</w:t>
      </w:r>
    </w:p>
    <w:p>
      <w:pPr>
        <w:pStyle w:val="TextBody"/>
        <w:bidi w:val="0"/>
        <w:spacing w:before="120" w:after="283"/>
        <w:jc w:val="both"/>
        <w:rPr/>
      </w:pPr>
      <w:r>
        <w:rPr>
          <w:rFonts w:ascii="Arial" w:hAnsi="Arial"/>
          <w:b/>
          <w:i/>
          <w:color w:val="4F81BD"/>
          <w:sz w:val="20"/>
        </w:rPr>
        <w:t>Annual Cash Incentive Bonuses</w:t>
      </w:r>
      <w:r>
        <w:rPr>
          <w:color w:val="4F81BD"/>
        </w:rPr>
        <w:t xml:space="preserve"> </w:t>
      </w:r>
      <w:r>
        <w:rPr>
          <w:color w:val="000000"/>
        </w:rPr>
        <w:t xml:space="preserve">— </w:t>
      </w:r>
      <w:r>
        <w:rPr>
          <w:rFonts w:ascii="Arial" w:hAnsi="Arial"/>
          <w:color w:val="000000"/>
          <w:sz w:val="20"/>
        </w:rPr>
        <w:t xml:space="preserve">Our executive annual cash incentive program for fiscal 2026 continued to focus on the achievement of objective annual financial goals; specifically, Net Sales and Adjusted EBITDAS. However, for fiscal 2026, the Compensation Committee added a third component focused on the achievement of certain strategic goals. NEO annual target cash incentive compensation as a percentage of base salary was 100% for Mr. Smith, 75% for Ms. McPherson and Mr. Maxwell, and 65% for Mr. Tengwall. When setting the financial performance goals at the beginning of fiscal 2026, the Compensation Committee considered the difficult and unpredictable environment for our business and the relative lack of control that our management has over external, social, political, health, and economic factors that impact us. In accordance with our pay-for-performance philosophy, our NEOs </w:t>
      </w:r>
      <w:r>
        <w:rPr>
          <w:rFonts w:ascii="Arial" w:hAnsi="Arial"/>
          <w:color w:val="4F81BD"/>
          <w:sz w:val="20"/>
          <w:u w:val="single"/>
        </w:rPr>
        <w:t>received 121.8% of their annual cash incentive</w:t>
      </w:r>
      <w:r>
        <w:rPr>
          <w:color w:val="000000"/>
        </w:rPr>
        <w:t xml:space="preserve"> </w:t>
      </w:r>
      <w:r>
        <w:rPr>
          <w:rFonts w:ascii="Arial" w:hAnsi="Arial"/>
          <w:color w:val="000000"/>
          <w:sz w:val="20"/>
        </w:rPr>
        <w:t>for fiscal 2026 based on our performance with respect to Adjusted EBITDAS, Net Sales, and certain strategic goals.</w:t>
      </w:r>
    </w:p>
    <w:p>
      <w:pPr>
        <w:pStyle w:val="TextBody"/>
        <w:bidi w:val="0"/>
        <w:spacing w:before="120" w:after="283"/>
        <w:jc w:val="both"/>
        <w:rPr>
          <w:color w:val="1F497D"/>
        </w:rPr>
      </w:pPr>
      <w:r>
        <w:rPr>
          <w:color w:val="1F497D"/>
        </w:rPr>
        <w:t>•</w:t>
      </w:r>
    </w:p>
    <w:p>
      <w:pPr>
        <w:pStyle w:val="TextBody"/>
        <w:bidi w:val="0"/>
        <w:spacing w:before="120" w:after="283"/>
        <w:jc w:val="both"/>
        <w:rPr/>
      </w:pPr>
      <w:r>
        <w:rPr>
          <w:rFonts w:ascii="Arial" w:hAnsi="Arial"/>
          <w:b/>
          <w:i/>
          <w:color w:val="4F81BD"/>
          <w:sz w:val="20"/>
        </w:rPr>
        <w:t>Long-Term Incentive Compensation</w:t>
      </w:r>
      <w:r>
        <w:rPr>
          <w:color w:val="4F81BD"/>
        </w:rPr>
        <w:t xml:space="preserve"> </w:t>
      </w:r>
      <w:r>
        <w:rPr>
          <w:color w:val="000000"/>
        </w:rPr>
        <w:t xml:space="preserve">— </w:t>
      </w:r>
      <w:r>
        <w:rPr>
          <w:rFonts w:ascii="Arial" w:hAnsi="Arial"/>
          <w:color w:val="000000"/>
          <w:sz w:val="20"/>
        </w:rPr>
        <w:t>Consistent with past practice, the Compensation Committee granted stock-based awards to our executive officers in fiscal 2026, consisting of a mix of RSUs and PSUs. For fiscal 2026, our NEOs received a 50%/50% mix of RSUs and PSUs, except for Mr. Tengwall, who was not an executive officer at the time of grant and therefore received only RSUs. For RSUs granted during fiscal 2026, the Compensation Committee reduced the vesting period from four to three years, with one-third vesting on each anniversary of the grant date. The performance metric for PSUs continued to be Adjusted EBITDAS growth, with a modifier driven by the relative performance of our common stock compared with the performance of the Russell 2000 Index (the “RUT”).</w:t>
      </w:r>
    </w:p>
    <w:p>
      <w:pPr>
        <w:pStyle w:val="TextBody"/>
        <w:bidi w:val="0"/>
        <w:spacing w:before="120" w:after="283"/>
        <w:jc w:val="both"/>
        <w:rPr>
          <w:rFonts w:ascii="Arial" w:hAnsi="Arial"/>
          <w:b/>
          <w:color w:val="002668"/>
          <w:sz w:val="28"/>
        </w:rPr>
      </w:pPr>
      <w:r>
        <w:rPr>
          <w:rFonts w:ascii="Arial" w:hAnsi="Arial"/>
          <w:b/>
          <w:color w:val="002668"/>
          <w:sz w:val="28"/>
        </w:rPr>
        <w:t>EXECUTIVE COMPENSATION PROGRAM OVERVIEW</w:t>
      </w:r>
    </w:p>
    <w:p>
      <w:pPr>
        <w:pStyle w:val="TextBody"/>
        <w:bidi w:val="0"/>
        <w:spacing w:before="120" w:after="283"/>
        <w:jc w:val="both"/>
        <w:rPr>
          <w:rFonts w:ascii="Arial" w:hAnsi="Arial"/>
          <w:color w:val="002668"/>
          <w:sz w:val="24"/>
          <w:u w:val="single"/>
        </w:rPr>
      </w:pPr>
      <w:r>
        <w:rPr>
          <w:rFonts w:ascii="Arial" w:hAnsi="Arial"/>
          <w:color w:val="002668"/>
          <w:sz w:val="24"/>
          <w:u w:val="single"/>
        </w:rPr>
        <w:t>Philosophy and Objectives</w:t>
      </w:r>
    </w:p>
    <w:p>
      <w:pPr>
        <w:pStyle w:val="TextBody"/>
        <w:bidi w:val="0"/>
        <w:jc w:val="both"/>
        <w:rPr>
          <w:rFonts w:ascii="Times New Roman" w:hAnsi="Times New Roman"/>
          <w:sz w:val="20"/>
        </w:rPr>
      </w:pPr>
      <w:r>
        <w:rPr>
          <w:rFonts w:ascii="Arial" w:hAnsi="Arial"/>
          <w:color w:val="000000"/>
          <w:sz w:val="20"/>
        </w:rPr>
        <w:t>Our executive compensation philosophy is to pay base salaries to our executive officers at levels that, in the context of unfavorable industry factors beyond the control of management, enable us to attract, motivate, and retain highly qualified executives. Our executive compensation program is designed to link annual performance-based cash incentive compensation to the achievement of pre-established performance objectives, based on our financial results. Similarly, our executive compensation program is designed so that stock-based compensation focuses our executive officers’ efforts on increasing stockholder value by aligning their economic interests with those of our stockholders.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Total compensation levels for our executive officers reflect corporate positions, responsibilities, and the achievement of performance objectives. Due to our pay-for-performance philosophy, realized compensation levels may vary significantly from year-to-year and among our executive officers.</w:t>
      </w:r>
    </w:p>
    <w:p>
      <w:pPr>
        <w:pStyle w:val="TextBody"/>
        <w:bidi w:val="0"/>
        <w:jc w:val="left"/>
        <w:rPr/>
      </w:pPr>
      <w:r>
        <w:rPr/>
        <w:t> </w:t>
      </w:r>
    </w:p>
    <w:tbl>
      <w:tblPr>
        <w:tblW w:w="3702" w:type="dxa"/>
        <w:jc w:val="left"/>
        <w:tblInd w:w="0" w:type="dxa"/>
        <w:tblLayout w:type="fixed"/>
        <w:tblCellMar>
          <w:top w:w="28" w:type="dxa"/>
          <w:left w:w="28" w:type="dxa"/>
          <w:bottom w:w="28" w:type="dxa"/>
          <w:right w:w="28" w:type="dxa"/>
        </w:tblCellMar>
      </w:tblPr>
      <w:tblGrid>
        <w:gridCol w:w="2266"/>
        <w:gridCol w:w="1436"/>
      </w:tblGrid>
      <w:tr>
        <w:trPr/>
        <w:tc>
          <w:tcPr>
            <w:tcW w:w="2266"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2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91F2C"/>
                <w:sz w:val="18"/>
              </w:rPr>
              <w:t>18</w:t>
            </w:r>
            <w:r>
              <w:rPr>
                <w:rFonts w:ascii="Times New Roman" w:hAnsi="Times New Roman"/>
                <w:color w:val="091F2C"/>
                <w:sz w:val="18"/>
              </w:rPr>
              <w:t> </w:t>
            </w:r>
            <w:r>
              <w:rPr>
                <w:rFonts w:ascii="Arial" w:hAnsi="Arial"/>
                <w:color w:val="091F2C"/>
                <w:sz w:val="18"/>
              </w:rPr>
              <w:t>I 2026 Proxy Statement</w:t>
            </w:r>
          </w:p>
        </w:tc>
        <w:tc>
          <w:tcPr>
            <w:tcW w:w="143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828675" cy="19050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828675" cy="190500"/>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2277" w:type="dxa"/>
        <w:jc w:val="left"/>
        <w:tblInd w:w="0" w:type="dxa"/>
        <w:tblLayout w:type="fixed"/>
        <w:tblCellMar>
          <w:top w:w="28" w:type="dxa"/>
          <w:left w:w="28" w:type="dxa"/>
          <w:bottom w:w="28" w:type="dxa"/>
          <w:right w:w="28" w:type="dxa"/>
        </w:tblCellMar>
      </w:tblPr>
      <w:tblGrid>
        <w:gridCol w:w="2086"/>
        <w:gridCol w:w="191"/>
      </w:tblGrid>
      <w:tr>
        <w:trPr/>
        <w:tc>
          <w:tcPr>
            <w:tcW w:w="20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86" w:type="dxa"/>
            <w:tcBorders/>
            <w:tcMar>
              <w:top w:w="0" w:type="dxa"/>
              <w:left w:w="0" w:type="dxa"/>
              <w:bottom w:w="0" w:type="dxa"/>
              <w:right w:w="0" w:type="dxa"/>
            </w:tcMar>
            <w:vAlign w:val="center"/>
          </w:tcPr>
          <w:p>
            <w:pPr>
              <w:pStyle w:val="TableContents"/>
              <w:bidi w:val="0"/>
              <w:spacing w:before="0" w:after="283"/>
              <w:jc w:val="left"/>
              <w:rPr>
                <w:rFonts w:ascii="Arial" w:hAnsi="Arial"/>
                <w:color w:val="002668"/>
                <w:sz w:val="20"/>
              </w:rPr>
            </w:pPr>
            <w:r>
              <w:rPr>
                <w:rFonts w:ascii="Arial" w:hAnsi="Arial"/>
                <w:color w:val="002668"/>
                <w:sz w:val="20"/>
              </w:rPr>
              <w:t>Compensation Matters</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bottom w:val="single" w:sz="8" w:space="0" w:color="002668"/>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both"/>
        <w:rPr>
          <w:rFonts w:ascii="Arial" w:hAnsi="Arial"/>
          <w:color w:val="002668"/>
          <w:sz w:val="24"/>
          <w:u w:val="single"/>
        </w:rPr>
      </w:pPr>
      <w:r>
        <w:rPr>
          <w:rFonts w:ascii="Arial" w:hAnsi="Arial"/>
          <w:color w:val="002668"/>
          <w:sz w:val="24"/>
          <w:u w:val="single"/>
        </w:rPr>
        <w:t>Goals</w:t>
      </w:r>
    </w:p>
    <w:p>
      <w:pPr>
        <w:pStyle w:val="TextBody"/>
        <w:bidi w:val="0"/>
        <w:jc w:val="both"/>
        <w:rPr>
          <w:rFonts w:ascii="Arial" w:hAnsi="Arial"/>
          <w:color w:val="000000"/>
          <w:sz w:val="20"/>
        </w:rPr>
      </w:pPr>
      <w:r>
        <w:rPr>
          <w:rFonts w:ascii="Arial" w:hAnsi="Arial"/>
          <w:color w:val="000000"/>
          <w:sz w:val="20"/>
        </w:rPr>
        <w:t>Our executive compensation program’s objectives include:</w:t>
      </w:r>
    </w:p>
    <w:p>
      <w:pPr>
        <w:pStyle w:val="TextBody"/>
        <w:bidi w:val="0"/>
        <w:spacing w:before="120" w:after="283"/>
        <w:jc w:val="both"/>
        <w:rPr>
          <w:color w:val="1F497D"/>
        </w:rPr>
      </w:pPr>
      <w:r>
        <w:rPr>
          <w:color w:val="1F497D"/>
        </w:rPr>
        <w:t>•</w:t>
      </w:r>
    </w:p>
    <w:p>
      <w:pPr>
        <w:pStyle w:val="TextBody"/>
        <w:bidi w:val="0"/>
        <w:spacing w:before="120" w:after="283"/>
        <w:jc w:val="both"/>
        <w:rPr>
          <w:rFonts w:ascii="Arial" w:hAnsi="Arial"/>
          <w:color w:val="000000"/>
          <w:sz w:val="20"/>
        </w:rPr>
      </w:pPr>
      <w:r>
        <w:rPr>
          <w:rFonts w:ascii="Arial" w:hAnsi="Arial"/>
          <w:color w:val="000000"/>
          <w:sz w:val="20"/>
        </w:rPr>
        <w:t>Attracting, motivating, and retaining highly qualified executives, especially in the context of challenging business conditions.</w:t>
      </w:r>
    </w:p>
    <w:p>
      <w:pPr>
        <w:pStyle w:val="TextBody"/>
        <w:bidi w:val="0"/>
        <w:spacing w:before="120" w:after="283"/>
        <w:jc w:val="both"/>
        <w:rPr>
          <w:color w:val="1F497D"/>
        </w:rPr>
      </w:pPr>
      <w:r>
        <w:rPr>
          <w:color w:val="1F497D"/>
        </w:rPr>
        <w:t>•</w:t>
      </w:r>
    </w:p>
    <w:p>
      <w:pPr>
        <w:pStyle w:val="TextBody"/>
        <w:bidi w:val="0"/>
        <w:spacing w:before="120" w:after="283"/>
        <w:jc w:val="both"/>
        <w:rPr>
          <w:rFonts w:ascii="Arial" w:hAnsi="Arial"/>
          <w:color w:val="000000"/>
          <w:sz w:val="20"/>
        </w:rPr>
      </w:pPr>
      <w:r>
        <w:rPr>
          <w:rFonts w:ascii="Arial" w:hAnsi="Arial"/>
          <w:color w:val="000000"/>
          <w:sz w:val="20"/>
        </w:rPr>
        <w:t>Reflecting our culture and approach to total rewards, which include health and welfare benefits, a safe work environment, and professional development opportunities.</w:t>
      </w:r>
    </w:p>
    <w:p>
      <w:pPr>
        <w:pStyle w:val="TextBody"/>
        <w:bidi w:val="0"/>
        <w:spacing w:before="120" w:after="283"/>
        <w:jc w:val="both"/>
        <w:rPr>
          <w:color w:val="1F497D"/>
        </w:rPr>
      </w:pPr>
      <w:r>
        <w:rPr>
          <w:color w:val="1F497D"/>
        </w:rPr>
        <w:t>•</w:t>
      </w:r>
    </w:p>
    <w:p>
      <w:pPr>
        <w:pStyle w:val="TextBody"/>
        <w:bidi w:val="0"/>
        <w:spacing w:before="120" w:after="283"/>
        <w:jc w:val="both"/>
        <w:rPr>
          <w:rFonts w:ascii="Arial" w:hAnsi="Arial"/>
          <w:color w:val="000000"/>
          <w:sz w:val="20"/>
        </w:rPr>
      </w:pPr>
      <w:r>
        <w:rPr>
          <w:rFonts w:ascii="Arial" w:hAnsi="Arial"/>
          <w:color w:val="000000"/>
          <w:sz w:val="20"/>
        </w:rPr>
        <w:t>Reflecting our “pay-for-performance” philosophy.</w:t>
      </w:r>
    </w:p>
    <w:p>
      <w:pPr>
        <w:pStyle w:val="TextBody"/>
        <w:bidi w:val="0"/>
        <w:spacing w:before="120" w:after="283"/>
        <w:jc w:val="both"/>
        <w:rPr>
          <w:color w:val="1F497D"/>
        </w:rPr>
      </w:pPr>
      <w:r>
        <w:rPr>
          <w:color w:val="1F497D"/>
        </w:rPr>
        <w:t>•</w:t>
      </w:r>
    </w:p>
    <w:p>
      <w:pPr>
        <w:pStyle w:val="TextBody"/>
        <w:bidi w:val="0"/>
        <w:spacing w:before="120" w:after="283"/>
        <w:jc w:val="both"/>
        <w:rPr>
          <w:rFonts w:ascii="Arial" w:hAnsi="Arial"/>
          <w:color w:val="000000"/>
          <w:sz w:val="20"/>
        </w:rPr>
      </w:pPr>
      <w:r>
        <w:rPr>
          <w:rFonts w:ascii="Arial" w:hAnsi="Arial"/>
          <w:color w:val="000000"/>
          <w:sz w:val="20"/>
        </w:rPr>
        <w:t>Providing a rational and consistent approach to compensation that is understood by senior leadership.</w:t>
      </w:r>
    </w:p>
    <w:p>
      <w:pPr>
        <w:pStyle w:val="TextBody"/>
        <w:bidi w:val="0"/>
        <w:spacing w:before="120" w:after="283"/>
        <w:jc w:val="both"/>
        <w:rPr>
          <w:color w:val="1F497D"/>
        </w:rPr>
      </w:pPr>
      <w:r>
        <w:rPr>
          <w:color w:val="1F497D"/>
        </w:rPr>
        <w:t>•</w:t>
      </w:r>
    </w:p>
    <w:p>
      <w:pPr>
        <w:pStyle w:val="TextBody"/>
        <w:bidi w:val="0"/>
        <w:spacing w:before="120" w:after="283"/>
        <w:jc w:val="both"/>
        <w:rPr>
          <w:rFonts w:ascii="Arial" w:hAnsi="Arial"/>
          <w:color w:val="000000"/>
          <w:sz w:val="20"/>
        </w:rPr>
      </w:pPr>
      <w:r>
        <w:rPr>
          <w:rFonts w:ascii="Arial" w:hAnsi="Arial"/>
          <w:color w:val="000000"/>
          <w:sz w:val="20"/>
        </w:rPr>
        <w:t>Aligning compensation with our interests, as well as those of our stockholders.</w:t>
      </w:r>
    </w:p>
    <w:p>
      <w:pPr>
        <w:pStyle w:val="TextBody"/>
        <w:bidi w:val="0"/>
        <w:spacing w:before="120" w:after="283"/>
        <w:jc w:val="both"/>
        <w:rPr>
          <w:color w:val="1F497D"/>
        </w:rPr>
      </w:pPr>
      <w:r>
        <w:rPr>
          <w:color w:val="1F497D"/>
        </w:rPr>
        <w:t>•</w:t>
      </w:r>
    </w:p>
    <w:p>
      <w:pPr>
        <w:pStyle w:val="TextBody"/>
        <w:bidi w:val="0"/>
        <w:spacing w:before="120" w:after="283"/>
        <w:jc w:val="both"/>
        <w:rPr>
          <w:rFonts w:ascii="Arial" w:hAnsi="Arial"/>
          <w:color w:val="000000"/>
          <w:sz w:val="20"/>
        </w:rPr>
      </w:pPr>
      <w:r>
        <w:rPr>
          <w:rFonts w:ascii="Arial" w:hAnsi="Arial"/>
          <w:color w:val="000000"/>
          <w:sz w:val="20"/>
        </w:rPr>
        <w:t>Recognizing corporate stewardship and fiscal responsibility.</w:t>
      </w:r>
    </w:p>
    <w:p>
      <w:pPr>
        <w:pStyle w:val="TextBody"/>
        <w:bidi w:val="0"/>
        <w:spacing w:before="120" w:after="283"/>
        <w:jc w:val="both"/>
        <w:rPr>
          <w:rFonts w:ascii="Arial" w:hAnsi="Arial"/>
          <w:b/>
          <w:color w:val="002668"/>
          <w:sz w:val="28"/>
        </w:rPr>
      </w:pPr>
      <w:r>
        <w:rPr>
          <w:rFonts w:ascii="Arial" w:hAnsi="Arial"/>
          <w:b/>
          <w:color w:val="002668"/>
          <w:sz w:val="28"/>
        </w:rPr>
        <w:t>ADMINISTRATION</w:t>
      </w:r>
    </w:p>
    <w:p>
      <w:pPr>
        <w:pStyle w:val="TextBody"/>
        <w:bidi w:val="0"/>
        <w:jc w:val="both"/>
        <w:rPr>
          <w:rFonts w:ascii="Arial" w:hAnsi="Arial"/>
          <w:color w:val="000000"/>
          <w:sz w:val="20"/>
        </w:rPr>
      </w:pPr>
      <w:r>
        <w:rPr>
          <w:rFonts w:ascii="Arial" w:hAnsi="Arial"/>
          <w:color w:val="000000"/>
          <w:sz w:val="20"/>
        </w:rPr>
        <w:t>The Board has appointed a Compensation Committee, consisting exclusively of independent directors. The charter of the Compensation Committee authorizes the Compensation Committee to determine and approve, or to make recommendations to the Board with respect to, the compensation of our CEO and other executive officers. The Board has authorized the Compensation Committee to make all decisions with respect to executive compensation, including determining and approving the base salary of our CEO and other executive officers. The Compensation Committee also establishes annual cash and stock-based incentive compensation programs for our CEO and other executive officers and provides our executives with variable compensation opportunities, a majority of which is based on the achievement of key operating measures determined at the beginning of the fiscal year. Once the Compensation Committee determines key operating measures for an upcoming fiscal year, the measures generally are not subject to material changes during the fiscal year. The Compensation Committee, with advice from its independent compensation consultant, also determines the compensation of our directors.</w:t>
      </w:r>
    </w:p>
    <w:p>
      <w:pPr>
        <w:pStyle w:val="TextBody"/>
        <w:bidi w:val="0"/>
        <w:spacing w:before="120" w:after="283"/>
        <w:jc w:val="both"/>
        <w:rPr>
          <w:rFonts w:ascii="Arial" w:hAnsi="Arial"/>
          <w:color w:val="002668"/>
          <w:sz w:val="24"/>
          <w:u w:val="single"/>
        </w:rPr>
      </w:pPr>
      <w:r>
        <w:rPr>
          <w:rFonts w:ascii="Arial" w:hAnsi="Arial"/>
          <w:color w:val="002668"/>
          <w:sz w:val="24"/>
          <w:u w:val="single"/>
        </w:rPr>
        <w:t>Role of the Compensation Committee and our CEO</w:t>
      </w:r>
    </w:p>
    <w:p>
      <w:pPr>
        <w:pStyle w:val="TextBody"/>
        <w:bidi w:val="0"/>
        <w:jc w:val="both"/>
        <w:rPr>
          <w:rFonts w:ascii="Arial" w:hAnsi="Arial"/>
          <w:color w:val="000000"/>
          <w:sz w:val="20"/>
        </w:rPr>
      </w:pPr>
      <w:r>
        <w:rPr>
          <w:rFonts w:ascii="Arial" w:hAnsi="Arial"/>
          <w:color w:val="000000"/>
          <w:sz w:val="20"/>
        </w:rPr>
        <w:t>The Compensation Committee determines the compensation of our executive officers, including our CEO, at least annually in light of the goals and objectives of that fiscal year’s compensation program. Together with our CEO, the Compensation Committee annually assesses the performance of our other executive officers. After receiving recommendations from our CEO, the Compensation Committee, with input from its independent compensation consultant, determines the compensation of our other executive officers.</w:t>
      </w:r>
    </w:p>
    <w:p>
      <w:pPr>
        <w:pStyle w:val="TextBody"/>
        <w:bidi w:val="0"/>
        <w:spacing w:before="120" w:after="283"/>
        <w:jc w:val="both"/>
        <w:rPr>
          <w:rFonts w:ascii="Arial" w:hAnsi="Arial"/>
          <w:color w:val="000000"/>
          <w:sz w:val="20"/>
        </w:rPr>
      </w:pPr>
      <w:r>
        <w:rPr>
          <w:rFonts w:ascii="Arial" w:hAnsi="Arial"/>
          <w:color w:val="000000"/>
          <w:sz w:val="20"/>
        </w:rPr>
        <w:t>In determining executive officer compensation levels, the Compensation Committee periodically reviews compensation levels of executives of companies deemed to be generally similar to ours based on their size, industry, and competitive factors. The Compensation Committee uses this peer group information, as well as published executive compensation survey data from a broader group of companies with similar revenue to ours, as points of reference; however, the Compensation Committee does not benchmark or target our compensation levels to a specific percentile against this competitive information.</w:t>
      </w:r>
    </w:p>
    <w:p>
      <w:pPr>
        <w:pStyle w:val="TextBody"/>
        <w:bidi w:val="0"/>
        <w:spacing w:before="120" w:after="283"/>
        <w:jc w:val="both"/>
        <w:rPr>
          <w:rFonts w:ascii="Arial" w:hAnsi="Arial"/>
          <w:color w:val="000000"/>
          <w:sz w:val="20"/>
        </w:rPr>
      </w:pPr>
      <w:r>
        <w:rPr>
          <w:rFonts w:ascii="Arial" w:hAnsi="Arial"/>
          <w:color w:val="000000"/>
          <w:sz w:val="20"/>
        </w:rPr>
        <w:t>At the invitation of the Compensation Committee, our CEO may attend portions of Compensation Committee meetings, except those at which his compensation is discussed or determined. This enables the Compensation Committee to review with him the goals he regards as important to our business and to receive his assessment of the performance of, and goals for, our other executive officers. However, the Compensation Committee, with the assistance of its independent compensation consultant, rather than our CEO, determines goals, targets, and compensation for our other executives.</w:t>
      </w:r>
    </w:p>
    <w:p>
      <w:pPr>
        <w:pStyle w:val="TextBody"/>
        <w:bidi w:val="0"/>
        <w:jc w:val="left"/>
        <w:rPr/>
      </w:pPr>
      <w:r>
        <w:rPr/>
        <w:t> </w:t>
      </w:r>
    </w:p>
    <w:tbl>
      <w:tblPr>
        <w:tblW w:w="3702" w:type="dxa"/>
        <w:jc w:val="left"/>
        <w:tblInd w:w="0" w:type="dxa"/>
        <w:tblLayout w:type="fixed"/>
        <w:tblCellMar>
          <w:top w:w="28" w:type="dxa"/>
          <w:left w:w="28" w:type="dxa"/>
          <w:bottom w:w="28" w:type="dxa"/>
          <w:right w:w="28" w:type="dxa"/>
        </w:tblCellMar>
      </w:tblPr>
      <w:tblGrid>
        <w:gridCol w:w="2266"/>
        <w:gridCol w:w="1436"/>
      </w:tblGrid>
      <w:tr>
        <w:trPr/>
        <w:tc>
          <w:tcPr>
            <w:tcW w:w="2266"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2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91F2C"/>
                <w:sz w:val="18"/>
              </w:rPr>
              <w:t>19</w:t>
            </w:r>
            <w:r>
              <w:rPr>
                <w:rFonts w:ascii="Times New Roman" w:hAnsi="Times New Roman"/>
                <w:color w:val="091F2C"/>
                <w:sz w:val="18"/>
              </w:rPr>
              <w:t> </w:t>
            </w:r>
            <w:r>
              <w:rPr>
                <w:rFonts w:ascii="Arial" w:hAnsi="Arial"/>
                <w:color w:val="091F2C"/>
                <w:sz w:val="18"/>
              </w:rPr>
              <w:t>I 2026 Proxy Statement</w:t>
            </w:r>
          </w:p>
        </w:tc>
        <w:tc>
          <w:tcPr>
            <w:tcW w:w="143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828675" cy="19050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828675" cy="190500"/>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2277" w:type="dxa"/>
        <w:jc w:val="left"/>
        <w:tblInd w:w="0" w:type="dxa"/>
        <w:tblLayout w:type="fixed"/>
        <w:tblCellMar>
          <w:top w:w="28" w:type="dxa"/>
          <w:left w:w="28" w:type="dxa"/>
          <w:bottom w:w="28" w:type="dxa"/>
          <w:right w:w="28" w:type="dxa"/>
        </w:tblCellMar>
      </w:tblPr>
      <w:tblGrid>
        <w:gridCol w:w="2086"/>
        <w:gridCol w:w="191"/>
      </w:tblGrid>
      <w:tr>
        <w:trPr/>
        <w:tc>
          <w:tcPr>
            <w:tcW w:w="20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86" w:type="dxa"/>
            <w:tcBorders/>
            <w:tcMar>
              <w:top w:w="0" w:type="dxa"/>
              <w:left w:w="0" w:type="dxa"/>
              <w:bottom w:w="0" w:type="dxa"/>
              <w:right w:w="0" w:type="dxa"/>
            </w:tcMar>
            <w:vAlign w:val="center"/>
          </w:tcPr>
          <w:p>
            <w:pPr>
              <w:pStyle w:val="TableContents"/>
              <w:bidi w:val="0"/>
              <w:spacing w:before="0" w:after="283"/>
              <w:jc w:val="left"/>
              <w:rPr>
                <w:rFonts w:ascii="Arial" w:hAnsi="Arial"/>
                <w:color w:val="002668"/>
                <w:sz w:val="20"/>
              </w:rPr>
            </w:pPr>
            <w:r>
              <w:rPr>
                <w:rFonts w:ascii="Arial" w:hAnsi="Arial"/>
                <w:color w:val="002668"/>
                <w:sz w:val="20"/>
              </w:rPr>
              <w:t>Compensation Matters</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bottom w:val="single" w:sz="8" w:space="0" w:color="002668"/>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both"/>
        <w:rPr>
          <w:rFonts w:ascii="Arial" w:hAnsi="Arial"/>
          <w:color w:val="002668"/>
          <w:sz w:val="24"/>
          <w:u w:val="single"/>
        </w:rPr>
      </w:pPr>
      <w:r>
        <w:rPr>
          <w:rFonts w:ascii="Arial" w:hAnsi="Arial"/>
          <w:color w:val="002668"/>
          <w:sz w:val="24"/>
          <w:u w:val="single"/>
        </w:rPr>
        <w:t>Role of the Independent Compensation Consultant</w:t>
      </w:r>
    </w:p>
    <w:p>
      <w:pPr>
        <w:pStyle w:val="TextBody"/>
        <w:bidi w:val="0"/>
        <w:jc w:val="both"/>
        <w:rPr>
          <w:rFonts w:ascii="Arial" w:hAnsi="Arial"/>
          <w:color w:val="000000"/>
          <w:sz w:val="20"/>
        </w:rPr>
      </w:pPr>
      <w:r>
        <w:rPr>
          <w:rFonts w:ascii="Arial" w:hAnsi="Arial"/>
          <w:color w:val="000000"/>
          <w:sz w:val="20"/>
        </w:rPr>
        <w:t>The Compensation Committee has sole discretion to retain a compensation consultant and is directly responsible for its appointment, compensation, and the oversight of its work. The Compensation Committee retains a compensation consultant to assist in setting the design and goals of the executive compensation program, to review trends in executive compensation, to identify relevant peer companies, and to conduct an assessment and analysis of executive market compensation. The compensation consultant reports directly to the Compensation Committee.</w:t>
      </w:r>
    </w:p>
    <w:p>
      <w:pPr>
        <w:pStyle w:val="TextBody"/>
        <w:bidi w:val="0"/>
        <w:spacing w:before="120" w:after="283"/>
        <w:jc w:val="both"/>
        <w:rPr>
          <w:rFonts w:ascii="Arial" w:hAnsi="Arial"/>
          <w:color w:val="000000"/>
          <w:sz w:val="20"/>
        </w:rPr>
      </w:pPr>
      <w:r>
        <w:rPr>
          <w:rFonts w:ascii="Arial" w:hAnsi="Arial"/>
          <w:color w:val="000000"/>
          <w:sz w:val="20"/>
        </w:rPr>
        <w:t>Compensia, Inc. served as the Compensation Committee’s independent compensation consultant for fiscal 2026. For fiscal 2026, the compensation consultant identified peer group companies, provided a compensation assessment and analysis of those companies, determined the positioning of each executive officer’s compensation by element among the peer companies and the survey data, developed recommendations and guidelines for the structure of our executive compensation program, assisted with designing the 2026 Bonus Plan (as defined below) and the PSU awards, reviewed director compensation, advised the Compensation Committee regarding the appropriateness of our executive compensation program, and assisted the Compensation Committee with its annual compensation risk assessment. In addressing Compensia’s independence in light of applicable SEC rules and Nasdaq standards, the Compensation Committee considered relevant factors and concluded that Compensia is independent and the engagement would not raise any conflicts of interest under the applicable rules and standards.</w:t>
      </w:r>
    </w:p>
    <w:p>
      <w:pPr>
        <w:pStyle w:val="TextBody"/>
        <w:bidi w:val="0"/>
        <w:spacing w:before="120" w:after="283"/>
        <w:jc w:val="both"/>
        <w:rPr>
          <w:rFonts w:ascii="Arial" w:hAnsi="Arial"/>
          <w:color w:val="002668"/>
          <w:sz w:val="24"/>
          <w:u w:val="single"/>
        </w:rPr>
      </w:pPr>
      <w:r>
        <w:rPr>
          <w:rFonts w:ascii="Arial" w:hAnsi="Arial"/>
          <w:color w:val="002668"/>
          <w:sz w:val="24"/>
          <w:u w:val="single"/>
        </w:rPr>
        <w:t>Peer Group for Fiscal 2026</w:t>
      </w:r>
    </w:p>
    <w:p>
      <w:pPr>
        <w:pStyle w:val="TextBody"/>
        <w:bidi w:val="0"/>
        <w:jc w:val="both"/>
        <w:rPr>
          <w:rFonts w:ascii="Times New Roman" w:hAnsi="Times New Roman"/>
          <w:sz w:val="20"/>
        </w:rPr>
      </w:pPr>
      <w:r>
        <w:rPr>
          <w:rFonts w:ascii="Arial" w:hAnsi="Arial"/>
          <w:color w:val="000000"/>
          <w:sz w:val="20"/>
        </w:rPr>
        <w:t>Based on the advice of the Compensation Committee’s independent compensation consultant, the Compensation Committee made no changes to the peer group for fiscal 2026. For the peer group selected for fiscal 2025, the consultant identified companies deemed generally relevant to us with a focus on those in the leisure industry and consumer sporting products companies primarily in the consumer discretionary GICS industry sector. Within these industries, the consultant used a “rules-based” approach to select companies based on similar financial characteristics; specifically, the consultant targeted companies with revenue from approximately $260 million to $1 billion and a market capitalization from approximately $204 million to $1.8 billion.</w:t>
      </w:r>
      <w:r>
        <w:rPr>
          <w:rFonts w:ascii="Times New Roman" w:hAnsi="Times New Roman"/>
          <w:color w:val="000000"/>
          <w:sz w:val="20"/>
        </w:rPr>
        <w:t xml:space="preserve"> </w:t>
      </w:r>
    </w:p>
    <w:p>
      <w:pPr>
        <w:pStyle w:val="TextBody"/>
        <w:bidi w:val="0"/>
        <w:jc w:val="both"/>
        <w:rPr/>
      </w:pPr>
      <w:r>
        <w:rPr/>
        <w:t> </w:t>
      </w:r>
    </w:p>
    <w:tbl>
      <w:tblPr>
        <w:tblW w:w="6377" w:type="dxa"/>
        <w:jc w:val="left"/>
        <w:tblInd w:w="0" w:type="dxa"/>
        <w:tblLayout w:type="fixed"/>
        <w:tblCellMar>
          <w:top w:w="28" w:type="dxa"/>
          <w:left w:w="28" w:type="dxa"/>
          <w:bottom w:w="28" w:type="dxa"/>
          <w:right w:w="28" w:type="dxa"/>
        </w:tblCellMar>
      </w:tblPr>
      <w:tblGrid>
        <w:gridCol w:w="3241"/>
        <w:gridCol w:w="3136"/>
      </w:tblGrid>
      <w:tr>
        <w:trPr/>
        <w:tc>
          <w:tcPr>
            <w:tcW w:w="3241" w:type="dxa"/>
            <w:tcBorders/>
            <w:vAlign w:val="center"/>
          </w:tcPr>
          <w:p>
            <w:pPr>
              <w:pStyle w:val="TableContents"/>
              <w:bidi w:val="0"/>
              <w:spacing w:before="0" w:after="283"/>
              <w:jc w:val="left"/>
              <w:rPr>
                <w:sz w:val="4"/>
                <w:szCs w:val="4"/>
              </w:rPr>
            </w:pPr>
            <w:r>
              <w:rPr>
                <w:sz w:val="4"/>
                <w:szCs w:val="4"/>
              </w:rPr>
            </w:r>
          </w:p>
        </w:tc>
        <w:tc>
          <w:tcPr>
            <w:tcW w:w="3136" w:type="dxa"/>
            <w:tcBorders/>
            <w:vAlign w:val="center"/>
          </w:tcPr>
          <w:p>
            <w:pPr>
              <w:pStyle w:val="TableContents"/>
              <w:bidi w:val="0"/>
              <w:spacing w:before="0" w:after="283"/>
              <w:jc w:val="left"/>
              <w:rPr>
                <w:sz w:val="4"/>
                <w:szCs w:val="4"/>
              </w:rPr>
            </w:pPr>
            <w:r>
              <w:rPr>
                <w:sz w:val="4"/>
                <w:szCs w:val="4"/>
              </w:rPr>
            </w:r>
          </w:p>
        </w:tc>
      </w:tr>
      <w:tr>
        <w:trPr/>
        <w:tc>
          <w:tcPr>
            <w:tcW w:w="6377" w:type="dxa"/>
            <w:gridSpan w:val="2"/>
            <w:tcBorders/>
            <w:shd w:fill="002668" w:val="clear"/>
            <w:tcMar>
              <w:top w:w="0" w:type="dxa"/>
              <w:left w:w="0" w:type="dxa"/>
              <w:bottom w:w="0" w:type="dxa"/>
              <w:right w:w="0" w:type="dxa"/>
            </w:tcMar>
            <w:vAlign w:val="center"/>
          </w:tcPr>
          <w:p>
            <w:pPr>
              <w:pStyle w:val="TableContents"/>
              <w:bidi w:val="0"/>
              <w:spacing w:before="0" w:after="283"/>
              <w:ind w:left="0" w:right="0" w:firstLine="90"/>
              <w:jc w:val="both"/>
              <w:rPr>
                <w:rFonts w:ascii="Arial" w:hAnsi="Arial"/>
                <w:b/>
                <w:color w:val="FFFFFF"/>
                <w:sz w:val="20"/>
              </w:rPr>
            </w:pPr>
            <w:r>
              <w:rPr>
                <w:rFonts w:ascii="Arial" w:hAnsi="Arial"/>
                <w:b/>
                <w:color w:val="FFFFFF"/>
                <w:sz w:val="20"/>
              </w:rPr>
              <w:t>Fiscal 2026 Peer Group</w:t>
            </w:r>
          </w:p>
        </w:tc>
      </w:tr>
      <w:tr>
        <w:trPr/>
        <w:tc>
          <w:tcPr>
            <w:tcW w:w="3241" w:type="dxa"/>
            <w:tcBorders/>
            <w:shd w:fill="DCDDDE" w:val="clear"/>
            <w:tcMar>
              <w:top w:w="0" w:type="dxa"/>
              <w:left w:w="0" w:type="dxa"/>
              <w:bottom w:w="0" w:type="dxa"/>
              <w:right w:w="0" w:type="dxa"/>
            </w:tcMar>
            <w:vAlign w:val="center"/>
          </w:tcPr>
          <w:p>
            <w:pPr>
              <w:pStyle w:val="TableContents"/>
              <w:bidi w:val="0"/>
              <w:spacing w:before="60" w:after="60"/>
              <w:ind w:left="0" w:right="0" w:firstLine="90"/>
              <w:jc w:val="both"/>
              <w:rPr>
                <w:rFonts w:ascii="Arial" w:hAnsi="Arial"/>
                <w:color w:val="000000"/>
                <w:sz w:val="20"/>
              </w:rPr>
            </w:pPr>
            <w:r>
              <w:rPr>
                <w:rFonts w:ascii="Arial" w:hAnsi="Arial"/>
                <w:color w:val="000000"/>
                <w:sz w:val="20"/>
              </w:rPr>
              <w:t>Cadre Holdings, Inc.</w:t>
            </w:r>
          </w:p>
        </w:tc>
        <w:tc>
          <w:tcPr>
            <w:tcW w:w="3136" w:type="dxa"/>
            <w:tcBorders/>
            <w:shd w:fill="DCDDDE" w:val="clear"/>
            <w:tcMar>
              <w:top w:w="0" w:type="dxa"/>
              <w:left w:w="0" w:type="dxa"/>
              <w:bottom w:w="0" w:type="dxa"/>
              <w:right w:w="0" w:type="dxa"/>
            </w:tcMar>
            <w:vAlign w:val="center"/>
          </w:tcPr>
          <w:p>
            <w:pPr>
              <w:pStyle w:val="TableContents"/>
              <w:bidi w:val="0"/>
              <w:spacing w:before="60" w:after="60"/>
              <w:ind w:left="0" w:right="0" w:firstLine="90"/>
              <w:jc w:val="both"/>
              <w:rPr>
                <w:rFonts w:ascii="Arial" w:hAnsi="Arial"/>
                <w:color w:val="000000"/>
                <w:sz w:val="20"/>
              </w:rPr>
            </w:pPr>
            <w:r>
              <w:rPr>
                <w:rFonts w:ascii="Arial" w:hAnsi="Arial"/>
                <w:color w:val="000000"/>
                <w:sz w:val="20"/>
              </w:rPr>
              <w:t>MasterCraft Boat Holdings, Inc.</w:t>
            </w:r>
          </w:p>
        </w:tc>
      </w:tr>
      <w:tr>
        <w:trPr/>
        <w:tc>
          <w:tcPr>
            <w:tcW w:w="3241" w:type="dxa"/>
            <w:tcBorders/>
            <w:tcMar>
              <w:top w:w="0" w:type="dxa"/>
              <w:left w:w="0" w:type="dxa"/>
              <w:bottom w:w="0" w:type="dxa"/>
              <w:right w:w="0" w:type="dxa"/>
            </w:tcMar>
            <w:vAlign w:val="center"/>
          </w:tcPr>
          <w:p>
            <w:pPr>
              <w:pStyle w:val="TableContents"/>
              <w:bidi w:val="0"/>
              <w:spacing w:before="60" w:after="60"/>
              <w:ind w:left="0" w:right="0" w:firstLine="90"/>
              <w:jc w:val="both"/>
              <w:rPr>
                <w:rFonts w:ascii="Arial" w:hAnsi="Arial"/>
                <w:color w:val="000000"/>
                <w:sz w:val="20"/>
              </w:rPr>
            </w:pPr>
            <w:r>
              <w:rPr>
                <w:rFonts w:ascii="Arial" w:hAnsi="Arial"/>
                <w:color w:val="000000"/>
                <w:sz w:val="20"/>
              </w:rPr>
              <w:t>Clarus Corp.</w:t>
            </w:r>
          </w:p>
        </w:tc>
        <w:tc>
          <w:tcPr>
            <w:tcW w:w="3136" w:type="dxa"/>
            <w:tcBorders/>
            <w:tcMar>
              <w:top w:w="0" w:type="dxa"/>
              <w:left w:w="0" w:type="dxa"/>
              <w:bottom w:w="0" w:type="dxa"/>
              <w:right w:w="0" w:type="dxa"/>
            </w:tcMar>
            <w:vAlign w:val="center"/>
          </w:tcPr>
          <w:p>
            <w:pPr>
              <w:pStyle w:val="TableContents"/>
              <w:bidi w:val="0"/>
              <w:spacing w:before="60" w:after="60"/>
              <w:ind w:left="0" w:right="0" w:firstLine="90"/>
              <w:jc w:val="both"/>
              <w:rPr>
                <w:rFonts w:ascii="Arial" w:hAnsi="Arial"/>
                <w:color w:val="000000"/>
                <w:sz w:val="20"/>
              </w:rPr>
            </w:pPr>
            <w:r>
              <w:rPr>
                <w:rFonts w:ascii="Arial" w:hAnsi="Arial"/>
                <w:color w:val="000000"/>
                <w:sz w:val="20"/>
              </w:rPr>
              <w:t>Motorcar Parts of America, Inc.</w:t>
            </w:r>
          </w:p>
        </w:tc>
      </w:tr>
      <w:tr>
        <w:trPr/>
        <w:tc>
          <w:tcPr>
            <w:tcW w:w="3241" w:type="dxa"/>
            <w:tcBorders/>
            <w:shd w:fill="DCDDDE" w:val="clear"/>
            <w:tcMar>
              <w:top w:w="0" w:type="dxa"/>
              <w:left w:w="0" w:type="dxa"/>
              <w:bottom w:w="0" w:type="dxa"/>
              <w:right w:w="0" w:type="dxa"/>
            </w:tcMar>
            <w:vAlign w:val="center"/>
          </w:tcPr>
          <w:p>
            <w:pPr>
              <w:pStyle w:val="TableContents"/>
              <w:bidi w:val="0"/>
              <w:spacing w:before="60" w:after="60"/>
              <w:ind w:left="0" w:right="0" w:firstLine="90"/>
              <w:jc w:val="both"/>
              <w:rPr>
                <w:rFonts w:ascii="Arial" w:hAnsi="Arial"/>
                <w:color w:val="000000"/>
                <w:sz w:val="20"/>
              </w:rPr>
            </w:pPr>
            <w:r>
              <w:rPr>
                <w:rFonts w:ascii="Arial" w:hAnsi="Arial"/>
                <w:color w:val="000000"/>
                <w:sz w:val="20"/>
              </w:rPr>
              <w:t>Ethan Allen Interiors, Inc.</w:t>
            </w:r>
          </w:p>
        </w:tc>
        <w:tc>
          <w:tcPr>
            <w:tcW w:w="3136" w:type="dxa"/>
            <w:tcBorders/>
            <w:shd w:fill="DCDDDE" w:val="clear"/>
            <w:tcMar>
              <w:top w:w="0" w:type="dxa"/>
              <w:left w:w="0" w:type="dxa"/>
              <w:bottom w:w="0" w:type="dxa"/>
              <w:right w:w="0" w:type="dxa"/>
            </w:tcMar>
            <w:vAlign w:val="center"/>
          </w:tcPr>
          <w:p>
            <w:pPr>
              <w:pStyle w:val="TableContents"/>
              <w:bidi w:val="0"/>
              <w:spacing w:before="60" w:after="60"/>
              <w:ind w:left="0" w:right="0" w:firstLine="90"/>
              <w:jc w:val="both"/>
              <w:rPr>
                <w:rFonts w:ascii="Arial" w:hAnsi="Arial"/>
                <w:color w:val="000000"/>
                <w:sz w:val="20"/>
              </w:rPr>
            </w:pPr>
            <w:r>
              <w:rPr>
                <w:rFonts w:ascii="Arial" w:hAnsi="Arial"/>
                <w:color w:val="000000"/>
                <w:sz w:val="20"/>
              </w:rPr>
              <w:t>Movado Group, Inc.</w:t>
            </w:r>
          </w:p>
        </w:tc>
      </w:tr>
      <w:tr>
        <w:trPr/>
        <w:tc>
          <w:tcPr>
            <w:tcW w:w="3241" w:type="dxa"/>
            <w:tcBorders/>
            <w:tcMar>
              <w:top w:w="0" w:type="dxa"/>
              <w:left w:w="0" w:type="dxa"/>
              <w:bottom w:w="0" w:type="dxa"/>
              <w:right w:w="0" w:type="dxa"/>
            </w:tcMar>
            <w:vAlign w:val="center"/>
          </w:tcPr>
          <w:p>
            <w:pPr>
              <w:pStyle w:val="TableContents"/>
              <w:bidi w:val="0"/>
              <w:spacing w:before="60" w:after="60"/>
              <w:ind w:left="0" w:right="0" w:firstLine="90"/>
              <w:jc w:val="both"/>
              <w:rPr>
                <w:rFonts w:ascii="Arial" w:hAnsi="Arial"/>
                <w:color w:val="000000"/>
                <w:sz w:val="20"/>
              </w:rPr>
            </w:pPr>
            <w:r>
              <w:rPr>
                <w:rFonts w:ascii="Arial" w:hAnsi="Arial"/>
                <w:color w:val="000000"/>
                <w:sz w:val="20"/>
              </w:rPr>
              <w:t>Go-Pro, Inc.</w:t>
            </w:r>
          </w:p>
        </w:tc>
        <w:tc>
          <w:tcPr>
            <w:tcW w:w="3136" w:type="dxa"/>
            <w:tcBorders/>
            <w:tcMar>
              <w:top w:w="0" w:type="dxa"/>
              <w:left w:w="0" w:type="dxa"/>
              <w:bottom w:w="0" w:type="dxa"/>
              <w:right w:w="0" w:type="dxa"/>
            </w:tcMar>
            <w:vAlign w:val="center"/>
          </w:tcPr>
          <w:p>
            <w:pPr>
              <w:pStyle w:val="TableContents"/>
              <w:bidi w:val="0"/>
              <w:spacing w:before="60" w:after="60"/>
              <w:ind w:left="0" w:right="0" w:firstLine="90"/>
              <w:jc w:val="both"/>
              <w:rPr>
                <w:rFonts w:ascii="Arial" w:hAnsi="Arial"/>
                <w:color w:val="000000"/>
                <w:sz w:val="20"/>
              </w:rPr>
            </w:pPr>
            <w:r>
              <w:rPr>
                <w:rFonts w:ascii="Arial" w:hAnsi="Arial"/>
                <w:color w:val="000000"/>
                <w:sz w:val="20"/>
              </w:rPr>
              <w:t>National Presto Industries Inc.</w:t>
            </w:r>
          </w:p>
        </w:tc>
      </w:tr>
      <w:tr>
        <w:trPr/>
        <w:tc>
          <w:tcPr>
            <w:tcW w:w="3241" w:type="dxa"/>
            <w:tcBorders/>
            <w:shd w:fill="DCDDDE" w:val="clear"/>
            <w:tcMar>
              <w:top w:w="0" w:type="dxa"/>
              <w:left w:w="0" w:type="dxa"/>
              <w:bottom w:w="0" w:type="dxa"/>
              <w:right w:w="0" w:type="dxa"/>
            </w:tcMar>
            <w:vAlign w:val="center"/>
          </w:tcPr>
          <w:p>
            <w:pPr>
              <w:pStyle w:val="TableContents"/>
              <w:bidi w:val="0"/>
              <w:spacing w:before="60" w:after="60"/>
              <w:ind w:left="0" w:right="0" w:firstLine="90"/>
              <w:jc w:val="both"/>
              <w:rPr>
                <w:rFonts w:ascii="Times New Roman" w:hAnsi="Times New Roman"/>
                <w:sz w:val="20"/>
              </w:rPr>
            </w:pPr>
            <w:r>
              <w:rPr>
                <w:rFonts w:ascii="Arial" w:hAnsi="Arial"/>
                <w:color w:val="000000"/>
                <w:sz w:val="20"/>
              </w:rPr>
              <w:t>Haverty Furniture Companies, Inc.</w:t>
            </w:r>
            <w:r>
              <w:rPr>
                <w:rFonts w:ascii="Times New Roman" w:hAnsi="Times New Roman"/>
                <w:color w:val="000000"/>
                <w:sz w:val="20"/>
              </w:rPr>
              <w:t xml:space="preserve"> </w:t>
            </w:r>
          </w:p>
        </w:tc>
        <w:tc>
          <w:tcPr>
            <w:tcW w:w="3136" w:type="dxa"/>
            <w:tcBorders/>
            <w:shd w:fill="DCDDDE" w:val="clear"/>
            <w:tcMar>
              <w:top w:w="0" w:type="dxa"/>
              <w:left w:w="0" w:type="dxa"/>
              <w:bottom w:w="0" w:type="dxa"/>
              <w:right w:w="0" w:type="dxa"/>
            </w:tcMar>
            <w:vAlign w:val="center"/>
          </w:tcPr>
          <w:p>
            <w:pPr>
              <w:pStyle w:val="TableContents"/>
              <w:bidi w:val="0"/>
              <w:spacing w:before="60" w:after="60"/>
              <w:ind w:left="0" w:right="0" w:firstLine="90"/>
              <w:jc w:val="both"/>
              <w:rPr>
                <w:rFonts w:ascii="Arial" w:hAnsi="Arial"/>
                <w:color w:val="000000"/>
                <w:sz w:val="20"/>
              </w:rPr>
            </w:pPr>
            <w:r>
              <w:rPr>
                <w:rFonts w:ascii="Arial" w:hAnsi="Arial"/>
                <w:color w:val="000000"/>
                <w:sz w:val="20"/>
              </w:rPr>
              <w:t>Quanex Building Products Corp.</w:t>
            </w:r>
          </w:p>
        </w:tc>
      </w:tr>
      <w:tr>
        <w:trPr/>
        <w:tc>
          <w:tcPr>
            <w:tcW w:w="3241" w:type="dxa"/>
            <w:tcBorders/>
            <w:tcMar>
              <w:top w:w="0" w:type="dxa"/>
              <w:left w:w="0" w:type="dxa"/>
              <w:bottom w:w="0" w:type="dxa"/>
              <w:right w:w="0" w:type="dxa"/>
            </w:tcMar>
            <w:vAlign w:val="center"/>
          </w:tcPr>
          <w:p>
            <w:pPr>
              <w:pStyle w:val="TableContents"/>
              <w:bidi w:val="0"/>
              <w:spacing w:before="60" w:after="60"/>
              <w:ind w:left="0" w:right="0" w:firstLine="90"/>
              <w:jc w:val="both"/>
              <w:rPr>
                <w:rFonts w:ascii="Arial" w:hAnsi="Arial"/>
                <w:color w:val="000000"/>
                <w:sz w:val="20"/>
              </w:rPr>
            </w:pPr>
            <w:r>
              <w:rPr>
                <w:rFonts w:ascii="Arial" w:hAnsi="Arial"/>
                <w:color w:val="000000"/>
                <w:sz w:val="20"/>
              </w:rPr>
              <w:t>Hooker Furniture Corporation</w:t>
            </w:r>
          </w:p>
        </w:tc>
        <w:tc>
          <w:tcPr>
            <w:tcW w:w="3136" w:type="dxa"/>
            <w:tcBorders/>
            <w:tcMar>
              <w:top w:w="0" w:type="dxa"/>
              <w:left w:w="0" w:type="dxa"/>
              <w:bottom w:w="0" w:type="dxa"/>
              <w:right w:w="0" w:type="dxa"/>
            </w:tcMar>
            <w:vAlign w:val="center"/>
          </w:tcPr>
          <w:p>
            <w:pPr>
              <w:pStyle w:val="TableContents"/>
              <w:bidi w:val="0"/>
              <w:spacing w:before="60" w:after="60"/>
              <w:ind w:left="0" w:right="0" w:firstLine="90"/>
              <w:jc w:val="both"/>
              <w:rPr>
                <w:rFonts w:ascii="Arial" w:hAnsi="Arial"/>
                <w:color w:val="000000"/>
                <w:sz w:val="20"/>
              </w:rPr>
            </w:pPr>
            <w:r>
              <w:rPr>
                <w:rFonts w:ascii="Arial" w:hAnsi="Arial"/>
                <w:color w:val="000000"/>
                <w:sz w:val="20"/>
              </w:rPr>
              <w:t>Standard Motor Products</w:t>
            </w:r>
          </w:p>
        </w:tc>
      </w:tr>
      <w:tr>
        <w:trPr/>
        <w:tc>
          <w:tcPr>
            <w:tcW w:w="3241" w:type="dxa"/>
            <w:tcBorders/>
            <w:shd w:fill="DCDDDE" w:val="clear"/>
            <w:tcMar>
              <w:top w:w="0" w:type="dxa"/>
              <w:left w:w="0" w:type="dxa"/>
              <w:bottom w:w="0" w:type="dxa"/>
              <w:right w:w="0" w:type="dxa"/>
            </w:tcMar>
            <w:vAlign w:val="center"/>
          </w:tcPr>
          <w:p>
            <w:pPr>
              <w:pStyle w:val="TableContents"/>
              <w:bidi w:val="0"/>
              <w:spacing w:before="60" w:after="60"/>
              <w:ind w:left="0" w:right="0" w:firstLine="90"/>
              <w:jc w:val="both"/>
              <w:rPr>
                <w:rFonts w:ascii="Arial" w:hAnsi="Arial"/>
                <w:color w:val="000000"/>
                <w:sz w:val="20"/>
              </w:rPr>
            </w:pPr>
            <w:r>
              <w:rPr>
                <w:rFonts w:ascii="Arial" w:hAnsi="Arial"/>
                <w:color w:val="000000"/>
                <w:sz w:val="20"/>
              </w:rPr>
              <w:t>iRobot Corporation</w:t>
            </w:r>
          </w:p>
        </w:tc>
        <w:tc>
          <w:tcPr>
            <w:tcW w:w="3136" w:type="dxa"/>
            <w:tcBorders/>
            <w:shd w:fill="DCDDDE" w:val="clear"/>
            <w:tcMar>
              <w:top w:w="0" w:type="dxa"/>
              <w:left w:w="0" w:type="dxa"/>
              <w:bottom w:w="0" w:type="dxa"/>
              <w:right w:w="0" w:type="dxa"/>
            </w:tcMar>
            <w:vAlign w:val="center"/>
          </w:tcPr>
          <w:p>
            <w:pPr>
              <w:pStyle w:val="TableContents"/>
              <w:bidi w:val="0"/>
              <w:spacing w:before="60" w:after="60"/>
              <w:ind w:left="0" w:right="0" w:firstLine="90"/>
              <w:jc w:val="both"/>
              <w:rPr>
                <w:rFonts w:ascii="Arial" w:hAnsi="Arial"/>
                <w:color w:val="000000"/>
                <w:sz w:val="20"/>
              </w:rPr>
            </w:pPr>
            <w:r>
              <w:rPr>
                <w:rFonts w:ascii="Arial" w:hAnsi="Arial"/>
                <w:color w:val="000000"/>
                <w:sz w:val="20"/>
              </w:rPr>
              <w:t>Standex International Corporation</w:t>
            </w:r>
          </w:p>
        </w:tc>
      </w:tr>
      <w:tr>
        <w:trPr/>
        <w:tc>
          <w:tcPr>
            <w:tcW w:w="3241" w:type="dxa"/>
            <w:tcBorders/>
            <w:tcMar>
              <w:top w:w="0" w:type="dxa"/>
              <w:left w:w="0" w:type="dxa"/>
              <w:bottom w:w="0" w:type="dxa"/>
              <w:right w:w="0" w:type="dxa"/>
            </w:tcMar>
            <w:vAlign w:val="center"/>
          </w:tcPr>
          <w:p>
            <w:pPr>
              <w:pStyle w:val="TableContents"/>
              <w:bidi w:val="0"/>
              <w:spacing w:before="60" w:after="60"/>
              <w:ind w:left="0" w:right="0" w:firstLine="90"/>
              <w:jc w:val="both"/>
              <w:rPr>
                <w:rFonts w:ascii="Arial" w:hAnsi="Arial"/>
                <w:color w:val="000000"/>
                <w:sz w:val="20"/>
              </w:rPr>
            </w:pPr>
            <w:r>
              <w:rPr>
                <w:rFonts w:ascii="Arial" w:hAnsi="Arial"/>
                <w:color w:val="000000"/>
                <w:sz w:val="20"/>
              </w:rPr>
              <w:t>Johnson Outdoors Inc.</w:t>
            </w:r>
          </w:p>
        </w:tc>
        <w:tc>
          <w:tcPr>
            <w:tcW w:w="3136" w:type="dxa"/>
            <w:tcBorders/>
            <w:tcMar>
              <w:top w:w="0" w:type="dxa"/>
              <w:left w:w="0" w:type="dxa"/>
              <w:bottom w:w="0" w:type="dxa"/>
              <w:right w:w="0" w:type="dxa"/>
            </w:tcMar>
            <w:vAlign w:val="center"/>
          </w:tcPr>
          <w:p>
            <w:pPr>
              <w:pStyle w:val="TableContents"/>
              <w:bidi w:val="0"/>
              <w:spacing w:before="60" w:after="60"/>
              <w:ind w:left="0" w:right="0" w:firstLine="90"/>
              <w:jc w:val="both"/>
              <w:rPr>
                <w:rFonts w:ascii="Arial" w:hAnsi="Arial"/>
                <w:color w:val="000000"/>
                <w:sz w:val="20"/>
              </w:rPr>
            </w:pPr>
            <w:r>
              <w:rPr>
                <w:rFonts w:ascii="Arial" w:hAnsi="Arial"/>
                <w:color w:val="000000"/>
                <w:sz w:val="20"/>
              </w:rPr>
              <w:t>Stoneridge, Inc.</w:t>
            </w:r>
          </w:p>
        </w:tc>
      </w:tr>
      <w:tr>
        <w:trPr/>
        <w:tc>
          <w:tcPr>
            <w:tcW w:w="3241" w:type="dxa"/>
            <w:tcBorders/>
            <w:shd w:fill="DCDDDE" w:val="clear"/>
            <w:tcMar>
              <w:top w:w="0" w:type="dxa"/>
              <w:left w:w="0" w:type="dxa"/>
              <w:bottom w:w="0" w:type="dxa"/>
              <w:right w:w="0" w:type="dxa"/>
            </w:tcMar>
            <w:vAlign w:val="center"/>
          </w:tcPr>
          <w:p>
            <w:pPr>
              <w:pStyle w:val="TableContents"/>
              <w:bidi w:val="0"/>
              <w:spacing w:before="0" w:after="283"/>
              <w:ind w:left="0" w:right="0" w:firstLine="90"/>
              <w:jc w:val="left"/>
              <w:rPr>
                <w:color w:val="000000"/>
              </w:rPr>
            </w:pPr>
            <w:r>
              <w:rPr>
                <w:color w:val="000000"/>
              </w:rPr>
              <w:t>  </w:t>
            </w:r>
            <w:r>
              <w:rPr>
                <w:rFonts w:ascii="Arial" w:hAnsi="Arial"/>
                <w:color w:val="000000"/>
                <w:sz w:val="20"/>
              </w:rPr>
              <w:t>Malibu Boats, Inc.</w:t>
            </w:r>
          </w:p>
        </w:tc>
        <w:tc>
          <w:tcPr>
            <w:tcW w:w="3136" w:type="dxa"/>
            <w:tcBorders/>
            <w:shd w:fill="DCDDDE" w:val="clear"/>
            <w:tcMar>
              <w:top w:w="0" w:type="dxa"/>
              <w:left w:w="0" w:type="dxa"/>
              <w:bottom w:w="0" w:type="dxa"/>
              <w:right w:w="0" w:type="dxa"/>
            </w:tcMar>
            <w:vAlign w:val="center"/>
          </w:tcPr>
          <w:p>
            <w:pPr>
              <w:pStyle w:val="TableContents"/>
              <w:bidi w:val="0"/>
              <w:spacing w:before="60" w:after="60"/>
              <w:ind w:left="0" w:right="0" w:firstLine="90"/>
              <w:jc w:val="both"/>
              <w:rPr>
                <w:rFonts w:ascii="Arial" w:hAnsi="Arial"/>
                <w:color w:val="000000"/>
                <w:sz w:val="20"/>
              </w:rPr>
            </w:pPr>
            <w:r>
              <w:rPr>
                <w:rFonts w:ascii="Arial" w:hAnsi="Arial"/>
                <w:color w:val="000000"/>
                <w:sz w:val="20"/>
              </w:rPr>
              <w:t>Sturm, Ruger &amp; Company, Inc.</w:t>
            </w:r>
          </w:p>
        </w:tc>
      </w:tr>
      <w:tr>
        <w:trPr/>
        <w:tc>
          <w:tcPr>
            <w:tcW w:w="3241" w:type="dxa"/>
            <w:tcBorders/>
            <w:tcMar>
              <w:top w:w="0" w:type="dxa"/>
              <w:left w:w="0" w:type="dxa"/>
              <w:bottom w:w="0" w:type="dxa"/>
              <w:right w:w="0" w:type="dxa"/>
            </w:tcMar>
            <w:vAlign w:val="center"/>
          </w:tcPr>
          <w:p>
            <w:pPr>
              <w:pStyle w:val="TableContents"/>
              <w:bidi w:val="0"/>
              <w:spacing w:before="60" w:after="60"/>
              <w:ind w:left="0" w:right="0" w:firstLine="90"/>
              <w:jc w:val="both"/>
              <w:rPr>
                <w:rFonts w:ascii="Arial" w:hAnsi="Arial"/>
                <w:color w:val="000000"/>
                <w:sz w:val="20"/>
              </w:rPr>
            </w:pPr>
            <w:r>
              <w:rPr>
                <w:rFonts w:ascii="Arial" w:hAnsi="Arial"/>
                <w:color w:val="000000"/>
                <w:sz w:val="20"/>
              </w:rPr>
              <w:t>Marine Products Corp.</w:t>
            </w:r>
          </w:p>
        </w:tc>
        <w:tc>
          <w:tcPr>
            <w:tcW w:w="3136" w:type="dxa"/>
            <w:tcBorders/>
            <w:tcMar>
              <w:top w:w="0" w:type="dxa"/>
              <w:left w:w="0" w:type="dxa"/>
              <w:bottom w:w="0" w:type="dxa"/>
              <w:right w:w="0" w:type="dxa"/>
            </w:tcMar>
            <w:vAlign w:val="center"/>
          </w:tcPr>
          <w:p>
            <w:pPr>
              <w:pStyle w:val="TableContents"/>
              <w:bidi w:val="0"/>
              <w:spacing w:before="60" w:after="60"/>
              <w:ind w:left="0" w:right="0" w:firstLine="90"/>
              <w:jc w:val="both"/>
              <w:rPr>
                <w:rFonts w:ascii="Arial" w:hAnsi="Arial"/>
                <w:color w:val="000000"/>
                <w:sz w:val="20"/>
              </w:rPr>
            </w:pPr>
            <w:r>
              <w:rPr>
                <w:rFonts w:ascii="Arial" w:hAnsi="Arial"/>
                <w:color w:val="000000"/>
                <w:sz w:val="20"/>
              </w:rPr>
              <w:t>XPEL, Inc.</w:t>
            </w:r>
          </w:p>
        </w:tc>
      </w:tr>
    </w:tbl>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left"/>
        <w:rPr/>
      </w:pPr>
      <w:r>
        <w:rPr/>
        <w:t> </w:t>
      </w:r>
    </w:p>
    <w:tbl>
      <w:tblPr>
        <w:tblW w:w="3702" w:type="dxa"/>
        <w:jc w:val="left"/>
        <w:tblInd w:w="0" w:type="dxa"/>
        <w:tblLayout w:type="fixed"/>
        <w:tblCellMar>
          <w:top w:w="28" w:type="dxa"/>
          <w:left w:w="28" w:type="dxa"/>
          <w:bottom w:w="28" w:type="dxa"/>
          <w:right w:w="28" w:type="dxa"/>
        </w:tblCellMar>
      </w:tblPr>
      <w:tblGrid>
        <w:gridCol w:w="2266"/>
        <w:gridCol w:w="1436"/>
      </w:tblGrid>
      <w:tr>
        <w:trPr/>
        <w:tc>
          <w:tcPr>
            <w:tcW w:w="2266"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2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91F2C"/>
                <w:sz w:val="18"/>
              </w:rPr>
              <w:t>20</w:t>
            </w:r>
            <w:r>
              <w:rPr>
                <w:rFonts w:ascii="Times New Roman" w:hAnsi="Times New Roman"/>
                <w:color w:val="091F2C"/>
                <w:sz w:val="18"/>
              </w:rPr>
              <w:t> </w:t>
            </w:r>
            <w:r>
              <w:rPr>
                <w:rFonts w:ascii="Arial" w:hAnsi="Arial"/>
                <w:color w:val="091F2C"/>
                <w:sz w:val="18"/>
              </w:rPr>
              <w:t>I 2026 Proxy Statement</w:t>
            </w:r>
          </w:p>
        </w:tc>
        <w:tc>
          <w:tcPr>
            <w:tcW w:w="143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828675" cy="19050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828675" cy="190500"/>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2277" w:type="dxa"/>
        <w:jc w:val="left"/>
        <w:tblInd w:w="0" w:type="dxa"/>
        <w:tblLayout w:type="fixed"/>
        <w:tblCellMar>
          <w:top w:w="28" w:type="dxa"/>
          <w:left w:w="28" w:type="dxa"/>
          <w:bottom w:w="28" w:type="dxa"/>
          <w:right w:w="28" w:type="dxa"/>
        </w:tblCellMar>
      </w:tblPr>
      <w:tblGrid>
        <w:gridCol w:w="2086"/>
        <w:gridCol w:w="191"/>
      </w:tblGrid>
      <w:tr>
        <w:trPr/>
        <w:tc>
          <w:tcPr>
            <w:tcW w:w="20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86" w:type="dxa"/>
            <w:tcBorders/>
            <w:tcMar>
              <w:top w:w="0" w:type="dxa"/>
              <w:left w:w="0" w:type="dxa"/>
              <w:bottom w:w="0" w:type="dxa"/>
              <w:right w:w="0" w:type="dxa"/>
            </w:tcMar>
            <w:vAlign w:val="center"/>
          </w:tcPr>
          <w:p>
            <w:pPr>
              <w:pStyle w:val="TableContents"/>
              <w:bidi w:val="0"/>
              <w:spacing w:before="0" w:after="283"/>
              <w:jc w:val="left"/>
              <w:rPr>
                <w:rFonts w:ascii="Arial" w:hAnsi="Arial"/>
                <w:color w:val="002668"/>
                <w:sz w:val="20"/>
              </w:rPr>
            </w:pPr>
            <w:r>
              <w:rPr>
                <w:rFonts w:ascii="Arial" w:hAnsi="Arial"/>
                <w:color w:val="002668"/>
                <w:sz w:val="20"/>
              </w:rPr>
              <w:t>Compensation Matters</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bottom w:val="single" w:sz="8" w:space="0" w:color="002668"/>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Arial" w:hAnsi="Arial"/>
          <w:b/>
          <w:color w:val="002668"/>
          <w:sz w:val="28"/>
        </w:rPr>
      </w:pPr>
      <w:r>
        <w:rPr>
          <w:rFonts w:ascii="Arial" w:hAnsi="Arial"/>
          <w:b/>
          <w:color w:val="002668"/>
          <w:sz w:val="28"/>
        </w:rPr>
        <w:t>COMPENSATION ELEMENTS</w:t>
      </w:r>
    </w:p>
    <w:p>
      <w:pPr>
        <w:pStyle w:val="TextBody"/>
        <w:bidi w:val="0"/>
        <w:spacing w:before="120" w:after="283"/>
        <w:jc w:val="both"/>
        <w:rPr>
          <w:rFonts w:ascii="Arial" w:hAnsi="Arial"/>
          <w:color w:val="000000"/>
          <w:sz w:val="20"/>
        </w:rPr>
      </w:pPr>
      <w:r>
        <w:rPr>
          <w:rFonts w:ascii="Arial" w:hAnsi="Arial"/>
          <w:color w:val="000000"/>
          <w:sz w:val="20"/>
        </w:rPr>
        <w:t>Our executive compensation program consists primarily of base salary, annual performance-based cash incentive compensation opportunities, stock-based compensation, and severance benefits, together with health and welfare benefits generally available to most employees and our other executives, and limited perquisites. The Compensation Committee considers each element of compensation individually and collectively with other elements of compensation when establishing the various forms, elements, and levels of compensation for our executive officers.</w:t>
      </w:r>
    </w:p>
    <w:p>
      <w:pPr>
        <w:pStyle w:val="TextBody"/>
        <w:bidi w:val="0"/>
        <w:spacing w:before="120" w:after="283"/>
        <w:jc w:val="both"/>
        <w:rPr>
          <w:rFonts w:ascii="Arial" w:hAnsi="Arial"/>
          <w:color w:val="000000"/>
          <w:sz w:val="20"/>
        </w:rPr>
      </w:pPr>
      <w:r>
        <w:rPr>
          <w:rFonts w:ascii="Arial" w:hAnsi="Arial"/>
          <w:color w:val="000000"/>
          <w:sz w:val="20"/>
        </w:rPr>
        <w:t>Our fiscal 2026 executive compensation program included the following direct compensation components: base salary, annual performance-based cash incentives, and stock-based compensation.</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391"/>
        <w:gridCol w:w="1098"/>
        <w:gridCol w:w="2349"/>
        <w:gridCol w:w="3024"/>
        <w:gridCol w:w="1343"/>
      </w:tblGrid>
      <w:tr>
        <w:trPr/>
        <w:tc>
          <w:tcPr>
            <w:tcW w:w="2391"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349" w:type="dxa"/>
            <w:tcBorders/>
            <w:vAlign w:val="center"/>
          </w:tcPr>
          <w:p>
            <w:pPr>
              <w:pStyle w:val="TableContents"/>
              <w:bidi w:val="0"/>
              <w:spacing w:before="0" w:after="283"/>
              <w:jc w:val="left"/>
              <w:rPr>
                <w:sz w:val="4"/>
                <w:szCs w:val="4"/>
              </w:rPr>
            </w:pPr>
            <w:r>
              <w:rPr>
                <w:sz w:val="4"/>
                <w:szCs w:val="4"/>
              </w:rPr>
            </w:r>
          </w:p>
        </w:tc>
        <w:tc>
          <w:tcPr>
            <w:tcW w:w="3024"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ind w:left="0" w:right="0" w:firstLine="199"/>
              <w:jc w:val="left"/>
              <w:rPr>
                <w:sz w:val="4"/>
                <w:szCs w:val="4"/>
              </w:rPr>
            </w:pPr>
            <w:r>
              <w:rPr>
                <w:sz w:val="4"/>
                <w:szCs w:val="4"/>
              </w:rPr>
            </w:r>
          </w:p>
        </w:tc>
      </w:tr>
      <w:tr>
        <w:trPr/>
        <w:tc>
          <w:tcPr>
            <w:tcW w:w="2391" w:type="dxa"/>
            <w:tcBorders/>
            <w:shd w:fill="002668" w:val="clear"/>
            <w:tcMar>
              <w:top w:w="0" w:type="dxa"/>
              <w:left w:w="0" w:type="dxa"/>
              <w:bottom w:w="0" w:type="dxa"/>
              <w:right w:w="0" w:type="dxa"/>
            </w:tcMar>
            <w:vAlign w:val="center"/>
          </w:tcPr>
          <w:p>
            <w:pPr>
              <w:pStyle w:val="TableContents"/>
              <w:bidi w:val="0"/>
              <w:spacing w:before="0" w:after="283"/>
              <w:ind w:left="0" w:right="0" w:firstLine="199"/>
              <w:jc w:val="center"/>
              <w:rPr>
                <w:rFonts w:ascii="Arial" w:hAnsi="Arial"/>
                <w:b/>
                <w:color w:val="FFFFFF"/>
                <w:sz w:val="20"/>
              </w:rPr>
            </w:pPr>
            <w:r>
              <w:rPr>
                <w:rFonts w:ascii="Arial" w:hAnsi="Arial"/>
                <w:b/>
                <w:color w:val="FFFFFF"/>
                <w:sz w:val="20"/>
              </w:rPr>
              <w:t>Factors</w:t>
            </w:r>
          </w:p>
        </w:tc>
        <w:tc>
          <w:tcPr>
            <w:tcW w:w="1098" w:type="dxa"/>
            <w:tcBorders/>
            <w:shd w:fill="002668" w:val="clear"/>
            <w:tcMar>
              <w:top w:w="0" w:type="dxa"/>
              <w:left w:w="0" w:type="dxa"/>
              <w:bottom w:w="0" w:type="dxa"/>
              <w:right w:w="0" w:type="dxa"/>
            </w:tcMar>
            <w:vAlign w:val="center"/>
          </w:tcPr>
          <w:p>
            <w:pPr>
              <w:pStyle w:val="TableContents"/>
              <w:bidi w:val="0"/>
              <w:spacing w:before="0" w:after="283"/>
              <w:jc w:val="center"/>
              <w:rPr>
                <w:rFonts w:ascii="Arial" w:hAnsi="Arial"/>
                <w:b/>
                <w:color w:val="FFFFFF"/>
                <w:sz w:val="20"/>
              </w:rPr>
            </w:pPr>
            <w:r>
              <w:rPr>
                <w:rFonts w:ascii="Arial" w:hAnsi="Arial"/>
                <w:b/>
                <w:color w:val="FFFFFF"/>
                <w:sz w:val="20"/>
              </w:rPr>
              <w:t>Base Salary</w:t>
            </w:r>
          </w:p>
        </w:tc>
        <w:tc>
          <w:tcPr>
            <w:tcW w:w="2349" w:type="dxa"/>
            <w:tcBorders/>
            <w:shd w:fill="002668" w:val="clear"/>
            <w:tcMar>
              <w:top w:w="0" w:type="dxa"/>
              <w:left w:w="0" w:type="dxa"/>
              <w:bottom w:w="0" w:type="dxa"/>
              <w:right w:w="0" w:type="dxa"/>
            </w:tcMar>
            <w:vAlign w:val="center"/>
          </w:tcPr>
          <w:p>
            <w:pPr>
              <w:pStyle w:val="TableContents"/>
              <w:bidi w:val="0"/>
              <w:jc w:val="center"/>
              <w:rPr>
                <w:rFonts w:ascii="Arial" w:hAnsi="Arial"/>
                <w:b/>
                <w:color w:val="FFFFFF"/>
                <w:sz w:val="20"/>
              </w:rPr>
            </w:pPr>
            <w:r>
              <w:rPr>
                <w:rFonts w:ascii="Arial" w:hAnsi="Arial"/>
                <w:b/>
                <w:color w:val="FFFFFF"/>
                <w:sz w:val="20"/>
              </w:rPr>
              <w:t>Annual Performance</w:t>
            </w:r>
          </w:p>
          <w:p>
            <w:pPr>
              <w:pStyle w:val="TableContents"/>
              <w:bidi w:val="0"/>
              <w:jc w:val="center"/>
              <w:rPr>
                <w:rFonts w:ascii="Arial" w:hAnsi="Arial"/>
                <w:b/>
                <w:color w:val="FFFFFF"/>
                <w:sz w:val="20"/>
              </w:rPr>
            </w:pPr>
            <w:r>
              <w:rPr>
                <w:rFonts w:ascii="Arial" w:hAnsi="Arial"/>
                <w:b/>
                <w:color w:val="FFFFFF"/>
                <w:sz w:val="20"/>
              </w:rPr>
              <w:t>-Based</w:t>
            </w:r>
          </w:p>
          <w:p>
            <w:pPr>
              <w:pStyle w:val="TableContents"/>
              <w:bidi w:val="0"/>
              <w:spacing w:before="0" w:after="283"/>
              <w:jc w:val="center"/>
              <w:rPr>
                <w:rFonts w:ascii="Arial" w:hAnsi="Arial"/>
                <w:b/>
                <w:color w:val="FFFFFF"/>
                <w:sz w:val="20"/>
              </w:rPr>
            </w:pPr>
            <w:r>
              <w:rPr>
                <w:rFonts w:ascii="Arial" w:hAnsi="Arial"/>
                <w:b/>
                <w:color w:val="FFFFFF"/>
                <w:sz w:val="20"/>
              </w:rPr>
              <w:t>Cash Incentive</w:t>
            </w:r>
          </w:p>
        </w:tc>
        <w:tc>
          <w:tcPr>
            <w:tcW w:w="3024" w:type="dxa"/>
            <w:tcBorders/>
            <w:shd w:fill="002668" w:val="clear"/>
            <w:tcMar>
              <w:top w:w="0" w:type="dxa"/>
              <w:left w:w="0" w:type="dxa"/>
              <w:bottom w:w="0" w:type="dxa"/>
              <w:right w:w="0" w:type="dxa"/>
            </w:tcMar>
            <w:vAlign w:val="center"/>
          </w:tcPr>
          <w:p>
            <w:pPr>
              <w:pStyle w:val="TableContents"/>
              <w:bidi w:val="0"/>
              <w:jc w:val="both"/>
              <w:rPr/>
            </w:pPr>
            <w:r>
              <w:rPr/>
              <w:t> </w:t>
            </w:r>
          </w:p>
          <w:p>
            <w:pPr>
              <w:pStyle w:val="TableContents"/>
              <w:bidi w:val="0"/>
              <w:jc w:val="center"/>
              <w:rPr>
                <w:rFonts w:ascii="Arial" w:hAnsi="Arial"/>
                <w:b/>
                <w:color w:val="FFFFFF"/>
                <w:sz w:val="20"/>
              </w:rPr>
            </w:pPr>
            <w:r>
              <w:rPr>
                <w:rFonts w:ascii="Arial" w:hAnsi="Arial"/>
                <w:b/>
                <w:color w:val="FFFFFF"/>
                <w:sz w:val="20"/>
              </w:rPr>
              <w:t>PSUs</w:t>
            </w:r>
          </w:p>
          <w:p>
            <w:pPr>
              <w:pStyle w:val="TableContents"/>
              <w:bidi w:val="0"/>
              <w:spacing w:before="0" w:after="283"/>
              <w:jc w:val="both"/>
              <w:rPr/>
            </w:pPr>
            <w:r>
              <w:rPr/>
              <w:t> </w:t>
            </w:r>
          </w:p>
        </w:tc>
        <w:tc>
          <w:tcPr>
            <w:tcW w:w="1343" w:type="dxa"/>
            <w:tcBorders/>
            <w:shd w:fill="002668" w:val="clear"/>
            <w:tcMar>
              <w:top w:w="0" w:type="dxa"/>
              <w:left w:w="0" w:type="dxa"/>
              <w:bottom w:w="0" w:type="dxa"/>
              <w:right w:w="0" w:type="dxa"/>
            </w:tcMar>
            <w:vAlign w:val="center"/>
          </w:tcPr>
          <w:p>
            <w:pPr>
              <w:pStyle w:val="TableContents"/>
              <w:bidi w:val="0"/>
              <w:spacing w:before="0" w:after="283"/>
              <w:jc w:val="center"/>
              <w:rPr>
                <w:rFonts w:ascii="Arial" w:hAnsi="Arial"/>
                <w:b/>
                <w:color w:val="FFFFFF"/>
                <w:sz w:val="20"/>
              </w:rPr>
            </w:pPr>
            <w:r>
              <w:rPr>
                <w:rFonts w:ascii="Arial" w:hAnsi="Arial"/>
                <w:b/>
                <w:color w:val="FFFFFF"/>
                <w:sz w:val="20"/>
              </w:rPr>
              <w:t>RSUs</w:t>
            </w:r>
          </w:p>
        </w:tc>
      </w:tr>
      <w:tr>
        <w:trPr/>
        <w:tc>
          <w:tcPr>
            <w:tcW w:w="2391" w:type="dxa"/>
            <w:vMerge w:val="restart"/>
            <w:tcBorders/>
            <w:shd w:fill="DCDDDE" w:val="clear"/>
            <w:tcMar>
              <w:top w:w="0" w:type="dxa"/>
              <w:left w:w="0" w:type="dxa"/>
              <w:bottom w:w="0" w:type="dxa"/>
              <w:right w:w="0" w:type="dxa"/>
            </w:tcMar>
            <w:vAlign w:val="center"/>
          </w:tcPr>
          <w:p>
            <w:pPr>
              <w:pStyle w:val="TableContents"/>
              <w:bidi w:val="0"/>
              <w:spacing w:before="0" w:after="283"/>
              <w:jc w:val="both"/>
              <w:rPr>
                <w:color w:val="000000"/>
              </w:rPr>
            </w:pPr>
            <w:r>
              <w:rPr>
                <w:color w:val="000000"/>
              </w:rPr>
              <w:t>   </w:t>
            </w:r>
            <w:r>
              <w:rPr>
                <w:rFonts w:ascii="Arial" w:hAnsi="Arial"/>
                <w:color w:val="000000"/>
                <w:sz w:val="20"/>
              </w:rPr>
              <w:t>Form of Compensation</w:t>
            </w:r>
          </w:p>
        </w:tc>
        <w:tc>
          <w:tcPr>
            <w:tcW w:w="3447" w:type="dxa"/>
            <w:gridSpan w:val="2"/>
            <w:tcBorders>
              <w:bottom w:val="single" w:sz="4" w:space="0" w:color="002668"/>
            </w:tcBorders>
            <w:shd w:fill="DCDDDE"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Cash</w:t>
            </w:r>
          </w:p>
        </w:tc>
        <w:tc>
          <w:tcPr>
            <w:tcW w:w="4367" w:type="dxa"/>
            <w:gridSpan w:val="2"/>
            <w:tcBorders>
              <w:bottom w:val="single" w:sz="4" w:space="0" w:color="002668"/>
            </w:tcBorders>
            <w:shd w:fill="DCDDDE"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Equity</w:t>
            </w:r>
          </w:p>
        </w:tc>
      </w:tr>
      <w:tr>
        <w:trPr/>
        <w:tc>
          <w:tcPr>
            <w:tcW w:w="2391" w:type="dxa"/>
            <w:vMerge w:val="continue"/>
            <w:tcBorders/>
            <w:shd w:fill="DCDDDE" w:val="clear"/>
            <w:tcMar>
              <w:top w:w="0" w:type="dxa"/>
              <w:left w:w="0" w:type="dxa"/>
              <w:bottom w:w="0" w:type="dxa"/>
              <w:right w:w="0" w:type="dxa"/>
            </w:tcMar>
            <w:vAlign w:val="center"/>
          </w:tcPr>
          <w:p>
            <w:pPr>
              <w:pStyle w:val="Normal"/>
              <w:bidi w:val="0"/>
              <w:jc w:val="left"/>
              <w:rPr/>
            </w:pPr>
            <w:r>
              <w:rPr/>
            </w:r>
          </w:p>
        </w:tc>
        <w:tc>
          <w:tcPr>
            <w:tcW w:w="1098" w:type="dxa"/>
            <w:tcBorders/>
            <w:shd w:fill="DCDDDE"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Fixed</w:t>
            </w:r>
          </w:p>
        </w:tc>
        <w:tc>
          <w:tcPr>
            <w:tcW w:w="2349" w:type="dxa"/>
            <w:tcBorders/>
            <w:shd w:fill="DCDDDE"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Performance-Based</w:t>
            </w:r>
          </w:p>
        </w:tc>
        <w:tc>
          <w:tcPr>
            <w:tcW w:w="3024" w:type="dxa"/>
            <w:tcBorders/>
            <w:shd w:fill="DCDDDE"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Performance-Based</w:t>
            </w:r>
          </w:p>
        </w:tc>
        <w:tc>
          <w:tcPr>
            <w:tcW w:w="1343" w:type="dxa"/>
            <w:tcBorders/>
            <w:shd w:fill="DCDDDE"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Time-Based</w:t>
            </w:r>
          </w:p>
        </w:tc>
      </w:tr>
      <w:tr>
        <w:trPr/>
        <w:tc>
          <w:tcPr>
            <w:tcW w:w="2391" w:type="dxa"/>
            <w:tcBorders/>
            <w:tcMar>
              <w:top w:w="0" w:type="dxa"/>
              <w:left w:w="0" w:type="dxa"/>
              <w:bottom w:w="0" w:type="dxa"/>
              <w:right w:w="0" w:type="dxa"/>
            </w:tcMar>
            <w:vAlign w:val="center"/>
          </w:tcPr>
          <w:p>
            <w:pPr>
              <w:pStyle w:val="TableContents"/>
              <w:bidi w:val="0"/>
              <w:jc w:val="both"/>
              <w:rPr/>
            </w:pPr>
            <w:r>
              <w:rPr/>
              <w:t> </w:t>
            </w:r>
          </w:p>
          <w:p>
            <w:pPr>
              <w:pStyle w:val="TableContents"/>
              <w:bidi w:val="0"/>
              <w:spacing w:before="0" w:after="283"/>
              <w:jc w:val="both"/>
              <w:rPr>
                <w:color w:val="000000"/>
              </w:rPr>
            </w:pPr>
            <w:r>
              <w:rPr>
                <w:color w:val="000000"/>
              </w:rPr>
              <w:t>   </w:t>
            </w:r>
            <w:r>
              <w:rPr>
                <w:rFonts w:ascii="Arial" w:hAnsi="Arial"/>
                <w:color w:val="000000"/>
                <w:sz w:val="20"/>
              </w:rPr>
              <w:t>Performance Timing</w:t>
            </w:r>
          </w:p>
        </w:tc>
        <w:tc>
          <w:tcPr>
            <w:tcW w:w="3447" w:type="dxa"/>
            <w:gridSpan w:val="2"/>
            <w:tcBorders/>
            <w:tcMar>
              <w:top w:w="0" w:type="dxa"/>
              <w:left w:w="0" w:type="dxa"/>
              <w:bottom w:w="0" w:type="dxa"/>
              <w:right w:w="0" w:type="dxa"/>
            </w:tcMar>
            <w:vAlign w:val="center"/>
          </w:tcPr>
          <w:p>
            <w:pPr>
              <w:pStyle w:val="TableContents"/>
              <w:bidi w:val="0"/>
              <w:jc w:val="center"/>
              <w:rPr>
                <w:rFonts w:ascii="Times New Roman" w:hAnsi="Times New Roman"/>
                <w:sz w:val="18"/>
              </w:rPr>
            </w:pPr>
            <w:r>
              <w:rPr>
                <w:rFonts w:ascii="Arial" w:hAnsi="Arial"/>
                <w:color w:val="000000"/>
                <w:sz w:val="18"/>
              </w:rPr>
              <w:t>Short-Term</w:t>
            </w:r>
            <w:r>
              <w:rPr>
                <w:rFonts w:ascii="Times New Roman" w:hAnsi="Times New Roman"/>
                <w:color w:val="000000"/>
                <w:sz w:val="18"/>
              </w:rPr>
              <w:t xml:space="preserve"> </w:t>
            </w:r>
          </w:p>
          <w:p>
            <w:pPr>
              <w:pStyle w:val="TableContents"/>
              <w:bidi w:val="0"/>
              <w:spacing w:before="0" w:after="283"/>
              <w:jc w:val="center"/>
              <w:rPr>
                <w:rFonts w:ascii="Arial" w:hAnsi="Arial"/>
                <w:color w:val="000000"/>
                <w:sz w:val="18"/>
              </w:rPr>
            </w:pPr>
            <w:r>
              <w:rPr>
                <w:rFonts w:ascii="Arial" w:hAnsi="Arial"/>
                <w:color w:val="000000"/>
                <w:sz w:val="18"/>
              </w:rPr>
              <w:t>Emphasis</w:t>
            </w:r>
          </w:p>
        </w:tc>
        <w:tc>
          <w:tcPr>
            <w:tcW w:w="4367" w:type="dxa"/>
            <w:gridSpan w:val="2"/>
            <w:tcBorders/>
            <w:tcMar>
              <w:top w:w="0" w:type="dxa"/>
              <w:left w:w="0" w:type="dxa"/>
              <w:bottom w:w="0" w:type="dxa"/>
              <w:right w:w="0" w:type="dxa"/>
            </w:tcMar>
            <w:vAlign w:val="center"/>
          </w:tcPr>
          <w:p>
            <w:pPr>
              <w:pStyle w:val="TableContents"/>
              <w:bidi w:val="0"/>
              <w:jc w:val="center"/>
              <w:rPr>
                <w:rFonts w:ascii="Times New Roman" w:hAnsi="Times New Roman"/>
                <w:sz w:val="18"/>
              </w:rPr>
            </w:pPr>
            <w:r>
              <w:rPr>
                <w:rFonts w:ascii="Arial" w:hAnsi="Arial"/>
                <w:color w:val="000000"/>
                <w:sz w:val="18"/>
              </w:rPr>
              <w:t>Long-Term</w:t>
            </w:r>
            <w:r>
              <w:rPr>
                <w:rFonts w:ascii="Times New Roman" w:hAnsi="Times New Roman"/>
                <w:color w:val="000000"/>
                <w:sz w:val="18"/>
              </w:rPr>
              <w:t xml:space="preserve"> </w:t>
            </w:r>
          </w:p>
          <w:p>
            <w:pPr>
              <w:pStyle w:val="TableContents"/>
              <w:bidi w:val="0"/>
              <w:spacing w:before="0" w:after="283"/>
              <w:jc w:val="center"/>
              <w:rPr>
                <w:rFonts w:ascii="Arial" w:hAnsi="Arial"/>
                <w:color w:val="000000"/>
                <w:sz w:val="18"/>
              </w:rPr>
            </w:pPr>
            <w:r>
              <w:rPr>
                <w:rFonts w:ascii="Arial" w:hAnsi="Arial"/>
                <w:color w:val="000000"/>
                <w:sz w:val="18"/>
              </w:rPr>
              <w:t>Emphasis</w:t>
            </w:r>
          </w:p>
        </w:tc>
      </w:tr>
      <w:tr>
        <w:trPr/>
        <w:tc>
          <w:tcPr>
            <w:tcW w:w="2391" w:type="dxa"/>
            <w:tcBorders/>
            <w:shd w:fill="DCDDDE" w:val="clear"/>
            <w:tcMar>
              <w:top w:w="0" w:type="dxa"/>
              <w:left w:w="0" w:type="dxa"/>
              <w:bottom w:w="0" w:type="dxa"/>
              <w:right w:w="0" w:type="dxa"/>
            </w:tcMar>
            <w:vAlign w:val="center"/>
          </w:tcPr>
          <w:p>
            <w:pPr>
              <w:pStyle w:val="TableContents"/>
              <w:bidi w:val="0"/>
              <w:spacing w:before="0" w:after="283"/>
              <w:jc w:val="both"/>
              <w:rPr>
                <w:color w:val="000000"/>
              </w:rPr>
            </w:pPr>
            <w:r>
              <w:rPr>
                <w:color w:val="000000"/>
              </w:rPr>
              <w:t>   </w:t>
            </w:r>
            <w:r>
              <w:rPr>
                <w:rFonts w:ascii="Arial" w:hAnsi="Arial"/>
                <w:color w:val="000000"/>
                <w:sz w:val="20"/>
              </w:rPr>
              <w:t>Measurement Period</w:t>
            </w:r>
          </w:p>
        </w:tc>
        <w:tc>
          <w:tcPr>
            <w:tcW w:w="1098" w:type="dxa"/>
            <w:tcBorders/>
            <w:shd w:fill="DCDDDE" w:val="clear"/>
            <w:tcMar>
              <w:top w:w="0" w:type="dxa"/>
              <w:left w:w="0" w:type="dxa"/>
              <w:bottom w:w="0" w:type="dxa"/>
              <w:right w:w="0" w:type="dxa"/>
            </w:tcMar>
            <w:vAlign w:val="center"/>
          </w:tcPr>
          <w:p>
            <w:pPr>
              <w:pStyle w:val="TableContents"/>
              <w:bidi w:val="0"/>
              <w:jc w:val="center"/>
              <w:rPr>
                <w:rFonts w:ascii="Times New Roman" w:hAnsi="Times New Roman"/>
                <w:sz w:val="18"/>
              </w:rPr>
            </w:pPr>
            <w:r>
              <w:rPr>
                <w:rFonts w:ascii="Arial" w:hAnsi="Arial"/>
                <w:color w:val="000000"/>
                <w:sz w:val="18"/>
              </w:rPr>
              <w:t>Annual and</w:t>
            </w:r>
            <w:r>
              <w:rPr>
                <w:rFonts w:ascii="Times New Roman" w:hAnsi="Times New Roman"/>
                <w:color w:val="000000"/>
                <w:sz w:val="18"/>
              </w:rPr>
              <w:t xml:space="preserve"> </w:t>
            </w:r>
          </w:p>
          <w:p>
            <w:pPr>
              <w:pStyle w:val="TableContents"/>
              <w:bidi w:val="0"/>
              <w:spacing w:before="0" w:after="283"/>
              <w:jc w:val="center"/>
              <w:rPr>
                <w:rFonts w:ascii="Arial" w:hAnsi="Arial"/>
                <w:color w:val="000000"/>
                <w:sz w:val="18"/>
              </w:rPr>
            </w:pPr>
            <w:r>
              <w:rPr>
                <w:rFonts w:ascii="Arial" w:hAnsi="Arial"/>
                <w:color w:val="000000"/>
                <w:sz w:val="18"/>
              </w:rPr>
              <w:t>Ongoing</w:t>
            </w:r>
          </w:p>
        </w:tc>
        <w:tc>
          <w:tcPr>
            <w:tcW w:w="2349" w:type="dxa"/>
            <w:tcBorders/>
            <w:shd w:fill="DCDDDE"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 year</w:t>
            </w:r>
          </w:p>
        </w:tc>
        <w:tc>
          <w:tcPr>
            <w:tcW w:w="3024" w:type="dxa"/>
            <w:tcBorders/>
            <w:shd w:fill="DCDDDE" w:val="clear"/>
            <w:tcMar>
              <w:top w:w="0" w:type="dxa"/>
              <w:left w:w="0" w:type="dxa"/>
              <w:bottom w:w="0" w:type="dxa"/>
              <w:right w:w="0" w:type="dxa"/>
            </w:tcMar>
            <w:vAlign w:val="center"/>
          </w:tcPr>
          <w:p>
            <w:pPr>
              <w:pStyle w:val="TableContents"/>
              <w:bidi w:val="0"/>
              <w:jc w:val="center"/>
              <w:rPr>
                <w:rFonts w:ascii="Times New Roman" w:hAnsi="Times New Roman"/>
                <w:sz w:val="18"/>
              </w:rPr>
            </w:pPr>
            <w:r>
              <w:rPr>
                <w:rFonts w:ascii="Arial" w:hAnsi="Arial"/>
                <w:color w:val="000000"/>
                <w:sz w:val="18"/>
              </w:rPr>
              <w:t>Vests at end</w:t>
            </w:r>
            <w:r>
              <w:rPr>
                <w:rFonts w:ascii="Times New Roman" w:hAnsi="Times New Roman"/>
                <w:color w:val="000000"/>
                <w:sz w:val="18"/>
              </w:rPr>
              <w:t xml:space="preserve"> </w:t>
            </w:r>
          </w:p>
          <w:p>
            <w:pPr>
              <w:pStyle w:val="TableContents"/>
              <w:bidi w:val="0"/>
              <w:jc w:val="center"/>
              <w:rPr>
                <w:rFonts w:ascii="Times New Roman" w:hAnsi="Times New Roman"/>
                <w:sz w:val="18"/>
              </w:rPr>
            </w:pPr>
            <w:r>
              <w:rPr>
                <w:rFonts w:ascii="Arial" w:hAnsi="Arial"/>
                <w:color w:val="000000"/>
                <w:sz w:val="18"/>
              </w:rPr>
              <w:t>of 3-year</w:t>
            </w:r>
            <w:r>
              <w:rPr>
                <w:rFonts w:ascii="Times New Roman" w:hAnsi="Times New Roman"/>
                <w:color w:val="000000"/>
                <w:sz w:val="18"/>
              </w:rPr>
              <w:t xml:space="preserve"> </w:t>
            </w:r>
          </w:p>
          <w:p>
            <w:pPr>
              <w:pStyle w:val="TableContents"/>
              <w:bidi w:val="0"/>
              <w:spacing w:before="0" w:after="283"/>
              <w:jc w:val="center"/>
              <w:rPr>
                <w:rFonts w:ascii="Arial" w:hAnsi="Arial"/>
                <w:color w:val="000000"/>
                <w:sz w:val="18"/>
              </w:rPr>
            </w:pPr>
            <w:r>
              <w:rPr>
                <w:rFonts w:ascii="Arial" w:hAnsi="Arial"/>
                <w:color w:val="000000"/>
                <w:sz w:val="18"/>
              </w:rPr>
              <w:t>period</w:t>
            </w:r>
          </w:p>
        </w:tc>
        <w:tc>
          <w:tcPr>
            <w:tcW w:w="1343" w:type="dxa"/>
            <w:tcBorders/>
            <w:shd w:fill="DCDDDE" w:val="clear"/>
            <w:tcMar>
              <w:top w:w="0" w:type="dxa"/>
              <w:left w:w="0" w:type="dxa"/>
              <w:bottom w:w="0" w:type="dxa"/>
              <w:right w:w="0" w:type="dxa"/>
            </w:tcMar>
            <w:vAlign w:val="center"/>
          </w:tcPr>
          <w:p>
            <w:pPr>
              <w:pStyle w:val="TableContents"/>
              <w:bidi w:val="0"/>
              <w:jc w:val="center"/>
              <w:rPr>
                <w:rFonts w:ascii="Times New Roman" w:hAnsi="Times New Roman"/>
                <w:sz w:val="18"/>
              </w:rPr>
            </w:pPr>
            <w:r>
              <w:rPr>
                <w:rFonts w:ascii="Arial" w:hAnsi="Arial"/>
                <w:color w:val="000000"/>
                <w:sz w:val="18"/>
              </w:rPr>
              <w:t>Vests 33%</w:t>
            </w:r>
            <w:r>
              <w:rPr>
                <w:rFonts w:ascii="Times New Roman" w:hAnsi="Times New Roman"/>
                <w:color w:val="000000"/>
                <w:sz w:val="18"/>
              </w:rPr>
              <w:t xml:space="preserve"> </w:t>
            </w:r>
          </w:p>
          <w:p>
            <w:pPr>
              <w:pStyle w:val="TableContents"/>
              <w:bidi w:val="0"/>
              <w:jc w:val="center"/>
              <w:rPr>
                <w:rFonts w:ascii="Times New Roman" w:hAnsi="Times New Roman"/>
                <w:sz w:val="18"/>
              </w:rPr>
            </w:pPr>
            <w:r>
              <w:rPr>
                <w:rFonts w:ascii="Arial" w:hAnsi="Arial"/>
                <w:color w:val="000000"/>
                <w:sz w:val="18"/>
              </w:rPr>
              <w:t>each year over</w:t>
            </w:r>
            <w:r>
              <w:rPr>
                <w:rFonts w:ascii="Times New Roman" w:hAnsi="Times New Roman"/>
                <w:color w:val="000000"/>
                <w:sz w:val="18"/>
              </w:rPr>
              <w:t xml:space="preserve"> </w:t>
            </w:r>
          </w:p>
          <w:p>
            <w:pPr>
              <w:pStyle w:val="TableContents"/>
              <w:bidi w:val="0"/>
              <w:jc w:val="center"/>
              <w:rPr>
                <w:rFonts w:ascii="Times New Roman" w:hAnsi="Times New Roman"/>
                <w:sz w:val="18"/>
              </w:rPr>
            </w:pPr>
            <w:r>
              <w:rPr>
                <w:rFonts w:ascii="Arial" w:hAnsi="Arial"/>
                <w:color w:val="000000"/>
                <w:sz w:val="18"/>
              </w:rPr>
              <w:t>3-year</w:t>
            </w:r>
            <w:r>
              <w:rPr>
                <w:rFonts w:ascii="Times New Roman" w:hAnsi="Times New Roman"/>
                <w:color w:val="000000"/>
                <w:sz w:val="18"/>
              </w:rPr>
              <w:t xml:space="preserve"> </w:t>
            </w:r>
          </w:p>
          <w:p>
            <w:pPr>
              <w:pStyle w:val="TableContents"/>
              <w:bidi w:val="0"/>
              <w:spacing w:before="0" w:after="283"/>
              <w:jc w:val="center"/>
              <w:rPr>
                <w:rFonts w:ascii="Arial" w:hAnsi="Arial"/>
                <w:color w:val="000000"/>
                <w:sz w:val="18"/>
              </w:rPr>
            </w:pPr>
            <w:r>
              <w:rPr>
                <w:rFonts w:ascii="Arial" w:hAnsi="Arial"/>
                <w:color w:val="000000"/>
                <w:sz w:val="18"/>
              </w:rPr>
              <w:t>period</w:t>
            </w:r>
          </w:p>
        </w:tc>
      </w:tr>
      <w:tr>
        <w:trPr/>
        <w:tc>
          <w:tcPr>
            <w:tcW w:w="2391" w:type="dxa"/>
            <w:tcBorders/>
            <w:tcMar>
              <w:top w:w="0" w:type="dxa"/>
              <w:left w:w="0" w:type="dxa"/>
              <w:bottom w:w="0" w:type="dxa"/>
              <w:right w:w="0" w:type="dxa"/>
            </w:tcMar>
            <w:vAlign w:val="center"/>
          </w:tcPr>
          <w:p>
            <w:pPr>
              <w:pStyle w:val="TableContents"/>
              <w:bidi w:val="0"/>
              <w:jc w:val="both"/>
              <w:rPr>
                <w:color w:val="000000"/>
              </w:rPr>
            </w:pPr>
            <w:r>
              <w:rPr>
                <w:color w:val="000000"/>
              </w:rPr>
              <w:t>   </w:t>
            </w:r>
            <w:r>
              <w:rPr>
                <w:rFonts w:ascii="Arial" w:hAnsi="Arial"/>
                <w:color w:val="000000"/>
                <w:sz w:val="20"/>
              </w:rPr>
              <w:t>Key Performance Metrics</w:t>
            </w:r>
          </w:p>
          <w:p>
            <w:pPr>
              <w:pStyle w:val="TableContents"/>
              <w:bidi w:val="0"/>
              <w:spacing w:before="0" w:after="283"/>
              <w:jc w:val="both"/>
              <w:rPr>
                <w:color w:val="000000"/>
              </w:rPr>
            </w:pPr>
            <w:r>
              <w:rPr>
                <w:color w:val="000000"/>
              </w:rPr>
              <w:t>   </w:t>
            </w:r>
            <w:r>
              <w:rPr>
                <w:rFonts w:ascii="Arial" w:hAnsi="Arial"/>
                <w:color w:val="000000"/>
                <w:sz w:val="20"/>
              </w:rPr>
              <w:t>Applicable</w:t>
            </w:r>
          </w:p>
        </w:tc>
        <w:tc>
          <w:tcPr>
            <w:tcW w:w="1098"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2349" w:type="dxa"/>
            <w:tcBorders/>
            <w:tcMar>
              <w:top w:w="0" w:type="dxa"/>
              <w:left w:w="0" w:type="dxa"/>
              <w:bottom w:w="0" w:type="dxa"/>
              <w:right w:w="0" w:type="dxa"/>
            </w:tcMar>
            <w:vAlign w:val="center"/>
          </w:tcPr>
          <w:p>
            <w:pPr>
              <w:pStyle w:val="TableContents"/>
              <w:bidi w:val="0"/>
              <w:jc w:val="center"/>
              <w:rPr>
                <w:rFonts w:ascii="Arial" w:hAnsi="Arial"/>
                <w:color w:val="000000"/>
                <w:sz w:val="18"/>
              </w:rPr>
            </w:pPr>
            <w:r>
              <w:rPr>
                <w:rFonts w:ascii="Arial" w:hAnsi="Arial"/>
                <w:color w:val="000000"/>
                <w:sz w:val="18"/>
              </w:rPr>
              <w:t>Adjusted EBITDAS; Net Sales;</w:t>
            </w:r>
          </w:p>
          <w:p>
            <w:pPr>
              <w:pStyle w:val="TableContents"/>
              <w:bidi w:val="0"/>
              <w:spacing w:before="0" w:after="283"/>
              <w:jc w:val="center"/>
              <w:rPr>
                <w:color w:val="000000"/>
              </w:rPr>
            </w:pPr>
            <w:r>
              <w:rPr>
                <w:color w:val="000000"/>
              </w:rPr>
              <w:t> </w:t>
            </w:r>
            <w:r>
              <w:rPr>
                <w:rFonts w:ascii="Arial" w:hAnsi="Arial"/>
                <w:color w:val="000000"/>
                <w:sz w:val="18"/>
              </w:rPr>
              <w:t>Strategic Goals</w:t>
            </w:r>
          </w:p>
        </w:tc>
        <w:tc>
          <w:tcPr>
            <w:tcW w:w="3024"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Adjusted EBITDAS Growth; rTSR modifier</w:t>
            </w:r>
          </w:p>
        </w:tc>
        <w:tc>
          <w:tcPr>
            <w:tcW w:w="1343"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Stock Price</w:t>
            </w:r>
          </w:p>
        </w:tc>
      </w:tr>
      <w:tr>
        <w:trPr/>
        <w:tc>
          <w:tcPr>
            <w:tcW w:w="2391" w:type="dxa"/>
            <w:tcBorders/>
            <w:shd w:fill="DCDDDE" w:val="clear"/>
            <w:tcMar>
              <w:top w:w="0" w:type="dxa"/>
              <w:left w:w="0" w:type="dxa"/>
              <w:bottom w:w="0" w:type="dxa"/>
              <w:right w:w="0" w:type="dxa"/>
            </w:tcMar>
            <w:vAlign w:val="center"/>
          </w:tcPr>
          <w:p>
            <w:pPr>
              <w:pStyle w:val="TableContents"/>
              <w:bidi w:val="0"/>
              <w:spacing w:before="60" w:after="283"/>
              <w:jc w:val="both"/>
              <w:rPr>
                <w:color w:val="000000"/>
              </w:rPr>
            </w:pPr>
            <w:r>
              <w:rPr>
                <w:color w:val="000000"/>
              </w:rPr>
              <w:t>   </w:t>
            </w:r>
            <w:r>
              <w:rPr>
                <w:rFonts w:ascii="Arial" w:hAnsi="Arial"/>
                <w:color w:val="000000"/>
                <w:sz w:val="20"/>
              </w:rPr>
              <w:t>Determination of</w:t>
            </w:r>
          </w:p>
          <w:p>
            <w:pPr>
              <w:pStyle w:val="TableContents"/>
              <w:bidi w:val="0"/>
              <w:jc w:val="both"/>
              <w:rPr>
                <w:color w:val="000000"/>
              </w:rPr>
            </w:pPr>
            <w:r>
              <w:rPr>
                <w:color w:val="000000"/>
              </w:rPr>
              <w:t>   </w:t>
            </w:r>
            <w:r>
              <w:rPr>
                <w:rFonts w:ascii="Arial" w:hAnsi="Arial"/>
                <w:color w:val="000000"/>
                <w:sz w:val="20"/>
              </w:rPr>
              <w:t>Performance-Based</w:t>
            </w:r>
          </w:p>
          <w:p>
            <w:pPr>
              <w:pStyle w:val="TableContents"/>
              <w:bidi w:val="0"/>
              <w:spacing w:before="0" w:after="60"/>
              <w:jc w:val="both"/>
              <w:rPr>
                <w:color w:val="000000"/>
              </w:rPr>
            </w:pPr>
            <w:r>
              <w:rPr>
                <w:color w:val="000000"/>
              </w:rPr>
              <w:t>   </w:t>
            </w:r>
            <w:r>
              <w:rPr>
                <w:rFonts w:ascii="Arial" w:hAnsi="Arial"/>
                <w:color w:val="000000"/>
                <w:sz w:val="20"/>
              </w:rPr>
              <w:t>Payouts</w:t>
            </w:r>
          </w:p>
        </w:tc>
        <w:tc>
          <w:tcPr>
            <w:tcW w:w="1098" w:type="dxa"/>
            <w:tcBorders/>
            <w:shd w:fill="DCDDDE"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2349" w:type="dxa"/>
            <w:tcBorders/>
            <w:shd w:fill="DCDDDE"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Formulaic</w:t>
            </w:r>
          </w:p>
        </w:tc>
        <w:tc>
          <w:tcPr>
            <w:tcW w:w="3024" w:type="dxa"/>
            <w:tcBorders/>
            <w:shd w:fill="DCDDDE"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Formulaic</w:t>
            </w:r>
          </w:p>
        </w:tc>
        <w:tc>
          <w:tcPr>
            <w:tcW w:w="1343" w:type="dxa"/>
            <w:tcBorders/>
            <w:shd w:fill="DCDDDE"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bl>
    <w:p>
      <w:pPr>
        <w:pStyle w:val="TextBody"/>
        <w:bidi w:val="0"/>
        <w:jc w:val="both"/>
        <w:rPr/>
      </w:pPr>
      <w:r>
        <w:rPr/>
        <w:t> </w:t>
      </w:r>
    </w:p>
    <w:p>
      <w:pPr>
        <w:pStyle w:val="TextBody"/>
        <w:bidi w:val="0"/>
        <w:spacing w:before="40" w:after="283"/>
        <w:jc w:val="both"/>
        <w:rPr>
          <w:rFonts w:ascii="Arial" w:hAnsi="Arial"/>
          <w:color w:val="002668"/>
          <w:sz w:val="24"/>
          <w:u w:val="single"/>
        </w:rPr>
      </w:pPr>
      <w:r>
        <w:rPr>
          <w:rFonts w:ascii="Arial" w:hAnsi="Arial"/>
          <w:color w:val="002668"/>
          <w:sz w:val="24"/>
          <w:u w:val="single"/>
        </w:rPr>
        <w:t>Base Salaries</w:t>
      </w:r>
    </w:p>
    <w:p>
      <w:pPr>
        <w:pStyle w:val="TextBody"/>
        <w:bidi w:val="0"/>
        <w:jc w:val="both"/>
        <w:rPr>
          <w:rFonts w:ascii="Arial" w:hAnsi="Arial"/>
          <w:color w:val="000000"/>
          <w:sz w:val="20"/>
        </w:rPr>
      </w:pPr>
      <w:r>
        <w:rPr>
          <w:rFonts w:ascii="Arial" w:hAnsi="Arial"/>
          <w:color w:val="000000"/>
          <w:sz w:val="20"/>
        </w:rPr>
        <w:t>Base salaries are designed to provide competitive levels of compensation to our executives based on their position, responsibilities, skills, experience, performance, and contributions. The Compensation Committee also considers individual performance and contributions, future potential, competitive salary levels for comparable positions at other companies, salary levels relative to other internal positions, corporate needs, and the advice of its independent compensation consultant. The Compensation Committee’s evaluation of these factors is subjective, and it does not assign a particular weight to any one factor.</w:t>
      </w:r>
    </w:p>
    <w:p>
      <w:pPr>
        <w:pStyle w:val="TextBody"/>
        <w:bidi w:val="0"/>
        <w:spacing w:before="120" w:after="283"/>
        <w:jc w:val="both"/>
        <w:rPr>
          <w:rFonts w:ascii="Times New Roman" w:hAnsi="Times New Roman"/>
          <w:sz w:val="20"/>
        </w:rPr>
      </w:pPr>
      <w:r>
        <w:rPr>
          <w:rFonts w:ascii="Arial" w:hAnsi="Arial"/>
          <w:color w:val="000000"/>
          <w:sz w:val="20"/>
        </w:rPr>
        <w:t>Given the high-profile nature of our industry, it has become increasingly difficult to attract, motivate, and retain highly qualified individuals willing to be associated with us and our industry. The Compensation Committee has become increasingly aware of the impact this factor has had not only on existing and potential future employees, but also the pressure this factor places on the families of these individuals.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b/>
          <w:i/>
          <w:color w:val="4F81BD"/>
          <w:sz w:val="20"/>
        </w:rPr>
        <w:t>Fiscal 2026 Base Salaries</w:t>
      </w:r>
      <w:r>
        <w:rPr>
          <w:rFonts w:ascii="Arial" w:hAnsi="Arial"/>
          <w:color w:val="4F81BD"/>
          <w:sz w:val="20"/>
        </w:rPr>
        <w:t xml:space="preserve">. </w:t>
      </w:r>
      <w:r>
        <w:rPr>
          <w:rFonts w:ascii="Arial" w:hAnsi="Arial"/>
          <w:color w:val="000000"/>
          <w:sz w:val="20"/>
        </w:rPr>
        <w:t>The Compensation Committee generally sets base salaries for our executive officers at the beginning of the fiscal year. Based on an evaluation of the factors listed above, the Compensation Committee’s desire to reward and retain our executive officers, the general industry range for base salary increases, and the Compensation Committee's desire to increase the competitiveness of our base salaries as measured against the peer and market data, the Compensation Committee set our NEOs’ annual base salaries for fiscal 2026 as follows:</w:t>
      </w:r>
    </w:p>
    <w:p>
      <w:pPr>
        <w:pStyle w:val="TextBody"/>
        <w:bidi w:val="0"/>
        <w:jc w:val="left"/>
        <w:rPr/>
      </w:pPr>
      <w:r>
        <w:rPr/>
        <w:t> </w:t>
      </w:r>
    </w:p>
    <w:tbl>
      <w:tblPr>
        <w:tblW w:w="3702" w:type="dxa"/>
        <w:jc w:val="left"/>
        <w:tblInd w:w="0" w:type="dxa"/>
        <w:tblLayout w:type="fixed"/>
        <w:tblCellMar>
          <w:top w:w="28" w:type="dxa"/>
          <w:left w:w="28" w:type="dxa"/>
          <w:bottom w:w="28" w:type="dxa"/>
          <w:right w:w="28" w:type="dxa"/>
        </w:tblCellMar>
      </w:tblPr>
      <w:tblGrid>
        <w:gridCol w:w="2266"/>
        <w:gridCol w:w="1436"/>
      </w:tblGrid>
      <w:tr>
        <w:trPr/>
        <w:tc>
          <w:tcPr>
            <w:tcW w:w="2266"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2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91F2C"/>
                <w:sz w:val="18"/>
              </w:rPr>
              <w:t>21</w:t>
            </w:r>
            <w:r>
              <w:rPr>
                <w:rFonts w:ascii="Times New Roman" w:hAnsi="Times New Roman"/>
                <w:color w:val="091F2C"/>
                <w:sz w:val="18"/>
              </w:rPr>
              <w:t> </w:t>
            </w:r>
            <w:r>
              <w:rPr>
                <w:rFonts w:ascii="Arial" w:hAnsi="Arial"/>
                <w:color w:val="091F2C"/>
                <w:sz w:val="18"/>
              </w:rPr>
              <w:t>I 2026 Proxy Statement</w:t>
            </w:r>
          </w:p>
        </w:tc>
        <w:tc>
          <w:tcPr>
            <w:tcW w:w="143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828675" cy="19050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828675" cy="190500"/>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2277" w:type="dxa"/>
        <w:jc w:val="left"/>
        <w:tblInd w:w="0" w:type="dxa"/>
        <w:tblLayout w:type="fixed"/>
        <w:tblCellMar>
          <w:top w:w="28" w:type="dxa"/>
          <w:left w:w="28" w:type="dxa"/>
          <w:bottom w:w="28" w:type="dxa"/>
          <w:right w:w="28" w:type="dxa"/>
        </w:tblCellMar>
      </w:tblPr>
      <w:tblGrid>
        <w:gridCol w:w="2086"/>
        <w:gridCol w:w="191"/>
      </w:tblGrid>
      <w:tr>
        <w:trPr/>
        <w:tc>
          <w:tcPr>
            <w:tcW w:w="20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86" w:type="dxa"/>
            <w:tcBorders/>
            <w:tcMar>
              <w:top w:w="0" w:type="dxa"/>
              <w:left w:w="0" w:type="dxa"/>
              <w:bottom w:w="0" w:type="dxa"/>
              <w:right w:w="0" w:type="dxa"/>
            </w:tcMar>
            <w:vAlign w:val="center"/>
          </w:tcPr>
          <w:p>
            <w:pPr>
              <w:pStyle w:val="TableContents"/>
              <w:bidi w:val="0"/>
              <w:spacing w:before="0" w:after="283"/>
              <w:jc w:val="left"/>
              <w:rPr>
                <w:rFonts w:ascii="Arial" w:hAnsi="Arial"/>
                <w:color w:val="002668"/>
                <w:sz w:val="20"/>
              </w:rPr>
            </w:pPr>
            <w:r>
              <w:rPr>
                <w:rFonts w:ascii="Arial" w:hAnsi="Arial"/>
                <w:color w:val="002668"/>
                <w:sz w:val="20"/>
              </w:rPr>
              <w:t>Compensation Matters</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bottom w:val="single" w:sz="8" w:space="0" w:color="002668"/>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pPr>
      <w:r>
        <w:rPr/>
        <w:t> </w:t>
      </w:r>
    </w:p>
    <w:tbl>
      <w:tblPr>
        <w:tblW w:w="6027" w:type="dxa"/>
        <w:jc w:val="left"/>
        <w:tblInd w:w="0" w:type="dxa"/>
        <w:tblLayout w:type="fixed"/>
        <w:tblCellMar>
          <w:top w:w="28" w:type="dxa"/>
          <w:left w:w="28" w:type="dxa"/>
          <w:bottom w:w="28" w:type="dxa"/>
          <w:right w:w="28" w:type="dxa"/>
        </w:tblCellMar>
      </w:tblPr>
      <w:tblGrid>
        <w:gridCol w:w="1766"/>
        <w:gridCol w:w="146"/>
        <w:gridCol w:w="196"/>
        <w:gridCol w:w="146"/>
        <w:gridCol w:w="691"/>
        <w:gridCol w:w="146"/>
        <w:gridCol w:w="146"/>
        <w:gridCol w:w="146"/>
        <w:gridCol w:w="196"/>
        <w:gridCol w:w="177"/>
        <w:gridCol w:w="843"/>
        <w:gridCol w:w="146"/>
        <w:gridCol w:w="146"/>
        <w:gridCol w:w="1136"/>
      </w:tblGrid>
      <w:tr>
        <w:trPr/>
        <w:tc>
          <w:tcPr>
            <w:tcW w:w="1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1766" w:type="dxa"/>
            <w:tcBorders>
              <w:bottom w:val="single" w:sz="18" w:space="0" w:color="0071A2"/>
            </w:tcBorders>
            <w:shd w:fill="002668" w:val="clear"/>
            <w:tcMar>
              <w:top w:w="0" w:type="dxa"/>
              <w:left w:w="0" w:type="dxa"/>
              <w:right w:w="0" w:type="dxa"/>
            </w:tcMar>
            <w:vAlign w:val="center"/>
          </w:tcPr>
          <w:p>
            <w:pPr>
              <w:pStyle w:val="TableContents"/>
              <w:bidi w:val="0"/>
              <w:spacing w:before="0" w:after="283"/>
              <w:ind w:left="0" w:right="0" w:firstLine="100"/>
              <w:jc w:val="left"/>
              <w:rPr>
                <w:rFonts w:ascii="Arial" w:hAnsi="Arial"/>
                <w:b/>
                <w:color w:val="FFFFFF"/>
                <w:sz w:val="16"/>
              </w:rPr>
            </w:pPr>
            <w:r>
              <w:rPr>
                <w:rFonts w:ascii="Arial" w:hAnsi="Arial"/>
                <w:b/>
                <w:color w:val="FFFFFF"/>
                <w:sz w:val="16"/>
              </w:rPr>
              <w:t>Name</w:t>
            </w:r>
          </w:p>
        </w:tc>
        <w:tc>
          <w:tcPr>
            <w:tcW w:w="14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pPr>
            <w:r>
              <w:rPr/>
              <w:t> </w:t>
            </w:r>
          </w:p>
        </w:tc>
        <w:tc>
          <w:tcPr>
            <w:tcW w:w="1033" w:type="dxa"/>
            <w:gridSpan w:val="3"/>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rFonts w:ascii="Arial" w:hAnsi="Arial"/>
                <w:b/>
                <w:color w:val="FFFFFF"/>
                <w:sz w:val="16"/>
              </w:rPr>
            </w:pPr>
            <w:r>
              <w:rPr>
                <w:rFonts w:ascii="Arial" w:hAnsi="Arial"/>
                <w:b/>
                <w:color w:val="FFFFFF"/>
                <w:sz w:val="16"/>
              </w:rPr>
              <w:t>Annualized</w:t>
              <w:br/>
              <w:t>Fiscal 2025</w:t>
              <w:br/>
              <w:t>Base Salary</w:t>
            </w:r>
          </w:p>
        </w:tc>
        <w:tc>
          <w:tcPr>
            <w:tcW w:w="14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pPr>
            <w:r>
              <w:rPr/>
              <w:t> </w:t>
            </w:r>
          </w:p>
        </w:tc>
        <w:tc>
          <w:tcPr>
            <w:tcW w:w="1020" w:type="dxa"/>
            <w:gridSpan w:val="2"/>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rFonts w:ascii="Arial" w:hAnsi="Arial"/>
                <w:b/>
                <w:color w:val="FFFFFF"/>
                <w:sz w:val="16"/>
              </w:rPr>
            </w:pPr>
            <w:r>
              <w:rPr>
                <w:rFonts w:ascii="Arial" w:hAnsi="Arial"/>
                <w:b/>
                <w:color w:val="FFFFFF"/>
                <w:sz w:val="16"/>
              </w:rPr>
              <w:t>Annualized</w:t>
              <w:br/>
              <w:t>Fiscal 2026</w:t>
              <w:br/>
              <w:t>Base Salary</w:t>
            </w:r>
          </w:p>
        </w:tc>
        <w:tc>
          <w:tcPr>
            <w:tcW w:w="14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left"/>
              <w:rPr/>
            </w:pPr>
            <w:r>
              <w:rPr/>
              <w:t> </w:t>
            </w:r>
          </w:p>
        </w:tc>
        <w:tc>
          <w:tcPr>
            <w:tcW w:w="1136" w:type="dxa"/>
            <w:tcBorders>
              <w:bottom w:val="single" w:sz="18" w:space="0" w:color="0071A2"/>
            </w:tcBorders>
            <w:shd w:fill="002668" w:val="clear"/>
            <w:tcMar>
              <w:top w:w="0" w:type="dxa"/>
              <w:left w:w="0" w:type="dxa"/>
              <w:right w:w="0" w:type="dxa"/>
            </w:tcMar>
            <w:vAlign w:val="center"/>
          </w:tcPr>
          <w:p>
            <w:pPr>
              <w:pStyle w:val="TableContents"/>
              <w:bidi w:val="0"/>
              <w:spacing w:before="0" w:after="283"/>
              <w:ind w:left="0" w:right="0" w:firstLine="100"/>
              <w:jc w:val="center"/>
              <w:rPr>
                <w:rFonts w:ascii="Arial" w:hAnsi="Arial"/>
                <w:b/>
                <w:color w:val="FFFFFF"/>
                <w:sz w:val="16"/>
              </w:rPr>
            </w:pPr>
            <w:r>
              <w:rPr>
                <w:rFonts w:ascii="Arial" w:hAnsi="Arial"/>
                <w:b/>
                <w:color w:val="FFFFFF"/>
                <w:sz w:val="16"/>
              </w:rPr>
              <w:t>Percentage</w:t>
              <w:br/>
              <w:t>Change</w:t>
            </w:r>
          </w:p>
        </w:tc>
      </w:tr>
      <w:tr>
        <w:trPr/>
        <w:tc>
          <w:tcPr>
            <w:tcW w:w="1766"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Mark P. Smith</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850,000</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7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850,000</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center"/>
              <w:rPr>
                <w:rFonts w:ascii="Arial" w:hAnsi="Arial"/>
                <w:color w:val="000000"/>
                <w:sz w:val="16"/>
              </w:rPr>
            </w:pPr>
            <w:r>
              <w:rPr>
                <w:rFonts w:ascii="Arial" w:hAnsi="Arial"/>
                <w:color w:val="000000"/>
                <w:sz w:val="16"/>
              </w:rPr>
              <w:t>0.0%</w:t>
            </w:r>
          </w:p>
        </w:tc>
      </w:tr>
      <w:tr>
        <w:trPr/>
        <w:tc>
          <w:tcPr>
            <w:tcW w:w="17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Deana L. McPherson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475,000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475,000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Arial" w:hAnsi="Arial"/>
                <w:color w:val="000000"/>
                <w:sz w:val="16"/>
              </w:rPr>
            </w:pPr>
            <w:r>
              <w:rPr>
                <w:rFonts w:ascii="Arial" w:hAnsi="Arial"/>
                <w:color w:val="000000"/>
                <w:sz w:val="16"/>
              </w:rPr>
              <w:t>0.0%</w:t>
            </w:r>
          </w:p>
        </w:tc>
      </w:tr>
      <w:tr>
        <w:trPr/>
        <w:tc>
          <w:tcPr>
            <w:tcW w:w="1766"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Kevin A. Maxwell</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415,000</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7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415,000</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center"/>
              <w:rPr>
                <w:rFonts w:ascii="Arial" w:hAnsi="Arial"/>
                <w:color w:val="000000"/>
                <w:sz w:val="16"/>
              </w:rPr>
            </w:pPr>
            <w:r>
              <w:rPr>
                <w:rFonts w:ascii="Arial" w:hAnsi="Arial"/>
                <w:color w:val="000000"/>
                <w:sz w:val="16"/>
              </w:rPr>
              <w:t>0.0%</w:t>
            </w:r>
          </w:p>
        </w:tc>
      </w:tr>
      <w:tr>
        <w:trPr/>
        <w:tc>
          <w:tcPr>
            <w:tcW w:w="17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6"/>
              </w:rPr>
            </w:pPr>
            <w:r>
              <w:rPr>
                <w:rFonts w:ascii="Arial" w:hAnsi="Arial"/>
                <w:color w:val="000000"/>
                <w:sz w:val="16"/>
              </w:rPr>
              <w:t xml:space="preserve">Susan J. Cupero </w:t>
            </w:r>
            <w:r>
              <w:rPr>
                <w:rFonts w:ascii="Arial" w:hAnsi="Arial"/>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Arial" w:hAnsi="Arial"/>
                <w:color w:val="000000"/>
                <w:sz w:val="16"/>
              </w:rPr>
            </w:pPr>
            <w:r>
              <w:rPr>
                <w:rFonts w:ascii="Arial" w:hAnsi="Arial"/>
                <w:color w:val="000000"/>
                <w:sz w:val="16"/>
              </w:rPr>
              <w:t>n/a</w:t>
            </w:r>
          </w:p>
        </w:tc>
      </w:tr>
      <w:tr>
        <w:trPr/>
        <w:tc>
          <w:tcPr>
            <w:tcW w:w="1766"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6"/>
              </w:rPr>
            </w:pPr>
            <w:r>
              <w:rPr>
                <w:rFonts w:ascii="Arial" w:hAnsi="Arial"/>
                <w:color w:val="000000"/>
                <w:sz w:val="16"/>
              </w:rPr>
              <w:t xml:space="preserve">Kyle O. Tengwall </w:t>
            </w:r>
            <w:r>
              <w:rPr>
                <w:rFonts w:ascii="Arial" w:hAnsi="Arial"/>
                <w:color w:val="000000"/>
                <w:sz w:val="11"/>
              </w:rPr>
              <w:t>(2)</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314,140</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7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326,872</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D9D9D9"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4.1%</w:t>
            </w:r>
          </w:p>
        </w:tc>
      </w:tr>
      <w:tr>
        <w:trPr/>
        <w:tc>
          <w:tcPr>
            <w:tcW w:w="1766" w:type="dxa"/>
            <w:tcBorders>
              <w:bottom w:val="single" w:sz="18" w:space="0" w:color="0070A2"/>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70A2"/>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18" w:space="0" w:color="0070A2"/>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18" w:space="0" w:color="0070A2"/>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70A2"/>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70A2"/>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70A2"/>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18" w:space="0" w:color="0070A2"/>
            </w:tcBorders>
            <w:shd w:fill="FFFFFF" w:val="clear"/>
            <w:tcMar>
              <w:top w:w="0" w:type="dxa"/>
              <w:left w:w="0" w:type="dxa"/>
              <w:right w:w="0" w:type="dxa"/>
            </w:tcMar>
            <w:vAlign w:val="center"/>
          </w:tcPr>
          <w:p>
            <w:pPr>
              <w:pStyle w:val="TableContents"/>
              <w:bidi w:val="0"/>
              <w:spacing w:before="0" w:after="283"/>
              <w:jc w:val="left"/>
              <w:rPr/>
            </w:pPr>
            <w:r>
              <w:rPr/>
              <w:t> </w:t>
            </w:r>
          </w:p>
        </w:tc>
        <w:tc>
          <w:tcPr>
            <w:tcW w:w="1020" w:type="dxa"/>
            <w:gridSpan w:val="2"/>
            <w:tcBorders>
              <w:bottom w:val="single" w:sz="18" w:space="0" w:color="0070A2"/>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70A2"/>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70A2"/>
            </w:tcBorders>
            <w:shd w:fill="FFFFFF" w:val="clear"/>
            <w:tcMar>
              <w:top w:w="0" w:type="dxa"/>
              <w:left w:w="0" w:type="dxa"/>
              <w:right w:w="0" w:type="dxa"/>
            </w:tcMar>
            <w:vAlign w:val="center"/>
          </w:tcPr>
          <w:p>
            <w:pPr>
              <w:pStyle w:val="TableContents"/>
              <w:bidi w:val="0"/>
              <w:spacing w:before="0" w:after="283"/>
              <w:jc w:val="left"/>
              <w:rPr/>
            </w:pPr>
            <w:r>
              <w:rPr/>
              <w:t> </w:t>
            </w:r>
          </w:p>
        </w:tc>
        <w:tc>
          <w:tcPr>
            <w:tcW w:w="1136" w:type="dxa"/>
            <w:tcBorders>
              <w:bottom w:val="single" w:sz="18" w:space="0" w:color="0070A2"/>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Arial" w:hAnsi="Arial"/>
          <w:color w:val="000000"/>
          <w:sz w:val="16"/>
        </w:rPr>
      </w:pPr>
      <w:r>
        <w:rPr>
          <w:rFonts w:ascii="Arial" w:hAnsi="Arial"/>
          <w:color w:val="000000"/>
          <w:sz w:val="16"/>
        </w:rPr>
        <w:t>(1) Ms. Cupero retired from the Company effective May 5, 2025.</w:t>
      </w:r>
    </w:p>
    <w:p>
      <w:pPr>
        <w:pStyle w:val="TextBody"/>
        <w:bidi w:val="0"/>
        <w:jc w:val="both"/>
        <w:rPr>
          <w:rFonts w:ascii="Arial" w:hAnsi="Arial"/>
          <w:color w:val="000000"/>
          <w:sz w:val="16"/>
        </w:rPr>
      </w:pPr>
      <w:r>
        <w:rPr>
          <w:rFonts w:ascii="Arial" w:hAnsi="Arial"/>
          <w:color w:val="000000"/>
          <w:sz w:val="16"/>
        </w:rPr>
        <w:t>(2) Mr. Tengwall's salary was increased during fiscal 2026 in connection with his appointment as an executive officer.</w:t>
      </w:r>
    </w:p>
    <w:p>
      <w:pPr>
        <w:pStyle w:val="TextBody"/>
        <w:bidi w:val="0"/>
        <w:jc w:val="both"/>
        <w:rPr/>
      </w:pPr>
      <w:r>
        <w:rPr/>
        <w:t> </w:t>
      </w:r>
    </w:p>
    <w:p>
      <w:pPr>
        <w:pStyle w:val="TextBody"/>
        <w:bidi w:val="0"/>
        <w:jc w:val="both"/>
        <w:rPr>
          <w:rFonts w:ascii="Arial" w:hAnsi="Arial"/>
          <w:color w:val="002668"/>
          <w:sz w:val="24"/>
          <w:u w:val="single"/>
        </w:rPr>
      </w:pPr>
      <w:r>
        <w:rPr>
          <w:rFonts w:ascii="Arial" w:hAnsi="Arial"/>
          <w:color w:val="002668"/>
          <w:sz w:val="24"/>
          <w:u w:val="single"/>
        </w:rPr>
        <w:t>Annual Performance-Based Cash Incentive Compensation</w:t>
      </w:r>
    </w:p>
    <w:p>
      <w:pPr>
        <w:pStyle w:val="TextBody"/>
        <w:bidi w:val="0"/>
        <w:jc w:val="both"/>
        <w:rPr>
          <w:rFonts w:ascii="Times New Roman" w:hAnsi="Times New Roman"/>
          <w:sz w:val="20"/>
        </w:rPr>
      </w:pPr>
      <w:r>
        <w:rPr>
          <w:rFonts w:ascii="Arial" w:hAnsi="Arial"/>
          <w:color w:val="000000"/>
          <w:sz w:val="20"/>
        </w:rPr>
        <w:t>Annual performance-based cash incentive compensation is designed to motivate our executives and reward the achievement of specific performance goals that support our business strategy. In designing the cash incentive compensation plan for any particular year or period, the Compensation Committee establishes performance objectives, based primarily on our financial results and the achievement of other corporate goals. In limited cases, the Compensation Committee may consider individual objectives, responsibilities, and performance in determining the amounts payable, but it did not do so in fiscal 2026.</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The Compensation Committee determines the target annual compensation opportunities for our executive officers, with these opportunities being subject to change from year to year based on its periodic review of economic, industry, and competitive data; changes in individual responsibilities; and our overall compensation philosophy. The Compensation Committee confirms, with its independent compensation consultant and our independent audit firm, the achievement of the objectives and approves the payment, if any, of annual cash incentive compensation in the first quarter of the following fiscal year.</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b/>
          <w:i/>
          <w:color w:val="4F81BD"/>
          <w:sz w:val="20"/>
        </w:rPr>
        <w:t>Fiscal 2026 Executive Annual Cash Incentive Program</w:t>
      </w:r>
      <w:r>
        <w:rPr>
          <w:rFonts w:ascii="Arial" w:hAnsi="Arial"/>
          <w:color w:val="4F81BD"/>
          <w:sz w:val="20"/>
        </w:rPr>
        <w:t xml:space="preserve">. </w:t>
      </w:r>
      <w:r>
        <w:rPr>
          <w:rFonts w:ascii="Arial" w:hAnsi="Arial"/>
          <w:color w:val="000000"/>
          <w:sz w:val="20"/>
        </w:rPr>
        <w:t>In April 2025, the Compensation Committee established the 2026 Executive Annual Bonus Plan, a performance-based cash incentive compensation plan for our executives, including our NEOs (the “2026 Bonus Plan”). The 2026 Bonus Plan provided each participant an opportunity to earn cash incentive compensation based on attaining pre-established objective financial performance metrics and, from time to time, individual performance goals. Each participant was assigned an incentive bonus opportunity expressed as a percentage of base pay and objective financial performance metrics were established with varying weightings totaling 100%. For each metric, threshold, target, and maximum performance levels were set. Final cash incentive compensation was calculated by multiplying each participant’s target percentage by the weighted average percentage calculated for each metric. Cash incentive compensation could not exceed 200% of a participant’s target bonus opportunity, and eligibility for payment of any award was subject to the participant continuing to be employed by us through the end of the fiscal year.</w:t>
      </w:r>
    </w:p>
    <w:p>
      <w:pPr>
        <w:pStyle w:val="TextBody"/>
        <w:bidi w:val="0"/>
        <w:spacing w:before="120" w:after="283"/>
        <w:jc w:val="both"/>
        <w:rPr>
          <w:rFonts w:ascii="Times New Roman" w:hAnsi="Times New Roman"/>
          <w:sz w:val="20"/>
        </w:rPr>
      </w:pPr>
      <w:r>
        <w:rPr>
          <w:rFonts w:ascii="Arial" w:hAnsi="Arial"/>
          <w:b/>
          <w:i/>
          <w:color w:val="4F81BD"/>
          <w:sz w:val="20"/>
        </w:rPr>
        <w:t>Fiscal 2026 Performance Metrics</w:t>
      </w:r>
      <w:r>
        <w:rPr>
          <w:rFonts w:ascii="Arial" w:hAnsi="Arial"/>
          <w:color w:val="4F81BD"/>
          <w:sz w:val="20"/>
        </w:rPr>
        <w:t xml:space="preserve">. </w:t>
      </w:r>
      <w:r>
        <w:rPr>
          <w:rFonts w:ascii="Arial" w:hAnsi="Arial"/>
          <w:color w:val="000000"/>
          <w:sz w:val="20"/>
        </w:rPr>
        <w:t>For fiscal 2026, the Compensation Committee established Adjusted EBITDAS, Net Sales, and certain strategic goals as the performance metrics for our executives, with a weighting of 60% for Adjusted EBITDAS and 20% for each of Net Sales and the strategic goals. Adjusted EBITDAS also served as the threshold for which the failure to achieve this performance metric would result in no bonus payments regardless of the achievement of the other performance metrics.</w:t>
      </w:r>
    </w:p>
    <w:p>
      <w:pPr>
        <w:pStyle w:val="TextBody"/>
        <w:bidi w:val="0"/>
        <w:spacing w:before="240" w:after="283"/>
        <w:jc w:val="both"/>
        <w:rPr>
          <w:rFonts w:ascii="Arial" w:hAnsi="Arial"/>
          <w:color w:val="000000"/>
          <w:sz w:val="20"/>
        </w:rPr>
      </w:pPr>
      <w:r>
        <w:rPr>
          <w:rFonts w:ascii="Arial" w:hAnsi="Arial"/>
          <w:color w:val="000000"/>
          <w:sz w:val="20"/>
        </w:rPr>
        <w:t>The target award percentages for fiscal 2026 as a percentage of base pay were 100% for Mr. Smith, 75% for Ms. McPherson and Mr. Maxwell, and 65% for Mr. Tengwall. Ms. Cupero retired from the Company effective May 5, 2025 and was not eligible for a bonus with respect to fiscal 2026. There were no individual performance goals.</w:t>
      </w:r>
    </w:p>
    <w:p>
      <w:pPr>
        <w:pStyle w:val="TextBody"/>
        <w:bidi w:val="0"/>
        <w:jc w:val="left"/>
        <w:rPr/>
      </w:pPr>
      <w:r>
        <w:rPr/>
        <w:t> </w:t>
      </w:r>
    </w:p>
    <w:tbl>
      <w:tblPr>
        <w:tblW w:w="3702" w:type="dxa"/>
        <w:jc w:val="left"/>
        <w:tblInd w:w="0" w:type="dxa"/>
        <w:tblLayout w:type="fixed"/>
        <w:tblCellMar>
          <w:top w:w="28" w:type="dxa"/>
          <w:left w:w="28" w:type="dxa"/>
          <w:bottom w:w="28" w:type="dxa"/>
          <w:right w:w="28" w:type="dxa"/>
        </w:tblCellMar>
      </w:tblPr>
      <w:tblGrid>
        <w:gridCol w:w="2266"/>
        <w:gridCol w:w="1436"/>
      </w:tblGrid>
      <w:tr>
        <w:trPr/>
        <w:tc>
          <w:tcPr>
            <w:tcW w:w="2266"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2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91F2C"/>
                <w:sz w:val="18"/>
              </w:rPr>
              <w:t>22</w:t>
            </w:r>
            <w:r>
              <w:rPr>
                <w:rFonts w:ascii="Times New Roman" w:hAnsi="Times New Roman"/>
                <w:color w:val="091F2C"/>
                <w:sz w:val="18"/>
              </w:rPr>
              <w:t> </w:t>
            </w:r>
            <w:r>
              <w:rPr>
                <w:rFonts w:ascii="Arial" w:hAnsi="Arial"/>
                <w:color w:val="091F2C"/>
                <w:sz w:val="18"/>
              </w:rPr>
              <w:t>I 2026 Proxy Statement</w:t>
            </w:r>
          </w:p>
        </w:tc>
        <w:tc>
          <w:tcPr>
            <w:tcW w:w="143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828675" cy="19050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828675" cy="190500"/>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2277" w:type="dxa"/>
        <w:jc w:val="left"/>
        <w:tblInd w:w="0" w:type="dxa"/>
        <w:tblLayout w:type="fixed"/>
        <w:tblCellMar>
          <w:top w:w="28" w:type="dxa"/>
          <w:left w:w="28" w:type="dxa"/>
          <w:bottom w:w="28" w:type="dxa"/>
          <w:right w:w="28" w:type="dxa"/>
        </w:tblCellMar>
      </w:tblPr>
      <w:tblGrid>
        <w:gridCol w:w="2086"/>
        <w:gridCol w:w="191"/>
      </w:tblGrid>
      <w:tr>
        <w:trPr/>
        <w:tc>
          <w:tcPr>
            <w:tcW w:w="20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86" w:type="dxa"/>
            <w:tcBorders/>
            <w:tcMar>
              <w:top w:w="0" w:type="dxa"/>
              <w:left w:w="0" w:type="dxa"/>
              <w:bottom w:w="0" w:type="dxa"/>
              <w:right w:w="0" w:type="dxa"/>
            </w:tcMar>
            <w:vAlign w:val="center"/>
          </w:tcPr>
          <w:p>
            <w:pPr>
              <w:pStyle w:val="TableContents"/>
              <w:bidi w:val="0"/>
              <w:spacing w:before="0" w:after="283"/>
              <w:jc w:val="left"/>
              <w:rPr>
                <w:rFonts w:ascii="Arial" w:hAnsi="Arial"/>
                <w:color w:val="002668"/>
                <w:sz w:val="20"/>
              </w:rPr>
            </w:pPr>
            <w:r>
              <w:rPr>
                <w:rFonts w:ascii="Arial" w:hAnsi="Arial"/>
                <w:color w:val="002668"/>
                <w:sz w:val="20"/>
              </w:rPr>
              <w:t>Compensation Matters</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bottom w:val="single" w:sz="8" w:space="0" w:color="002668"/>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For these purposes, “Adjusted EBITDAS” means our net income as reported in the Form 10-K adding back interest, taxes, depreciation, amortization, non-cash stock compensation expense, and any nonrecurring expenses as determined by the Compensation Committee as set forth in the 2026 Bonus Plan or at any time thereafter. For fiscal 2026, the Compensation Committee determined to include the following nonrecurring expenses: (i) accelerated expenses related to the refinance of our credit facility, if any; (ii) fair value inventory step-up and backlog expense; (iii) all acquisition or merger related expenses associated with negotiating, conducting diligence, and closing for any acquired company or merger; (iv) any costs associated with the move of our headquarters and significant elements of our operations to Maryville, Tennessee (the "Relocation"), including severance, relocation, recruiting, construction, and duplication of costs; (v) changes in contingent consideration; (vi) impairment charges for goodwill, tangible, or intangible assets; (vii) costs incurred relating to shareholder activism; (viii) any gain or loss incurred in an asset sale or disposal, which sale or disposal is approved by the Board; (ix) costs directly related to inventory that cannot be sold or otherwise used by us, which unsaleable or unusable inventory is the result of a change in federal firearms law; (x) the costs and impact of tariffs adopted in 2025 by the U.S. and any other countries; (xi) any costs/impact related to the implementation of any new accounting pronouncements that become effective during the fiscal year; and (xii) Smith &amp; Wesson Academy grand opening expenses. To the extent practicable, each amount was calculated based upon the numbers used in the audited financial statements and, if possible, in the same amount as reported in the Form 10-K.</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The financial performance metrics established under the 2026 Bonus Plan were as follows:</w:t>
      </w:r>
    </w:p>
    <w:p>
      <w:pPr>
        <w:pStyle w:val="TextBody"/>
        <w:bidi w:val="0"/>
        <w:jc w:val="both"/>
        <w:rPr/>
      </w:pPr>
      <w:r>
        <w:rPr/>
        <w:t> </w:t>
      </w:r>
    </w:p>
    <w:tbl>
      <w:tblPr>
        <w:tblW w:w="7916" w:type="dxa"/>
        <w:jc w:val="left"/>
        <w:tblInd w:w="0" w:type="dxa"/>
        <w:tblLayout w:type="fixed"/>
        <w:tblCellMar>
          <w:top w:w="28" w:type="dxa"/>
          <w:left w:w="28" w:type="dxa"/>
          <w:bottom w:w="28" w:type="dxa"/>
          <w:right w:w="28" w:type="dxa"/>
        </w:tblCellMar>
      </w:tblPr>
      <w:tblGrid>
        <w:gridCol w:w="4116"/>
        <w:gridCol w:w="256"/>
        <w:gridCol w:w="193"/>
        <w:gridCol w:w="918"/>
        <w:gridCol w:w="146"/>
        <w:gridCol w:w="871"/>
        <w:gridCol w:w="1416"/>
      </w:tblGrid>
      <w:tr>
        <w:trPr/>
        <w:tc>
          <w:tcPr>
            <w:tcW w:w="411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ind w:left="0" w:right="0" w:firstLine="200"/>
              <w:jc w:val="left"/>
              <w:rPr>
                <w:sz w:val="4"/>
                <w:szCs w:val="4"/>
              </w:rPr>
            </w:pPr>
            <w:r>
              <w:rPr>
                <w:sz w:val="4"/>
                <w:szCs w:val="4"/>
              </w:rPr>
            </w:r>
          </w:p>
        </w:tc>
      </w:tr>
      <w:tr>
        <w:trPr/>
        <w:tc>
          <w:tcPr>
            <w:tcW w:w="4116" w:type="dxa"/>
            <w:tcBorders>
              <w:bottom w:val="single" w:sz="18" w:space="0" w:color="0071A2"/>
            </w:tcBorders>
            <w:shd w:fill="002668" w:val="clear"/>
            <w:tcMar>
              <w:top w:w="0" w:type="dxa"/>
              <w:left w:w="0" w:type="dxa"/>
              <w:right w:w="0" w:type="dxa"/>
            </w:tcMar>
            <w:vAlign w:val="center"/>
          </w:tcPr>
          <w:p>
            <w:pPr>
              <w:pStyle w:val="TableContents"/>
              <w:bidi w:val="0"/>
              <w:spacing w:before="0" w:after="283"/>
              <w:ind w:left="0" w:right="0" w:firstLine="200"/>
              <w:jc w:val="left"/>
              <w:rPr>
                <w:rFonts w:ascii="Arial" w:hAnsi="Arial"/>
                <w:b/>
                <w:color w:val="FFFFFF"/>
                <w:sz w:val="16"/>
              </w:rPr>
            </w:pPr>
            <w:r>
              <w:rPr>
                <w:rFonts w:ascii="Arial" w:hAnsi="Arial"/>
                <w:b/>
                <w:color w:val="FFFFFF"/>
                <w:sz w:val="16"/>
              </w:rPr>
              <w:t>Performance Metrics</w:t>
            </w:r>
          </w:p>
        </w:tc>
        <w:tc>
          <w:tcPr>
            <w:tcW w:w="25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left"/>
              <w:rPr/>
            </w:pPr>
            <w:r>
              <w:rPr/>
              <w:t> </w:t>
            </w:r>
          </w:p>
        </w:tc>
        <w:tc>
          <w:tcPr>
            <w:tcW w:w="1111" w:type="dxa"/>
            <w:gridSpan w:val="2"/>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rFonts w:ascii="Arial" w:hAnsi="Arial"/>
                <w:b/>
                <w:color w:val="FFFFFF"/>
                <w:sz w:val="16"/>
              </w:rPr>
            </w:pPr>
            <w:r>
              <w:rPr>
                <w:rFonts w:ascii="Arial" w:hAnsi="Arial"/>
                <w:b/>
                <w:color w:val="FFFFFF"/>
                <w:sz w:val="16"/>
              </w:rPr>
              <w:t>Target</w:t>
              <w:br/>
              <w:t>Performance</w:t>
              <w:br/>
              <w:t>(in 000's)</w:t>
            </w:r>
          </w:p>
        </w:tc>
        <w:tc>
          <w:tcPr>
            <w:tcW w:w="14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pPr>
            <w:r>
              <w:rPr/>
              <w:t> </w:t>
            </w:r>
          </w:p>
        </w:tc>
        <w:tc>
          <w:tcPr>
            <w:tcW w:w="871"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rFonts w:ascii="Arial" w:hAnsi="Arial"/>
                <w:b/>
                <w:color w:val="FFFFFF"/>
                <w:sz w:val="16"/>
              </w:rPr>
            </w:pPr>
            <w:r>
              <w:rPr>
                <w:rFonts w:ascii="Arial" w:hAnsi="Arial"/>
                <w:b/>
                <w:color w:val="FFFFFF"/>
                <w:sz w:val="16"/>
              </w:rPr>
              <w:t>Potential</w:t>
              <w:br/>
              <w:t>Maximum</w:t>
              <w:br/>
              <w:t>Payout of</w:t>
              <w:br/>
              <w:t>Target</w:t>
              <w:br/>
              <w:t>Bonus</w:t>
            </w:r>
          </w:p>
        </w:tc>
        <w:tc>
          <w:tcPr>
            <w:tcW w:w="1416" w:type="dxa"/>
            <w:tcBorders>
              <w:bottom w:val="single" w:sz="18" w:space="0" w:color="0071A2"/>
            </w:tcBorders>
            <w:shd w:fill="002668" w:val="clear"/>
            <w:tcMar>
              <w:top w:w="0" w:type="dxa"/>
              <w:left w:w="0" w:type="dxa"/>
              <w:right w:w="0" w:type="dxa"/>
            </w:tcMar>
            <w:vAlign w:val="center"/>
          </w:tcPr>
          <w:p>
            <w:pPr>
              <w:pStyle w:val="TableContents"/>
              <w:bidi w:val="0"/>
              <w:spacing w:before="0" w:after="283"/>
              <w:ind w:left="0" w:right="0" w:firstLine="200"/>
              <w:jc w:val="center"/>
              <w:rPr>
                <w:rFonts w:ascii="Arial" w:hAnsi="Arial"/>
                <w:b/>
                <w:color w:val="FFFFFF"/>
                <w:sz w:val="16"/>
              </w:rPr>
            </w:pPr>
            <w:r>
              <w:rPr>
                <w:rFonts w:ascii="Arial" w:hAnsi="Arial"/>
                <w:b/>
                <w:color w:val="FFFFFF"/>
                <w:sz w:val="16"/>
              </w:rPr>
              <w:t>Performance</w:t>
              <w:br/>
              <w:t>Required</w:t>
              <w:br/>
              <w:t>to Earn</w:t>
              <w:br/>
              <w:t>Maximum</w:t>
              <w:br/>
              <w:t>Payout</w:t>
              <w:br/>
              <w:t>(as a % of</w:t>
              <w:br/>
              <w:t>Target</w:t>
              <w:br/>
              <w:t>Performance)</w:t>
            </w:r>
          </w:p>
        </w:tc>
      </w:tr>
      <w:tr>
        <w:trPr/>
        <w:tc>
          <w:tcPr>
            <w:tcW w:w="4116" w:type="dxa"/>
            <w:tcBorders/>
            <w:shd w:fill="D9D9D9"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Adjusted EBITDAS</w:t>
            </w:r>
          </w:p>
        </w:tc>
        <w:tc>
          <w:tcPr>
            <w:tcW w:w="256" w:type="dxa"/>
            <w:tcBorders/>
            <w:shd w:fill="D9D9D9"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w:t>
            </w:r>
          </w:p>
        </w:tc>
        <w:tc>
          <w:tcPr>
            <w:tcW w:w="19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67,325</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D9D9D9"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200.0%</w:t>
            </w:r>
          </w:p>
        </w:tc>
        <w:tc>
          <w:tcPr>
            <w:tcW w:w="1416" w:type="dxa"/>
            <w:tcBorders/>
            <w:shd w:fill="D9D9D9" w:val="clear"/>
            <w:tcMar>
              <w:top w:w="0" w:type="dxa"/>
              <w:left w:w="0" w:type="dxa"/>
              <w:bottom w:w="0" w:type="dxa"/>
              <w:right w:w="0" w:type="dxa"/>
            </w:tcMar>
            <w:vAlign w:val="center"/>
          </w:tcPr>
          <w:p>
            <w:pPr>
              <w:pStyle w:val="TableContents"/>
              <w:bidi w:val="0"/>
              <w:spacing w:before="0" w:after="283"/>
              <w:ind w:left="0" w:right="0" w:firstLine="200"/>
              <w:jc w:val="center"/>
              <w:rPr>
                <w:rFonts w:ascii="Arial" w:hAnsi="Arial"/>
                <w:color w:val="000000"/>
                <w:sz w:val="16"/>
              </w:rPr>
            </w:pPr>
            <w:r>
              <w:rPr>
                <w:rFonts w:ascii="Arial" w:hAnsi="Arial"/>
                <w:color w:val="000000"/>
                <w:sz w:val="16"/>
              </w:rPr>
              <w:t>125.0%</w:t>
            </w:r>
          </w:p>
        </w:tc>
      </w:tr>
      <w:tr>
        <w:trPr/>
        <w:tc>
          <w:tcPr>
            <w:tcW w:w="41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Net Sales</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516,210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200.0%</w:t>
            </w:r>
          </w:p>
        </w:tc>
        <w:tc>
          <w:tcPr>
            <w:tcW w:w="1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Arial" w:hAnsi="Arial"/>
                <w:color w:val="000000"/>
                <w:sz w:val="16"/>
              </w:rPr>
            </w:pPr>
            <w:r>
              <w:rPr>
                <w:rFonts w:ascii="Arial" w:hAnsi="Arial"/>
                <w:color w:val="000000"/>
                <w:sz w:val="16"/>
              </w:rPr>
              <w:t>125.0%</w:t>
            </w:r>
          </w:p>
        </w:tc>
      </w:tr>
      <w:tr>
        <w:trPr/>
        <w:tc>
          <w:tcPr>
            <w:tcW w:w="4116" w:type="dxa"/>
            <w:tcBorders/>
            <w:shd w:fill="D9D9D9"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Strategic Goals</w:t>
            </w:r>
          </w:p>
        </w:tc>
        <w:tc>
          <w:tcPr>
            <w:tcW w:w="25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416" w:type="dxa"/>
            <w:tcBorders/>
            <w:shd w:fill="D9D9D9"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41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color w:val="000000"/>
              </w:rPr>
              <w:t>     </w:t>
            </w:r>
            <w:r>
              <w:rPr>
                <w:rFonts w:ascii="Arial" w:hAnsi="Arial"/>
                <w:color w:val="000000"/>
                <w:sz w:val="16"/>
              </w:rPr>
              <w:t xml:space="preserve">At least 25% of Net Sales from new products </w:t>
            </w:r>
            <w:r>
              <w:rPr>
                <w:rFonts w:ascii="Arial" w:hAnsi="Arial"/>
                <w:color w:val="000000"/>
                <w:sz w:val="11"/>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4116" w:type="dxa"/>
            <w:tcBorders/>
            <w:shd w:fill="D9D9D9"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Arial" w:hAnsi="Arial"/>
                <w:color w:val="000000"/>
                <w:sz w:val="16"/>
              </w:rPr>
              <w:t>No more than 15% voluntary employee turnover</w:t>
            </w:r>
          </w:p>
        </w:tc>
        <w:tc>
          <w:tcPr>
            <w:tcW w:w="25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416" w:type="dxa"/>
            <w:tcBorders/>
            <w:shd w:fill="D9D9D9"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41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color w:val="000000"/>
              </w:rPr>
              <w:t>     </w:t>
            </w:r>
            <w:r>
              <w:rPr>
                <w:rFonts w:ascii="Arial" w:hAnsi="Arial"/>
                <w:color w:val="000000"/>
                <w:sz w:val="16"/>
              </w:rPr>
              <w:t xml:space="preserve">$96.9 million of emerging market sales </w:t>
            </w:r>
            <w:r>
              <w:rPr>
                <w:rFonts w:ascii="Arial" w:hAnsi="Arial"/>
                <w:color w:val="000000"/>
                <w:sz w:val="11"/>
              </w:rPr>
              <w:t>(2)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16" w:type="dxa"/>
            <w:tcBorders>
              <w:bottom w:val="single" w:sz="18"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18"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1111" w:type="dxa"/>
            <w:gridSpan w:val="2"/>
            <w:tcBorders>
              <w:bottom w:val="single" w:sz="18"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18"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1416" w:type="dxa"/>
            <w:tcBorders>
              <w:bottom w:val="single" w:sz="18" w:space="0" w:color="0071A2"/>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rFonts w:ascii="Arial" w:hAnsi="Arial"/>
          <w:color w:val="000000"/>
          <w:sz w:val="16"/>
        </w:rPr>
      </w:pPr>
      <w:r>
        <w:rPr>
          <w:rFonts w:ascii="Arial" w:hAnsi="Arial"/>
          <w:color w:val="000000"/>
          <w:sz w:val="16"/>
        </w:rPr>
        <w:t>(1) Defined as any new stock keeping unit not shipped in the prior year.</w:t>
      </w:r>
    </w:p>
    <w:p>
      <w:pPr>
        <w:pStyle w:val="TextBody"/>
        <w:bidi w:val="0"/>
        <w:spacing w:before="40" w:after="283"/>
        <w:jc w:val="both"/>
        <w:rPr>
          <w:rFonts w:ascii="Arial" w:hAnsi="Arial"/>
          <w:color w:val="000000"/>
          <w:sz w:val="16"/>
        </w:rPr>
      </w:pPr>
      <w:r>
        <w:rPr>
          <w:rFonts w:ascii="Arial" w:hAnsi="Arial"/>
          <w:color w:val="000000"/>
          <w:sz w:val="16"/>
        </w:rPr>
        <w:t>(2) Defined as hunting, suppressors, e-commerce, and professional sales.</w:t>
      </w:r>
    </w:p>
    <w:p>
      <w:pPr>
        <w:pStyle w:val="TextBody"/>
        <w:bidi w:val="0"/>
        <w:spacing w:before="40" w:after="283"/>
        <w:jc w:val="both"/>
        <w:rPr/>
      </w:pPr>
      <w:r>
        <w:rPr/>
        <w:t> </w:t>
      </w:r>
    </w:p>
    <w:p>
      <w:pPr>
        <w:pStyle w:val="TextBody"/>
        <w:bidi w:val="0"/>
        <w:spacing w:before="40" w:after="283"/>
        <w:jc w:val="both"/>
        <w:rPr>
          <w:rFonts w:ascii="Times New Roman" w:hAnsi="Times New Roman"/>
          <w:sz w:val="20"/>
        </w:rPr>
      </w:pPr>
      <w:r>
        <w:rPr>
          <w:rFonts w:ascii="Arial" w:hAnsi="Arial"/>
          <w:color w:val="000000"/>
          <w:sz w:val="20"/>
        </w:rPr>
        <w:t>The failure to reach the threshold metric of at least $50,494,000, or 75.0% of target, for the Adjusted EBITDAS metric would result in no bonus payments regardless of the achievement of the other metrics.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In fiscal 2026, Adjusted EBITDAS and Net Sales, for purposes of compensation, were $75.0 million and $523.8 million, respectively, compared with $64.7 million and $474.7 million, respectively, in fiscal 2025. In fiscal 2026, we derived 38.1% of Net Sales from new products, experienced voluntary turnover among our employees of 13.8%, and generated $71.3 million of emerging market sales.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The table below sets forth for each NEO the annual fiscal 2026 base salary, the target bonus percentage, the annualized target cash bonus opportunity, and the actual bonus paid for fiscal 2026 reflected as a percentage of target bonus opportunity and in cash:</w:t>
      </w:r>
    </w:p>
    <w:p>
      <w:pPr>
        <w:pStyle w:val="TextBody"/>
        <w:bidi w:val="0"/>
        <w:jc w:val="left"/>
        <w:rPr/>
      </w:pPr>
      <w:r>
        <w:rPr/>
        <w:t> </w:t>
      </w:r>
    </w:p>
    <w:tbl>
      <w:tblPr>
        <w:tblW w:w="3702" w:type="dxa"/>
        <w:jc w:val="left"/>
        <w:tblInd w:w="0" w:type="dxa"/>
        <w:tblLayout w:type="fixed"/>
        <w:tblCellMar>
          <w:top w:w="28" w:type="dxa"/>
          <w:left w:w="28" w:type="dxa"/>
          <w:bottom w:w="28" w:type="dxa"/>
          <w:right w:w="28" w:type="dxa"/>
        </w:tblCellMar>
      </w:tblPr>
      <w:tblGrid>
        <w:gridCol w:w="2266"/>
        <w:gridCol w:w="1436"/>
      </w:tblGrid>
      <w:tr>
        <w:trPr/>
        <w:tc>
          <w:tcPr>
            <w:tcW w:w="2266"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2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91F2C"/>
                <w:sz w:val="18"/>
              </w:rPr>
              <w:t>23</w:t>
            </w:r>
            <w:r>
              <w:rPr>
                <w:rFonts w:ascii="Times New Roman" w:hAnsi="Times New Roman"/>
                <w:color w:val="091F2C"/>
                <w:sz w:val="18"/>
              </w:rPr>
              <w:t> </w:t>
            </w:r>
            <w:r>
              <w:rPr>
                <w:rFonts w:ascii="Arial" w:hAnsi="Arial"/>
                <w:color w:val="091F2C"/>
                <w:sz w:val="18"/>
              </w:rPr>
              <w:t>I 2026 Proxy Statement</w:t>
            </w:r>
          </w:p>
        </w:tc>
        <w:tc>
          <w:tcPr>
            <w:tcW w:w="143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828675" cy="19050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828675" cy="190500"/>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2277" w:type="dxa"/>
        <w:jc w:val="left"/>
        <w:tblInd w:w="0" w:type="dxa"/>
        <w:tblLayout w:type="fixed"/>
        <w:tblCellMar>
          <w:top w:w="28" w:type="dxa"/>
          <w:left w:w="28" w:type="dxa"/>
          <w:bottom w:w="28" w:type="dxa"/>
          <w:right w:w="28" w:type="dxa"/>
        </w:tblCellMar>
      </w:tblPr>
      <w:tblGrid>
        <w:gridCol w:w="2086"/>
        <w:gridCol w:w="191"/>
      </w:tblGrid>
      <w:tr>
        <w:trPr/>
        <w:tc>
          <w:tcPr>
            <w:tcW w:w="20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86" w:type="dxa"/>
            <w:tcBorders/>
            <w:tcMar>
              <w:top w:w="0" w:type="dxa"/>
              <w:left w:w="0" w:type="dxa"/>
              <w:bottom w:w="0" w:type="dxa"/>
              <w:right w:w="0" w:type="dxa"/>
            </w:tcMar>
            <w:vAlign w:val="center"/>
          </w:tcPr>
          <w:p>
            <w:pPr>
              <w:pStyle w:val="TableContents"/>
              <w:bidi w:val="0"/>
              <w:spacing w:before="0" w:after="283"/>
              <w:jc w:val="left"/>
              <w:rPr>
                <w:rFonts w:ascii="Arial" w:hAnsi="Arial"/>
                <w:color w:val="002668"/>
                <w:sz w:val="20"/>
              </w:rPr>
            </w:pPr>
            <w:r>
              <w:rPr>
                <w:rFonts w:ascii="Arial" w:hAnsi="Arial"/>
                <w:color w:val="002668"/>
                <w:sz w:val="20"/>
              </w:rPr>
              <w:t>Compensation Matters</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bottom w:val="single" w:sz="8" w:space="0" w:color="002668"/>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879" w:type="dxa"/>
        <w:jc w:val="left"/>
        <w:tblInd w:w="0" w:type="dxa"/>
        <w:tblLayout w:type="fixed"/>
        <w:tblCellMar>
          <w:top w:w="28" w:type="dxa"/>
          <w:left w:w="28" w:type="dxa"/>
          <w:bottom w:w="28" w:type="dxa"/>
          <w:right w:w="28" w:type="dxa"/>
        </w:tblCellMar>
      </w:tblPr>
      <w:tblGrid>
        <w:gridCol w:w="1766"/>
        <w:gridCol w:w="146"/>
        <w:gridCol w:w="196"/>
        <w:gridCol w:w="146"/>
        <w:gridCol w:w="691"/>
        <w:gridCol w:w="146"/>
        <w:gridCol w:w="146"/>
        <w:gridCol w:w="294"/>
        <w:gridCol w:w="697"/>
        <w:gridCol w:w="146"/>
        <w:gridCol w:w="146"/>
        <w:gridCol w:w="196"/>
        <w:gridCol w:w="188"/>
        <w:gridCol w:w="893"/>
        <w:gridCol w:w="146"/>
        <w:gridCol w:w="146"/>
        <w:gridCol w:w="351"/>
        <w:gridCol w:w="834"/>
        <w:gridCol w:w="146"/>
        <w:gridCol w:w="146"/>
        <w:gridCol w:w="196"/>
        <w:gridCol w:w="826"/>
        <w:gridCol w:w="291"/>
      </w:tblGrid>
      <w:tr>
        <w:trPr/>
        <w:tc>
          <w:tcPr>
            <w:tcW w:w="1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1766" w:type="dxa"/>
            <w:tcBorders>
              <w:bottom w:val="single" w:sz="18" w:space="0" w:color="0071A2"/>
            </w:tcBorders>
            <w:shd w:fill="002668" w:val="clear"/>
            <w:tcMar>
              <w:top w:w="0" w:type="dxa"/>
              <w:left w:w="0" w:type="dxa"/>
              <w:right w:w="0" w:type="dxa"/>
            </w:tcMar>
            <w:vAlign w:val="center"/>
          </w:tcPr>
          <w:p>
            <w:pPr>
              <w:pStyle w:val="TableContents"/>
              <w:bidi w:val="0"/>
              <w:spacing w:before="0" w:after="283"/>
              <w:ind w:left="0" w:right="0" w:firstLine="100"/>
              <w:jc w:val="left"/>
              <w:rPr>
                <w:rFonts w:ascii="Arial" w:hAnsi="Arial"/>
                <w:b/>
                <w:color w:val="FFFFFF"/>
                <w:sz w:val="16"/>
              </w:rPr>
            </w:pPr>
            <w:r>
              <w:rPr>
                <w:rFonts w:ascii="Arial" w:hAnsi="Arial"/>
                <w:b/>
                <w:color w:val="FFFFFF"/>
                <w:sz w:val="16"/>
              </w:rPr>
              <w:t>Name</w:t>
            </w:r>
          </w:p>
        </w:tc>
        <w:tc>
          <w:tcPr>
            <w:tcW w:w="14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pPr>
            <w:r>
              <w:rPr/>
              <w:t> </w:t>
            </w:r>
          </w:p>
        </w:tc>
        <w:tc>
          <w:tcPr>
            <w:tcW w:w="1033" w:type="dxa"/>
            <w:gridSpan w:val="3"/>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rFonts w:ascii="Arial" w:hAnsi="Arial"/>
                <w:b/>
                <w:color w:val="FFFFFF"/>
                <w:sz w:val="16"/>
              </w:rPr>
            </w:pPr>
            <w:r>
              <w:rPr>
                <w:rFonts w:ascii="Arial" w:hAnsi="Arial"/>
                <w:b/>
                <w:color w:val="FFFFFF"/>
                <w:sz w:val="16"/>
              </w:rPr>
              <w:t>Annual</w:t>
              <w:br/>
              <w:t>Fiscal 2026</w:t>
              <w:br/>
              <w:t>Base Salary</w:t>
            </w:r>
          </w:p>
        </w:tc>
        <w:tc>
          <w:tcPr>
            <w:tcW w:w="14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pPr>
            <w:r>
              <w:rPr/>
              <w:t> </w:t>
            </w:r>
          </w:p>
        </w:tc>
        <w:tc>
          <w:tcPr>
            <w:tcW w:w="991" w:type="dxa"/>
            <w:gridSpan w:val="2"/>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rFonts w:ascii="Arial" w:hAnsi="Arial"/>
                <w:b/>
                <w:color w:val="FFFFFF"/>
                <w:sz w:val="16"/>
              </w:rPr>
            </w:pPr>
            <w:r>
              <w:rPr>
                <w:rFonts w:ascii="Arial" w:hAnsi="Arial"/>
                <w:b/>
                <w:color w:val="FFFFFF"/>
                <w:sz w:val="16"/>
              </w:rPr>
              <w:t>Target</w:t>
              <w:br/>
              <w:t>Bonus</w:t>
              <w:br/>
              <w:t>Percentage</w:t>
            </w:r>
          </w:p>
        </w:tc>
        <w:tc>
          <w:tcPr>
            <w:tcW w:w="14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pPr>
            <w:r>
              <w:rPr/>
              <w:t> </w:t>
            </w:r>
          </w:p>
        </w:tc>
        <w:tc>
          <w:tcPr>
            <w:tcW w:w="1081" w:type="dxa"/>
            <w:gridSpan w:val="2"/>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rFonts w:ascii="Arial" w:hAnsi="Arial"/>
                <w:b/>
                <w:color w:val="FFFFFF"/>
                <w:sz w:val="16"/>
              </w:rPr>
            </w:pPr>
            <w:r>
              <w:rPr>
                <w:rFonts w:ascii="Arial" w:hAnsi="Arial"/>
                <w:b/>
                <w:color w:val="FFFFFF"/>
                <w:sz w:val="16"/>
              </w:rPr>
              <w:t>Annualized</w:t>
              <w:br/>
              <w:t>Target Cash</w:t>
              <w:br/>
              <w:t>Bonus</w:t>
              <w:br/>
              <w:t>Opportunity</w:t>
            </w:r>
          </w:p>
        </w:tc>
        <w:tc>
          <w:tcPr>
            <w:tcW w:w="14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left"/>
              <w:rPr/>
            </w:pPr>
            <w:r>
              <w:rPr/>
              <w:t> </w:t>
            </w:r>
          </w:p>
        </w:tc>
        <w:tc>
          <w:tcPr>
            <w:tcW w:w="1185" w:type="dxa"/>
            <w:gridSpan w:val="2"/>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rFonts w:ascii="Arial" w:hAnsi="Arial"/>
                <w:b/>
                <w:color w:val="FFFFFF"/>
                <w:sz w:val="16"/>
              </w:rPr>
            </w:pPr>
            <w:r>
              <w:rPr>
                <w:rFonts w:ascii="Arial" w:hAnsi="Arial"/>
                <w:b/>
                <w:color w:val="FFFFFF"/>
                <w:sz w:val="16"/>
              </w:rPr>
              <w:t>Actual Bonus</w:t>
              <w:br/>
              <w:t>paid for</w:t>
              <w:br/>
              <w:t>Fiscal 2026</w:t>
              <w:br/>
              <w:t>(as a % of</w:t>
              <w:br/>
              <w:t>Target</w:t>
              <w:br/>
              <w:t>Bonus</w:t>
              <w:br/>
              <w:t>Opportunity</w:t>
            </w:r>
          </w:p>
        </w:tc>
        <w:tc>
          <w:tcPr>
            <w:tcW w:w="14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rFonts w:ascii="Arial" w:hAnsi="Arial"/>
                <w:b/>
                <w:color w:val="FFFFFF"/>
                <w:sz w:val="16"/>
              </w:rPr>
            </w:pPr>
            <w:r>
              <w:rPr>
                <w:rFonts w:ascii="Arial" w:hAnsi="Arial"/>
                <w:b/>
                <w:color w:val="FFFFFF"/>
                <w:sz w:val="16"/>
              </w:rPr>
              <w:t>Actual</w:t>
              <w:br/>
              <w:t>Bonus</w:t>
              <w:br/>
              <w:t>Paid for</w:t>
              <w:br/>
              <w:t>Fiscal 2026</w:t>
            </w:r>
          </w:p>
        </w:tc>
        <w:tc>
          <w:tcPr>
            <w:tcW w:w="291" w:type="dxa"/>
            <w:tcBorders>
              <w:bottom w:val="single" w:sz="18" w:space="0" w:color="0071A2"/>
            </w:tcBorders>
            <w:shd w:fill="002668"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1766"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Mark P. Smith</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850,000</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shd w:fill="D9D9D9"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100%</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D9D9D9"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w:t>
            </w:r>
          </w:p>
        </w:tc>
        <w:tc>
          <w:tcPr>
            <w:tcW w:w="188"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850,000</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185" w:type="dxa"/>
            <w:gridSpan w:val="2"/>
            <w:tcBorders/>
            <w:shd w:fill="D9D9D9"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121.8%</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26"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1,035,549</w:t>
            </w:r>
          </w:p>
        </w:tc>
        <w:tc>
          <w:tcPr>
            <w:tcW w:w="291"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Deana L. McPherson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475,000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356,250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121.8%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434,017</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66"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Kevin A. Maxwell</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415,000</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shd w:fill="D9D9D9"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75%</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D9D9D9"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w:t>
            </w:r>
          </w:p>
        </w:tc>
        <w:tc>
          <w:tcPr>
            <w:tcW w:w="188"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311,250</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185" w:type="dxa"/>
            <w:gridSpan w:val="2"/>
            <w:tcBorders/>
            <w:shd w:fill="D9D9D9"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121.8%</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26"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379,194</w:t>
            </w:r>
          </w:p>
        </w:tc>
        <w:tc>
          <w:tcPr>
            <w:tcW w:w="291"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6"/>
              </w:rPr>
            </w:pPr>
            <w:r>
              <w:rPr>
                <w:rFonts w:ascii="Arial" w:hAnsi="Arial"/>
                <w:color w:val="000000"/>
                <w:sz w:val="16"/>
              </w:rPr>
              <w:t xml:space="preserve">Susan J. Cupero </w:t>
            </w:r>
            <w:r>
              <w:rPr>
                <w:rFonts w:ascii="Arial" w:hAnsi="Arial"/>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66"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6"/>
              </w:rPr>
            </w:pPr>
            <w:r>
              <w:rPr>
                <w:rFonts w:ascii="Arial" w:hAnsi="Arial"/>
                <w:color w:val="000000"/>
                <w:sz w:val="16"/>
              </w:rPr>
              <w:t xml:space="preserve">Kyle O. Tengwall </w:t>
            </w:r>
            <w:r>
              <w:rPr>
                <w:rFonts w:ascii="Arial" w:hAnsi="Arial"/>
                <w:color w:val="000000"/>
                <w:sz w:val="11"/>
              </w:rPr>
              <w:t>(2)</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326,872</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shd w:fill="D9D9D9"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65%</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D9D9D9"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w:t>
            </w:r>
          </w:p>
        </w:tc>
        <w:tc>
          <w:tcPr>
            <w:tcW w:w="188"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212,467</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185" w:type="dxa"/>
            <w:gridSpan w:val="2"/>
            <w:tcBorders/>
            <w:shd w:fill="D9D9D9"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121.8%</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26"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259,946</w:t>
            </w:r>
          </w:p>
        </w:tc>
        <w:tc>
          <w:tcPr>
            <w:tcW w:w="29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6" w:type="dxa"/>
            <w:tcBorders>
              <w:bottom w:val="single" w:sz="18"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18"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18"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gridSpan w:val="2"/>
            <w:tcBorders>
              <w:bottom w:val="single" w:sz="18"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18"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1081" w:type="dxa"/>
            <w:gridSpan w:val="2"/>
            <w:tcBorders>
              <w:bottom w:val="single" w:sz="18"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1185" w:type="dxa"/>
            <w:gridSpan w:val="2"/>
            <w:tcBorders>
              <w:bottom w:val="single" w:sz="18"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bottom w:val="single" w:sz="18"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18" w:space="0" w:color="0071A2"/>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rFonts w:ascii="Arial" w:hAnsi="Arial"/>
          <w:color w:val="000000"/>
          <w:sz w:val="16"/>
        </w:rPr>
      </w:pPr>
      <w:r>
        <w:rPr>
          <w:rFonts w:ascii="Arial" w:hAnsi="Arial"/>
          <w:color w:val="000000"/>
          <w:sz w:val="16"/>
        </w:rPr>
        <w:t>(1) Ms. Cupero did not receive a cash bonus due to her retirement from the Company on May 5, 2025.</w:t>
      </w:r>
    </w:p>
    <w:p>
      <w:pPr>
        <w:pStyle w:val="TextBody"/>
        <w:bidi w:val="0"/>
        <w:spacing w:before="40" w:after="283"/>
        <w:jc w:val="both"/>
        <w:rPr>
          <w:rFonts w:ascii="Arial" w:hAnsi="Arial"/>
          <w:color w:val="000000"/>
          <w:sz w:val="16"/>
        </w:rPr>
      </w:pPr>
      <w:r>
        <w:rPr>
          <w:rFonts w:ascii="Arial" w:hAnsi="Arial"/>
          <w:color w:val="000000"/>
          <w:sz w:val="16"/>
        </w:rPr>
        <w:t>(2) Mr. Tengwall was appointed an executive officer effective September 15, 2025.</w:t>
      </w:r>
    </w:p>
    <w:p>
      <w:pPr>
        <w:pStyle w:val="TextBody"/>
        <w:bidi w:val="0"/>
        <w:spacing w:before="240" w:after="283"/>
        <w:jc w:val="both"/>
        <w:rPr>
          <w:rFonts w:ascii="Arial" w:hAnsi="Arial"/>
          <w:color w:val="002668"/>
          <w:sz w:val="24"/>
          <w:u w:val="single"/>
        </w:rPr>
      </w:pPr>
      <w:r>
        <w:rPr>
          <w:rFonts w:ascii="Arial" w:hAnsi="Arial"/>
          <w:color w:val="002668"/>
          <w:sz w:val="24"/>
          <w:u w:val="single"/>
        </w:rPr>
        <w:t>Stock-Based Compensation</w:t>
      </w:r>
    </w:p>
    <w:p>
      <w:pPr>
        <w:pStyle w:val="TextBody"/>
        <w:bidi w:val="0"/>
        <w:jc w:val="both"/>
        <w:rPr>
          <w:rFonts w:ascii="Arial" w:hAnsi="Arial"/>
          <w:color w:val="000000"/>
          <w:sz w:val="20"/>
        </w:rPr>
      </w:pPr>
      <w:r>
        <w:rPr>
          <w:rFonts w:ascii="Arial" w:hAnsi="Arial"/>
          <w:color w:val="000000"/>
          <w:sz w:val="20"/>
        </w:rPr>
        <w:t>Our stock-based compensation is comprised of both RSUs and PSUs. We believe stock-based compensation is critical in aligning our executives’ and stockholders’ interests. Together, we believe that these incentives focus our executives on making decisions that will benefit our stockholders.</w:t>
      </w:r>
    </w:p>
    <w:p>
      <w:pPr>
        <w:pStyle w:val="TextBody"/>
        <w:bidi w:val="0"/>
        <w:spacing w:before="240" w:after="283"/>
        <w:jc w:val="both"/>
        <w:rPr>
          <w:rFonts w:ascii="Times New Roman" w:hAnsi="Times New Roman"/>
          <w:sz w:val="20"/>
        </w:rPr>
      </w:pPr>
      <w:r>
        <w:rPr>
          <w:rFonts w:ascii="Arial" w:hAnsi="Arial"/>
          <w:color w:val="000000"/>
          <w:sz w:val="20"/>
        </w:rPr>
        <w:t>The Compensation Committee believes in tying executive rewards directly to our long-term success and focusing our executives’ efforts on increasing stockholder value by aligning their interests with those of our stockholders. Our stock-based compensation enables our executives to earn and maintain a significant stock ownership position in the Company. The amount of stock-based compensation granted takes into account our performance; the grant date value of awards; previous grants to an executive officer; an executive officer’s position; the performance, contributions, skills, experience, and responsibilities of the executive officer; the cost to us; the executive officer’s total compensation in relation to peers at our peer companies; and other factors that the Compensation Committee deems necessary or appropriate from time to time, including retention, overhang, and burn rate.</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The Compensation Committee generally sets the vesting schedule for RSUs over multiple year periods to encourage executive retention. For RSUs granted during fiscal 2026, the Compensation Committee reduced the vesting period from four to three years, with one-third vesting on each anniversary of the grant date. We moved to a three-year vesting schedule because we believed it would help make our executive compensation more aligned with market practices. When we analyzed peer group practices, the majority of our peers had three-year vesting schedules.</w:t>
      </w:r>
    </w:p>
    <w:p>
      <w:pPr>
        <w:pStyle w:val="TextBody"/>
        <w:bidi w:val="0"/>
        <w:spacing w:before="240" w:after="283"/>
        <w:jc w:val="both"/>
        <w:rPr>
          <w:rFonts w:ascii="Arial" w:hAnsi="Arial"/>
          <w:color w:val="000000"/>
          <w:sz w:val="20"/>
        </w:rPr>
      </w:pPr>
      <w:r>
        <w:rPr>
          <w:rFonts w:ascii="Arial" w:hAnsi="Arial"/>
          <w:color w:val="000000"/>
          <w:sz w:val="20"/>
        </w:rPr>
        <w:t>The Compensation Committee generally establishes multi-year performance requirements for the earning of PSUs to reward long-term Company performance. The Compensation Committee selected annual Adjusted EBITDAS Growth over a three-year period as the primary performance metric for PSUs awarded in fiscal 2026, subject to a modifier based on the relative total stockholder return of our common stock compared with the RUT. In addition, we generally maintain a value cap on PSUs.</w:t>
      </w:r>
    </w:p>
    <w:p>
      <w:pPr>
        <w:pStyle w:val="TextBody"/>
        <w:bidi w:val="0"/>
        <w:spacing w:before="240" w:after="283"/>
        <w:jc w:val="both"/>
        <w:rPr>
          <w:rFonts w:ascii="Arial" w:hAnsi="Arial"/>
          <w:color w:val="000000"/>
          <w:sz w:val="20"/>
        </w:rPr>
      </w:pPr>
      <w:r>
        <w:rPr>
          <w:rFonts w:ascii="Arial" w:hAnsi="Arial"/>
          <w:color w:val="000000"/>
          <w:sz w:val="20"/>
        </w:rPr>
        <w:t>Given the high-profile nature of our industry, it has become increasingly difficult to attract, motivate, and retain highly qualified individuals willing to be associated with us and our industry. The Compensation Committee continues to recognize the importance of long-term incentive stock-based compensation as a factor in retaining our key executives.</w:t>
      </w:r>
    </w:p>
    <w:p>
      <w:pPr>
        <w:pStyle w:val="TextBody"/>
        <w:bidi w:val="0"/>
        <w:spacing w:before="240" w:after="283"/>
        <w:jc w:val="both"/>
        <w:rPr>
          <w:rFonts w:ascii="Times New Roman" w:hAnsi="Times New Roman"/>
          <w:sz w:val="20"/>
        </w:rPr>
      </w:pPr>
      <w:r>
        <w:rPr>
          <w:rFonts w:ascii="Arial" w:hAnsi="Arial"/>
          <w:b/>
          <w:i/>
          <w:color w:val="4F81BD"/>
          <w:sz w:val="20"/>
        </w:rPr>
        <w:t>Timing of Stock-Based Awards</w:t>
      </w:r>
      <w:r>
        <w:rPr>
          <w:rFonts w:ascii="Arial" w:hAnsi="Arial"/>
          <w:color w:val="4F81BD"/>
          <w:sz w:val="20"/>
        </w:rPr>
        <w:t xml:space="preserve">. </w:t>
      </w:r>
      <w:r>
        <w:rPr>
          <w:rFonts w:ascii="Arial" w:hAnsi="Arial"/>
          <w:color w:val="000000"/>
          <w:sz w:val="20"/>
        </w:rPr>
        <w:t>The Compensation Committee sets the value of RSUs and PSUs at the fair market value of our common stock, which, for annual awards, is the average closing price of our common stock on Nasdaq for the five-day period ending on the effective date of grant and, for new hires or special awards, is the closing price of our common stock on Nasdaq on the effective date of grant. The Compensation Committee generally grants stock-based compensation to our executive officers annually within the same time frame each year. In the case of new hires, grant prices generally are determined by the closing price of our common stock on the 15th day of the month following the date on which the employee reports for service.</w:t>
      </w:r>
      <w:r>
        <w:rPr>
          <w:rFonts w:ascii="Times New Roman" w:hAnsi="Times New Roman"/>
          <w:color w:val="000000"/>
          <w:sz w:val="20"/>
        </w:rPr>
        <w:t xml:space="preserve"> </w:t>
      </w:r>
    </w:p>
    <w:p>
      <w:pPr>
        <w:pStyle w:val="TextBody"/>
        <w:bidi w:val="0"/>
        <w:jc w:val="left"/>
        <w:rPr/>
      </w:pPr>
      <w:r>
        <w:rPr/>
        <w:t> </w:t>
      </w:r>
    </w:p>
    <w:tbl>
      <w:tblPr>
        <w:tblW w:w="3702" w:type="dxa"/>
        <w:jc w:val="left"/>
        <w:tblInd w:w="0" w:type="dxa"/>
        <w:tblLayout w:type="fixed"/>
        <w:tblCellMar>
          <w:top w:w="28" w:type="dxa"/>
          <w:left w:w="28" w:type="dxa"/>
          <w:bottom w:w="28" w:type="dxa"/>
          <w:right w:w="28" w:type="dxa"/>
        </w:tblCellMar>
      </w:tblPr>
      <w:tblGrid>
        <w:gridCol w:w="2266"/>
        <w:gridCol w:w="1436"/>
      </w:tblGrid>
      <w:tr>
        <w:trPr/>
        <w:tc>
          <w:tcPr>
            <w:tcW w:w="2266"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2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91F2C"/>
                <w:sz w:val="18"/>
              </w:rPr>
              <w:t>24</w:t>
            </w:r>
            <w:r>
              <w:rPr>
                <w:rFonts w:ascii="Times New Roman" w:hAnsi="Times New Roman"/>
                <w:color w:val="091F2C"/>
                <w:sz w:val="18"/>
              </w:rPr>
              <w:t> </w:t>
            </w:r>
            <w:r>
              <w:rPr>
                <w:rFonts w:ascii="Arial" w:hAnsi="Arial"/>
                <w:color w:val="091F2C"/>
                <w:sz w:val="18"/>
              </w:rPr>
              <w:t>I 2026 Proxy Statement</w:t>
            </w:r>
          </w:p>
        </w:tc>
        <w:tc>
          <w:tcPr>
            <w:tcW w:w="143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828675" cy="19050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828675" cy="190500"/>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2277" w:type="dxa"/>
        <w:jc w:val="left"/>
        <w:tblInd w:w="0" w:type="dxa"/>
        <w:tblLayout w:type="fixed"/>
        <w:tblCellMar>
          <w:top w:w="28" w:type="dxa"/>
          <w:left w:w="28" w:type="dxa"/>
          <w:bottom w:w="28" w:type="dxa"/>
          <w:right w:w="28" w:type="dxa"/>
        </w:tblCellMar>
      </w:tblPr>
      <w:tblGrid>
        <w:gridCol w:w="2086"/>
        <w:gridCol w:w="191"/>
      </w:tblGrid>
      <w:tr>
        <w:trPr/>
        <w:tc>
          <w:tcPr>
            <w:tcW w:w="20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86" w:type="dxa"/>
            <w:tcBorders/>
            <w:tcMar>
              <w:top w:w="0" w:type="dxa"/>
              <w:left w:w="0" w:type="dxa"/>
              <w:bottom w:w="0" w:type="dxa"/>
              <w:right w:w="0" w:type="dxa"/>
            </w:tcMar>
            <w:vAlign w:val="center"/>
          </w:tcPr>
          <w:p>
            <w:pPr>
              <w:pStyle w:val="TableContents"/>
              <w:bidi w:val="0"/>
              <w:spacing w:before="0" w:after="283"/>
              <w:jc w:val="left"/>
              <w:rPr>
                <w:rFonts w:ascii="Arial" w:hAnsi="Arial"/>
                <w:color w:val="002668"/>
                <w:sz w:val="20"/>
              </w:rPr>
            </w:pPr>
            <w:r>
              <w:rPr>
                <w:rFonts w:ascii="Arial" w:hAnsi="Arial"/>
                <w:color w:val="002668"/>
                <w:sz w:val="20"/>
              </w:rPr>
              <w:t>Compensation Matters</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bottom w:val="single" w:sz="8" w:space="0" w:color="002668"/>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i/>
          <w:color w:val="4F81BD"/>
          <w:sz w:val="20"/>
        </w:rPr>
        <w:t>Dividend Equivalent Rights</w:t>
      </w:r>
      <w:r>
        <w:rPr>
          <w:rFonts w:ascii="Arial" w:hAnsi="Arial"/>
          <w:color w:val="000000"/>
          <w:sz w:val="20"/>
        </w:rPr>
        <w:t>. After consulting with the Compensation Committee’s independent compensation consultant and reviewing the practices of a peer group competitor, among other factors, in September 2023 the Compensation Committee granted dividend equivalents to directors and NEOs effective immediately with respect to outstanding RSU awards and future RSU awards. Dividends on those awards will not pay out unless and until the awards vest.</w:t>
      </w:r>
    </w:p>
    <w:p>
      <w:pPr>
        <w:pStyle w:val="TextBody"/>
        <w:bidi w:val="0"/>
        <w:spacing w:before="240" w:after="283"/>
        <w:jc w:val="both"/>
        <w:rPr>
          <w:rFonts w:ascii="Times New Roman" w:hAnsi="Times New Roman"/>
          <w:sz w:val="20"/>
        </w:rPr>
      </w:pPr>
      <w:r>
        <w:rPr>
          <w:rFonts w:ascii="Arial" w:hAnsi="Arial"/>
          <w:b/>
          <w:i/>
          <w:color w:val="4F81BD"/>
          <w:sz w:val="20"/>
        </w:rPr>
        <w:t>Fiscal 2026 Stock-Based Compensation</w:t>
      </w:r>
      <w:r>
        <w:rPr>
          <w:rFonts w:ascii="Arial" w:hAnsi="Arial"/>
          <w:color w:val="4F81BD"/>
          <w:sz w:val="20"/>
        </w:rPr>
        <w:t xml:space="preserve">. </w:t>
      </w:r>
      <w:r>
        <w:rPr>
          <w:rFonts w:ascii="Arial" w:hAnsi="Arial"/>
          <w:color w:val="000000"/>
          <w:sz w:val="20"/>
        </w:rPr>
        <w:t>During fiscal 2026, grants of annual stock-based compensation to our NEOs consisted of RSUs and PSUs, with a weighting of 50% for RSUs and 50% for PSUs, except for Mr. Tengwall, who was not an executive officer at the time of grant and therefore received only RSUs. In determining the equity awards granted to each executive officer, the Compensation Committee considered the factors discussed above.</w:t>
      </w:r>
    </w:p>
    <w:p>
      <w:pPr>
        <w:pStyle w:val="TextBody"/>
        <w:bidi w:val="0"/>
        <w:spacing w:before="240" w:after="283"/>
        <w:jc w:val="both"/>
        <w:rPr>
          <w:rFonts w:ascii="Times New Roman" w:hAnsi="Times New Roman"/>
          <w:sz w:val="20"/>
        </w:rPr>
      </w:pPr>
      <w:r>
        <w:rPr>
          <w:rFonts w:ascii="Arial" w:hAnsi="Arial"/>
          <w:color w:val="000000"/>
          <w:sz w:val="20"/>
        </w:rPr>
        <w:t>During fiscal 2026, we granted the following RSUs and PSUs to our NEOs:</w:t>
      </w:r>
      <w:r>
        <w:rPr>
          <w:rFonts w:ascii="Times New Roman" w:hAnsi="Times New Roman"/>
          <w:color w:val="000000"/>
          <w:sz w:val="20"/>
        </w:rPr>
        <w:t xml:space="preserve"> </w:t>
      </w:r>
    </w:p>
    <w:p>
      <w:pPr>
        <w:pStyle w:val="TextBody"/>
        <w:bidi w:val="0"/>
        <w:jc w:val="both"/>
        <w:rPr/>
      </w:pPr>
      <w:r>
        <w:rPr/>
        <w:t> </w:t>
      </w:r>
    </w:p>
    <w:tbl>
      <w:tblPr>
        <w:tblW w:w="6740" w:type="dxa"/>
        <w:jc w:val="left"/>
        <w:tblInd w:w="0" w:type="dxa"/>
        <w:tblLayout w:type="fixed"/>
        <w:tblCellMar>
          <w:top w:w="28" w:type="dxa"/>
          <w:left w:w="28" w:type="dxa"/>
          <w:bottom w:w="28" w:type="dxa"/>
          <w:right w:w="28" w:type="dxa"/>
        </w:tblCellMar>
      </w:tblPr>
      <w:tblGrid>
        <w:gridCol w:w="1866"/>
        <w:gridCol w:w="146"/>
        <w:gridCol w:w="146"/>
        <w:gridCol w:w="691"/>
        <w:gridCol w:w="146"/>
        <w:gridCol w:w="146"/>
        <w:gridCol w:w="179"/>
        <w:gridCol w:w="737"/>
        <w:gridCol w:w="146"/>
        <w:gridCol w:w="146"/>
        <w:gridCol w:w="146"/>
        <w:gridCol w:w="691"/>
        <w:gridCol w:w="146"/>
        <w:gridCol w:w="146"/>
        <w:gridCol w:w="151"/>
        <w:gridCol w:w="720"/>
        <w:gridCol w:w="391"/>
      </w:tblGrid>
      <w:tr>
        <w:trPr/>
        <w:tc>
          <w:tcPr>
            <w:tcW w:w="1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ind w:left="0" w:right="0" w:firstLine="200"/>
              <w:jc w:val="left"/>
              <w:rPr>
                <w:sz w:val="4"/>
                <w:szCs w:val="4"/>
              </w:rPr>
            </w:pPr>
            <w:r>
              <w:rPr>
                <w:sz w:val="4"/>
                <w:szCs w:val="4"/>
              </w:rPr>
            </w:r>
          </w:p>
        </w:tc>
      </w:tr>
      <w:tr>
        <w:trPr/>
        <w:tc>
          <w:tcPr>
            <w:tcW w:w="1866" w:type="dxa"/>
            <w:tcBorders>
              <w:bottom w:val="single" w:sz="18" w:space="0" w:color="0071A2"/>
            </w:tcBorders>
            <w:shd w:fill="002668" w:val="clear"/>
            <w:tcMar>
              <w:top w:w="0" w:type="dxa"/>
              <w:left w:w="0" w:type="dxa"/>
              <w:right w:w="0" w:type="dxa"/>
            </w:tcMar>
            <w:vAlign w:val="center"/>
          </w:tcPr>
          <w:p>
            <w:pPr>
              <w:pStyle w:val="TableContents"/>
              <w:bidi w:val="0"/>
              <w:spacing w:before="0" w:after="283"/>
              <w:ind w:left="0" w:right="0" w:firstLine="200"/>
              <w:jc w:val="left"/>
              <w:rPr>
                <w:rFonts w:ascii="Arial" w:hAnsi="Arial"/>
                <w:b/>
                <w:color w:val="FFFFFF"/>
                <w:sz w:val="16"/>
              </w:rPr>
            </w:pPr>
            <w:r>
              <w:rPr>
                <w:rFonts w:ascii="Arial" w:hAnsi="Arial"/>
                <w:b/>
                <w:color w:val="FFFFFF"/>
                <w:sz w:val="16"/>
              </w:rPr>
              <w:t>Name</w:t>
            </w:r>
          </w:p>
        </w:tc>
        <w:tc>
          <w:tcPr>
            <w:tcW w:w="14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rFonts w:ascii="Arial" w:hAnsi="Arial"/>
                <w:b/>
                <w:color w:val="FFFFFF"/>
                <w:sz w:val="16"/>
              </w:rPr>
            </w:pPr>
            <w:r>
              <w:rPr>
                <w:rFonts w:ascii="Arial" w:hAnsi="Arial"/>
                <w:b/>
                <w:color w:val="FFFFFF"/>
                <w:sz w:val="16"/>
              </w:rPr>
              <w:t>RSUs</w:t>
            </w:r>
          </w:p>
        </w:tc>
        <w:tc>
          <w:tcPr>
            <w:tcW w:w="14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left"/>
              <w:rPr/>
            </w:pPr>
            <w:r>
              <w:rPr/>
              <w:t> </w:t>
            </w:r>
          </w:p>
        </w:tc>
        <w:tc>
          <w:tcPr>
            <w:tcW w:w="916" w:type="dxa"/>
            <w:gridSpan w:val="2"/>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rFonts w:ascii="Arial" w:hAnsi="Arial"/>
                <w:b/>
                <w:color w:val="FFFFFF"/>
                <w:sz w:val="16"/>
              </w:rPr>
            </w:pPr>
            <w:r>
              <w:rPr>
                <w:rFonts w:ascii="Arial" w:hAnsi="Arial"/>
                <w:b/>
                <w:color w:val="FFFFFF"/>
                <w:sz w:val="16"/>
              </w:rPr>
              <w:t>PSUs at</w:t>
              <w:br/>
              <w:t>Threshold</w:t>
            </w:r>
          </w:p>
        </w:tc>
        <w:tc>
          <w:tcPr>
            <w:tcW w:w="14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rFonts w:ascii="Arial" w:hAnsi="Arial"/>
                <w:b/>
                <w:color w:val="FFFFFF"/>
                <w:sz w:val="16"/>
              </w:rPr>
            </w:pPr>
            <w:r>
              <w:rPr>
                <w:rFonts w:ascii="Arial" w:hAnsi="Arial"/>
                <w:b/>
                <w:color w:val="FFFFFF"/>
                <w:sz w:val="16"/>
              </w:rPr>
              <w:t>PSUs at</w:t>
              <w:br/>
              <w:t>Target</w:t>
            </w:r>
          </w:p>
        </w:tc>
        <w:tc>
          <w:tcPr>
            <w:tcW w:w="14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rFonts w:ascii="Arial" w:hAnsi="Arial"/>
                <w:b/>
                <w:color w:val="FFFFFF"/>
                <w:sz w:val="16"/>
              </w:rPr>
            </w:pPr>
            <w:r>
              <w:rPr>
                <w:rFonts w:ascii="Arial" w:hAnsi="Arial"/>
                <w:b/>
                <w:color w:val="FFFFFF"/>
                <w:sz w:val="16"/>
              </w:rPr>
              <w:t>PSUs at</w:t>
              <w:br/>
              <w:t>Maximum</w:t>
            </w:r>
          </w:p>
        </w:tc>
        <w:tc>
          <w:tcPr>
            <w:tcW w:w="391" w:type="dxa"/>
            <w:tcBorders>
              <w:bottom w:val="single" w:sz="18" w:space="0" w:color="0071A2"/>
            </w:tcBorders>
            <w:shd w:fill="002668"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1866" w:type="dxa"/>
            <w:tcBorders/>
            <w:shd w:fill="DCDDDE"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Mark P. Smith</w:t>
            </w:r>
          </w:p>
        </w:tc>
        <w:tc>
          <w:tcPr>
            <w:tcW w:w="146" w:type="dxa"/>
            <w:tcBorders/>
            <w:shd w:fill="DCDDD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CDDDE"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CDDDE"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147,898</w:t>
            </w:r>
          </w:p>
        </w:tc>
        <w:tc>
          <w:tcPr>
            <w:tcW w:w="146" w:type="dxa"/>
            <w:tcBorders/>
            <w:shd w:fill="DCDDD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CDDDE"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DCDDDE"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DCDDDE"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59,158</w:t>
            </w:r>
          </w:p>
        </w:tc>
        <w:tc>
          <w:tcPr>
            <w:tcW w:w="146" w:type="dxa"/>
            <w:tcBorders/>
            <w:shd w:fill="DCDDD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CDDD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CDDDE"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CDDDE"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147,897</w:t>
            </w:r>
          </w:p>
        </w:tc>
        <w:tc>
          <w:tcPr>
            <w:tcW w:w="146" w:type="dxa"/>
            <w:tcBorders/>
            <w:shd w:fill="DCDDD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CDDDE"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DCDDDE"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DCDDDE"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325,373</w:t>
            </w:r>
          </w:p>
        </w:tc>
        <w:tc>
          <w:tcPr>
            <w:tcW w:w="391" w:type="dxa"/>
            <w:tcBorders/>
            <w:shd w:fill="DCDDDE"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Deana L. McPherson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44,898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17,958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44,897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98,773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66" w:type="dxa"/>
            <w:tcBorders/>
            <w:shd w:fill="DCDDDE"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Kevin A. Maxwell</w:t>
            </w:r>
          </w:p>
        </w:tc>
        <w:tc>
          <w:tcPr>
            <w:tcW w:w="146" w:type="dxa"/>
            <w:tcBorders/>
            <w:shd w:fill="DCDDD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CDDDE"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CDDDE"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44,898</w:t>
            </w:r>
          </w:p>
        </w:tc>
        <w:tc>
          <w:tcPr>
            <w:tcW w:w="146" w:type="dxa"/>
            <w:tcBorders/>
            <w:shd w:fill="DCDDD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CDDDE"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DCDDDE"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DCDDDE"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17,958</w:t>
            </w:r>
          </w:p>
        </w:tc>
        <w:tc>
          <w:tcPr>
            <w:tcW w:w="146" w:type="dxa"/>
            <w:tcBorders/>
            <w:shd w:fill="DCDDD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CDDD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CDDDE"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CDDDE"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44,897</w:t>
            </w:r>
          </w:p>
        </w:tc>
        <w:tc>
          <w:tcPr>
            <w:tcW w:w="146" w:type="dxa"/>
            <w:tcBorders/>
            <w:shd w:fill="DCDDD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CDDDE"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DCDDDE"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DCDDDE"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98,773</w:t>
            </w:r>
          </w:p>
        </w:tc>
        <w:tc>
          <w:tcPr>
            <w:tcW w:w="391" w:type="dxa"/>
            <w:tcBorders/>
            <w:shd w:fill="DCDDDE"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6"/>
              </w:rPr>
            </w:pPr>
            <w:r>
              <w:rPr>
                <w:rFonts w:ascii="Arial" w:hAnsi="Arial"/>
                <w:color w:val="000000"/>
                <w:sz w:val="16"/>
              </w:rPr>
              <w:t xml:space="preserve">Susan J. Cupero </w:t>
            </w:r>
            <w:r>
              <w:rPr>
                <w:rFonts w:ascii="Arial" w:hAnsi="Arial"/>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66" w:type="dxa"/>
            <w:tcBorders/>
            <w:shd w:fill="DCDDDE"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6"/>
              </w:rPr>
            </w:pPr>
            <w:r>
              <w:rPr>
                <w:rFonts w:ascii="Arial" w:hAnsi="Arial"/>
                <w:color w:val="000000"/>
                <w:sz w:val="16"/>
              </w:rPr>
              <w:t xml:space="preserve">Kyle O. Tengwall </w:t>
            </w:r>
            <w:r>
              <w:rPr>
                <w:rFonts w:ascii="Arial" w:hAnsi="Arial"/>
                <w:color w:val="000000"/>
                <w:sz w:val="11"/>
              </w:rPr>
              <w:t>(2)</w:t>
            </w:r>
          </w:p>
        </w:tc>
        <w:tc>
          <w:tcPr>
            <w:tcW w:w="146" w:type="dxa"/>
            <w:tcBorders/>
            <w:shd w:fill="DCDDD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CDDDE"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CDDDE"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35,680</w:t>
            </w:r>
          </w:p>
        </w:tc>
        <w:tc>
          <w:tcPr>
            <w:tcW w:w="146" w:type="dxa"/>
            <w:tcBorders/>
            <w:shd w:fill="DCDDD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CDDDE"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DCDDDE"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DCDDDE"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CDDD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CDDD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CDDDE"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CDDDE"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CDDD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CDDDE"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DCDDDE"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DCDDDE"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DCDDDE"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66" w:type="dxa"/>
            <w:tcBorders>
              <w:bottom w:val="single" w:sz="18"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18"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gridSpan w:val="2"/>
            <w:tcBorders>
              <w:bottom w:val="single" w:sz="18"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18"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18"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18" w:space="0" w:color="0071A2"/>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rFonts w:ascii="Arial" w:hAnsi="Arial"/>
          <w:color w:val="000000"/>
          <w:sz w:val="16"/>
        </w:rPr>
      </w:pPr>
      <w:r>
        <w:rPr>
          <w:rFonts w:ascii="Arial" w:hAnsi="Arial"/>
          <w:color w:val="000000"/>
          <w:sz w:val="16"/>
        </w:rPr>
        <w:t>(1) Ms. Cupero did not receive an equity award due to her retirement from the Company on May 5, 2025.</w:t>
      </w:r>
    </w:p>
    <w:p>
      <w:pPr>
        <w:pStyle w:val="TextBody"/>
        <w:bidi w:val="0"/>
        <w:spacing w:before="40" w:after="283"/>
        <w:jc w:val="both"/>
        <w:rPr>
          <w:rFonts w:ascii="Arial" w:hAnsi="Arial"/>
          <w:color w:val="000000"/>
          <w:sz w:val="16"/>
        </w:rPr>
      </w:pPr>
      <w:r>
        <w:rPr>
          <w:rFonts w:ascii="Arial" w:hAnsi="Arial"/>
          <w:color w:val="000000"/>
          <w:sz w:val="16"/>
        </w:rPr>
        <w:t>(2) Mr. Tengwall received only RSUs since he was not an executive officer on the date on which fiscal 2026 equity awards were made.</w:t>
      </w:r>
    </w:p>
    <w:p>
      <w:pPr>
        <w:pStyle w:val="TextBody"/>
        <w:bidi w:val="0"/>
        <w:jc w:val="left"/>
        <w:rPr/>
      </w:pPr>
      <w:r>
        <w:rPr/>
        <w:t> </w:t>
      </w:r>
    </w:p>
    <w:p>
      <w:pPr>
        <w:pStyle w:val="TextBody"/>
        <w:bidi w:val="0"/>
        <w:spacing w:before="240" w:after="240"/>
        <w:jc w:val="left"/>
        <w:rPr>
          <w:rFonts w:ascii="Arial" w:hAnsi="Arial"/>
          <w:color w:val="000000"/>
          <w:sz w:val="20"/>
        </w:rPr>
      </w:pPr>
      <w:r>
        <w:rPr>
          <w:rFonts w:ascii="Arial" w:hAnsi="Arial"/>
          <w:color w:val="000000"/>
          <w:sz w:val="20"/>
        </w:rPr>
        <w:t>RSUs granted in fiscal 2026 vest one-third following each of the first, second, and third anniversaries of the grant date, in line with market practice and to provide retentive value.</w:t>
      </w:r>
    </w:p>
    <w:p>
      <w:pPr>
        <w:pStyle w:val="TextBody"/>
        <w:bidi w:val="0"/>
        <w:spacing w:before="0" w:after="240"/>
        <w:jc w:val="both"/>
        <w:rPr>
          <w:rFonts w:ascii="Arial" w:hAnsi="Arial"/>
          <w:color w:val="000000"/>
          <w:sz w:val="20"/>
        </w:rPr>
      </w:pPr>
      <w:r>
        <w:rPr>
          <w:rFonts w:ascii="Arial" w:hAnsi="Arial"/>
          <w:color w:val="000000"/>
          <w:sz w:val="20"/>
        </w:rPr>
        <w:t>PSUs granted in fiscal 2026 vest at the end of a three-year performance period, with the primary performance metric being Adjusted EBITDAS Growth, subject to a modifier (+/- 10%) based on rTSR. Adjusted EBITDAS Growth will be measured over three successive (and equally weighted) one-year periods during the performance period, with each year’s target being set at the beginning of the applicable year based on 5% Adjusted EBITDAS Growth from the prior year. Performance in each one-year period will be compared to the following payout scale:</w:t>
      </w:r>
    </w:p>
    <w:tbl>
      <w:tblPr>
        <w:tblW w:w="5507" w:type="dxa"/>
        <w:jc w:val="left"/>
        <w:tblInd w:w="0" w:type="dxa"/>
        <w:tblLayout w:type="fixed"/>
        <w:tblCellMar>
          <w:top w:w="28" w:type="dxa"/>
          <w:left w:w="28" w:type="dxa"/>
          <w:bottom w:w="28" w:type="dxa"/>
          <w:right w:w="28" w:type="dxa"/>
        </w:tblCellMar>
      </w:tblPr>
      <w:tblGrid>
        <w:gridCol w:w="2566"/>
        <w:gridCol w:w="2941"/>
      </w:tblGrid>
      <w:tr>
        <w:trPr/>
        <w:tc>
          <w:tcPr>
            <w:tcW w:w="2566" w:type="dxa"/>
            <w:tcBorders/>
            <w:vAlign w:val="center"/>
          </w:tcPr>
          <w:p>
            <w:pPr>
              <w:pStyle w:val="TableContents"/>
              <w:bidi w:val="0"/>
              <w:spacing w:before="0" w:after="283"/>
              <w:jc w:val="left"/>
              <w:rPr>
                <w:sz w:val="4"/>
                <w:szCs w:val="4"/>
              </w:rPr>
            </w:pPr>
            <w:r>
              <w:rPr>
                <w:sz w:val="4"/>
                <w:szCs w:val="4"/>
              </w:rPr>
            </w:r>
          </w:p>
        </w:tc>
        <w:tc>
          <w:tcPr>
            <w:tcW w:w="2941" w:type="dxa"/>
            <w:tcBorders/>
            <w:vAlign w:val="center"/>
          </w:tcPr>
          <w:p>
            <w:pPr>
              <w:pStyle w:val="TableContents"/>
              <w:bidi w:val="0"/>
              <w:spacing w:before="0" w:after="283"/>
              <w:jc w:val="left"/>
              <w:rPr>
                <w:sz w:val="4"/>
                <w:szCs w:val="4"/>
              </w:rPr>
            </w:pPr>
            <w:r>
              <w:rPr>
                <w:sz w:val="4"/>
                <w:szCs w:val="4"/>
              </w:rPr>
            </w:r>
          </w:p>
        </w:tc>
      </w:tr>
      <w:tr>
        <w:trPr/>
        <w:tc>
          <w:tcPr>
            <w:tcW w:w="256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rFonts w:ascii="Arial" w:hAnsi="Arial"/>
                <w:b/>
                <w:color w:val="FFFFFF"/>
                <w:sz w:val="16"/>
              </w:rPr>
            </w:pPr>
            <w:r>
              <w:rPr>
                <w:rFonts w:ascii="Arial" w:hAnsi="Arial"/>
                <w:b/>
                <w:color w:val="FFFFFF"/>
                <w:sz w:val="16"/>
              </w:rPr>
              <w:t>Adjusted EBITDAS Growth (%)</w:t>
            </w:r>
          </w:p>
        </w:tc>
        <w:tc>
          <w:tcPr>
            <w:tcW w:w="2941"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rFonts w:ascii="Arial" w:hAnsi="Arial"/>
                <w:b/>
                <w:color w:val="FFFFFF"/>
                <w:sz w:val="16"/>
              </w:rPr>
            </w:pPr>
            <w:r>
              <w:rPr>
                <w:rFonts w:ascii="Arial" w:hAnsi="Arial"/>
                <w:b/>
                <w:color w:val="FFFFFF"/>
                <w:sz w:val="16"/>
              </w:rPr>
              <w:t>Payout (% of Target Award Earned)</w:t>
            </w:r>
          </w:p>
        </w:tc>
      </w:tr>
      <w:tr>
        <w:trPr/>
        <w:tc>
          <w:tcPr>
            <w:tcW w:w="2566" w:type="dxa"/>
            <w:tcBorders/>
            <w:shd w:fill="D9D9D9"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&gt;10%</w:t>
            </w:r>
          </w:p>
        </w:tc>
        <w:tc>
          <w:tcPr>
            <w:tcW w:w="2941" w:type="dxa"/>
            <w:tcBorders/>
            <w:shd w:fill="D9D9D9"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200%</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5%</w:t>
            </w:r>
          </w:p>
        </w:tc>
        <w:tc>
          <w:tcPr>
            <w:tcW w:w="294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100%</w:t>
            </w:r>
          </w:p>
        </w:tc>
      </w:tr>
      <w:tr>
        <w:trPr/>
        <w:tc>
          <w:tcPr>
            <w:tcW w:w="2566" w:type="dxa"/>
            <w:tcBorders/>
            <w:shd w:fill="D9D9D9"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1%</w:t>
            </w:r>
          </w:p>
        </w:tc>
        <w:tc>
          <w:tcPr>
            <w:tcW w:w="2941" w:type="dxa"/>
            <w:tcBorders/>
            <w:shd w:fill="D9D9D9"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50%</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&lt;1%</w:t>
            </w:r>
          </w:p>
        </w:tc>
        <w:tc>
          <w:tcPr>
            <w:tcW w:w="294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0%</w:t>
            </w:r>
          </w:p>
        </w:tc>
      </w:tr>
      <w:tr>
        <w:trPr/>
        <w:tc>
          <w:tcPr>
            <w:tcW w:w="2566" w:type="dxa"/>
            <w:tcBorders>
              <w:bottom w:val="single" w:sz="18" w:space="0" w:color="0070A2"/>
            </w:tcBorders>
            <w:shd w:fill="FFFFFF" w:val="clear"/>
            <w:tcMar>
              <w:top w:w="0" w:type="dxa"/>
              <w:left w:w="0" w:type="dxa"/>
              <w:right w:w="0" w:type="dxa"/>
            </w:tcMar>
            <w:vAlign w:val="center"/>
          </w:tcPr>
          <w:p>
            <w:pPr>
              <w:pStyle w:val="TableContents"/>
              <w:bidi w:val="0"/>
              <w:spacing w:before="0" w:after="283"/>
              <w:jc w:val="left"/>
              <w:rPr/>
            </w:pPr>
            <w:r>
              <w:rPr/>
              <w:t> </w:t>
            </w:r>
          </w:p>
        </w:tc>
        <w:tc>
          <w:tcPr>
            <w:tcW w:w="2941" w:type="dxa"/>
            <w:tcBorders>
              <w:bottom w:val="single" w:sz="18" w:space="0" w:color="0070A2"/>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sz w:val="20"/>
        </w:rPr>
      </w:pPr>
      <w:r>
        <w:rPr>
          <w:rFonts w:ascii="Times New Roman" w:hAnsi="Times New Roman"/>
          <w:color w:val="000000"/>
          <w:sz w:val="16"/>
        </w:rPr>
        <w:t xml:space="preserve">* </w:t>
      </w:r>
      <w:r>
        <w:rPr>
          <w:rFonts w:ascii="Arial" w:hAnsi="Arial"/>
          <w:color w:val="000000"/>
          <w:sz w:val="16"/>
        </w:rPr>
        <w:t>To the extent performance falls between these goal levels, the actual percentage of the award that will vest will be interpolated on a linear basis, with the corresponding number of vested award units resulting from such determination rounded up to the next whole unit. For the avoidance of doubt, no award units will vest if performance is below 1% and any performance in excess of the maximum goal level will not result in vesting in excess of 200% of the target award.</w:t>
      </w:r>
    </w:p>
    <w:p>
      <w:pPr>
        <w:pStyle w:val="TextBody"/>
        <w:bidi w:val="0"/>
        <w:spacing w:before="120" w:after="240"/>
        <w:jc w:val="both"/>
        <w:rPr>
          <w:rFonts w:ascii="Arial" w:hAnsi="Arial"/>
          <w:color w:val="000000"/>
          <w:sz w:val="20"/>
        </w:rPr>
      </w:pPr>
      <w:r>
        <w:rPr>
          <w:rFonts w:ascii="Arial" w:hAnsi="Arial"/>
          <w:color w:val="000000"/>
          <w:sz w:val="20"/>
        </w:rPr>
        <w:t>At the end of the three-year performance period, the Compensation Committee will determine the average annual Adjusted EBITDAS Growth % and the payout (as determined in accordance with the scale above) for each of the three one-year periods during the performance period, which amount will be multiplied by a rTSR modifier, which may increase or decrease the final payout by up to 10%.</w:t>
      </w:r>
    </w:p>
    <w:p>
      <w:pPr>
        <w:pStyle w:val="TextBody"/>
        <w:bidi w:val="0"/>
        <w:spacing w:before="0" w:after="240"/>
        <w:jc w:val="both"/>
        <w:rPr>
          <w:rFonts w:ascii="Arial" w:hAnsi="Arial"/>
          <w:color w:val="000000"/>
          <w:sz w:val="20"/>
        </w:rPr>
      </w:pPr>
      <w:r>
        <w:rPr>
          <w:rFonts w:ascii="Arial" w:hAnsi="Arial"/>
          <w:color w:val="000000"/>
          <w:sz w:val="20"/>
        </w:rPr>
        <w:t>For these purposes, “Adjusted EBITDAS Growth” means the year-over-year increase in our net income as reported in the Form 10-K, adjusted to add back interest, taxes, depreciation, amortization, non-cash stock compensation expense, and any non-recurring expenses as determined by the Compensation Committee.</w:t>
      </w:r>
    </w:p>
    <w:p>
      <w:pPr>
        <w:pStyle w:val="TextBody"/>
        <w:bidi w:val="0"/>
        <w:jc w:val="left"/>
        <w:rPr/>
      </w:pPr>
      <w:r>
        <w:rPr/>
        <w:t> </w:t>
      </w:r>
    </w:p>
    <w:tbl>
      <w:tblPr>
        <w:tblW w:w="3702" w:type="dxa"/>
        <w:jc w:val="left"/>
        <w:tblInd w:w="0" w:type="dxa"/>
        <w:tblLayout w:type="fixed"/>
        <w:tblCellMar>
          <w:top w:w="28" w:type="dxa"/>
          <w:left w:w="28" w:type="dxa"/>
          <w:bottom w:w="28" w:type="dxa"/>
          <w:right w:w="28" w:type="dxa"/>
        </w:tblCellMar>
      </w:tblPr>
      <w:tblGrid>
        <w:gridCol w:w="2266"/>
        <w:gridCol w:w="1436"/>
      </w:tblGrid>
      <w:tr>
        <w:trPr/>
        <w:tc>
          <w:tcPr>
            <w:tcW w:w="2266"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2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91F2C"/>
                <w:sz w:val="18"/>
              </w:rPr>
              <w:t>25</w:t>
            </w:r>
            <w:r>
              <w:rPr>
                <w:rFonts w:ascii="Times New Roman" w:hAnsi="Times New Roman"/>
                <w:color w:val="091F2C"/>
                <w:sz w:val="18"/>
              </w:rPr>
              <w:t> </w:t>
            </w:r>
            <w:r>
              <w:rPr>
                <w:rFonts w:ascii="Arial" w:hAnsi="Arial"/>
                <w:color w:val="091F2C"/>
                <w:sz w:val="18"/>
              </w:rPr>
              <w:t>I 2026 Proxy Statement</w:t>
            </w:r>
          </w:p>
        </w:tc>
        <w:tc>
          <w:tcPr>
            <w:tcW w:w="143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828675" cy="19050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828675" cy="190500"/>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2277" w:type="dxa"/>
        <w:jc w:val="left"/>
        <w:tblInd w:w="0" w:type="dxa"/>
        <w:tblLayout w:type="fixed"/>
        <w:tblCellMar>
          <w:top w:w="28" w:type="dxa"/>
          <w:left w:w="28" w:type="dxa"/>
          <w:bottom w:w="28" w:type="dxa"/>
          <w:right w:w="28" w:type="dxa"/>
        </w:tblCellMar>
      </w:tblPr>
      <w:tblGrid>
        <w:gridCol w:w="2086"/>
        <w:gridCol w:w="191"/>
      </w:tblGrid>
      <w:tr>
        <w:trPr/>
        <w:tc>
          <w:tcPr>
            <w:tcW w:w="20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86" w:type="dxa"/>
            <w:tcBorders/>
            <w:tcMar>
              <w:top w:w="0" w:type="dxa"/>
              <w:left w:w="0" w:type="dxa"/>
              <w:bottom w:w="0" w:type="dxa"/>
              <w:right w:w="0" w:type="dxa"/>
            </w:tcMar>
            <w:vAlign w:val="center"/>
          </w:tcPr>
          <w:p>
            <w:pPr>
              <w:pStyle w:val="TableContents"/>
              <w:bidi w:val="0"/>
              <w:spacing w:before="0" w:after="283"/>
              <w:jc w:val="left"/>
              <w:rPr>
                <w:rFonts w:ascii="Arial" w:hAnsi="Arial"/>
                <w:color w:val="002668"/>
                <w:sz w:val="20"/>
              </w:rPr>
            </w:pPr>
            <w:r>
              <w:rPr>
                <w:rFonts w:ascii="Arial" w:hAnsi="Arial"/>
                <w:color w:val="002668"/>
                <w:sz w:val="20"/>
              </w:rPr>
              <w:t>Compensation Matters</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bottom w:val="single" w:sz="8" w:space="0" w:color="002668"/>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40"/>
        <w:jc w:val="both"/>
        <w:rPr>
          <w:rFonts w:ascii="Arial" w:hAnsi="Arial"/>
          <w:color w:val="000000"/>
          <w:sz w:val="20"/>
        </w:rPr>
      </w:pPr>
      <w:r>
        <w:rPr>
          <w:rFonts w:ascii="Arial" w:hAnsi="Arial"/>
          <w:color w:val="000000"/>
          <w:sz w:val="20"/>
        </w:rPr>
        <w:t>The final payout will be modified up or down by up to 10% based on the relative performance of our common stock compared with the performance of the RUT. The performance of our common stock (measured based on the average closing price of our common stock during the 90-calendar-day-period preceding approximately the third anniversary of the date of grant against the average closing price of our common stock during the 90-calendar-day-period immediately following the date of grant) will be compared to the performance of the RUT (measured based on the average closing price of the RUT during the 90-calendar-day-period preceding approximately the third anniversary of the date of grant against the average closing price of the RUT during the 90-calendar-day-period immediately following the date of grant).The modifier factor will be measured on a linear basis between points. If the performance of our common stock is 20% or greater than the RUT performance, then the final payout will be increased by 10%. If the performance of our common stock is 20% or lower than the RUT performance, then the final payout will be decreased by 10%. The final payout will be subject to a threshold (40% of the average annual Adjusted EBITDAS Growth percentage target of 5%) and a maximum (220% of the average annual Adjusted EBITDAS Growth percentage target of 5%), in each case, subject to the modifier. If there is no reduction on account of the modifier, then the threshold for these purposes will be 50% of the average annual Adjusted EBITDAS Growth percentage target of 5%. If there is no increase on account of the modifier, then the maximum for these purposes will be 200% of the average annual Adjusted EBITDAS Growth percentage target of 5%.</w:t>
      </w:r>
    </w:p>
    <w:p>
      <w:pPr>
        <w:pStyle w:val="TextBody"/>
        <w:bidi w:val="0"/>
        <w:spacing w:before="0" w:after="240"/>
        <w:jc w:val="both"/>
        <w:rPr>
          <w:rFonts w:ascii="Arial" w:hAnsi="Arial"/>
          <w:color w:val="000000"/>
          <w:sz w:val="20"/>
        </w:rPr>
      </w:pPr>
      <w:r>
        <w:rPr>
          <w:rFonts w:ascii="Arial" w:hAnsi="Arial"/>
          <w:color w:val="000000"/>
          <w:sz w:val="20"/>
        </w:rPr>
        <w:t>The underlying shares of our common stock earned, if any, relating to PSUs will be delivered as soon as practical after the end of the performance period and confirmation by the Compensation Committee of the performance achievement. The maximum number of shares that can be delivered with respect to the fiscal 2026 PSU awards is limited to a dollar value, determined as of the vesting date, of 600% of the grant date value.</w:t>
      </w:r>
    </w:p>
    <w:p>
      <w:pPr>
        <w:pStyle w:val="TextBody"/>
        <w:bidi w:val="0"/>
        <w:spacing w:before="0" w:after="240"/>
        <w:jc w:val="both"/>
        <w:rPr>
          <w:rFonts w:ascii="Arial" w:hAnsi="Arial"/>
          <w:color w:val="000000"/>
          <w:sz w:val="20"/>
        </w:rPr>
      </w:pPr>
      <w:r>
        <w:rPr>
          <w:rFonts w:ascii="Arial" w:hAnsi="Arial"/>
          <w:color w:val="000000"/>
          <w:sz w:val="20"/>
        </w:rPr>
        <w:t>Upon a change in control of the Company prior to the three-year anniversary of the date of any PSU grant, each PSU award recipient will earn a number of PSUs subject to the award in accordance with the formula described above, provided that the number of PSUs earned for the year in which the change in control occurs shall be equal to 100% of target and provided further that the “Ending Date” will be deemed to mean the date of the consummation of the change in control and the closing price of our common stock will be deemed to equal (i) the highest per share price paid for our common stock in the change in control if it involves the acquisition of common stock or (ii) the closing price of our common stock as of the date of consummation of the change in control if it does not involve the acquisition of common stock. The PSUs earned pursuant to this formula will then be converted into RSUs that will vest upon the earlier of a qualifying termination of employment or the original vesting date.</w:t>
      </w:r>
    </w:p>
    <w:p>
      <w:pPr>
        <w:pStyle w:val="TextBody"/>
        <w:bidi w:val="0"/>
        <w:jc w:val="both"/>
        <w:rPr>
          <w:rFonts w:ascii="Times New Roman" w:hAnsi="Times New Roman"/>
          <w:sz w:val="20"/>
        </w:rPr>
      </w:pPr>
      <w:r>
        <w:rPr>
          <w:rFonts w:ascii="Arial" w:hAnsi="Arial"/>
          <w:b/>
          <w:i/>
          <w:color w:val="4F81BD"/>
          <w:sz w:val="20"/>
        </w:rPr>
        <w:t>2023 PSU Payout</w:t>
      </w:r>
      <w:r>
        <w:rPr>
          <w:rFonts w:ascii="Arial" w:hAnsi="Arial"/>
          <w:color w:val="4F81BD"/>
          <w:sz w:val="20"/>
        </w:rPr>
        <w:t xml:space="preserve">. </w:t>
      </w:r>
      <w:r>
        <w:rPr>
          <w:rFonts w:ascii="Arial" w:hAnsi="Arial"/>
          <w:color w:val="000000"/>
          <w:sz w:val="20"/>
        </w:rPr>
        <w:t>The PSUs granted in fiscal 2023 to our executive officers, which had a three-year performance period that ended on May 1, 2026, were not earned because our share price did not meet the minimum performance requirements compared with the RUT. Over the three-year performance period, our share price appreciated 9% while the RUT appreciated 42%. As a result, the Compensation Committee confirmed that this underperformance resulted in the PSUs granted in fiscal 2023 not being earned. Therefore, our NEOs who received the fiscal 2023 award received none of the target shares of common stock underlying the PSUs granted in fiscal 2023. This represents the fourth year in a row that our NEOs did not receive any of the target shares of common stock for the PSU portion of the applicable stock-based awards, in each case because we failed to meet the applicable minimum share price performance requirements (our NEOs received none of such target shares for the PSU portion of the stock-based awards in 2022, 2021 and 2020).</w:t>
      </w:r>
    </w:p>
    <w:p>
      <w:pPr>
        <w:pStyle w:val="TextBody"/>
        <w:bidi w:val="0"/>
        <w:spacing w:before="120" w:after="283"/>
        <w:jc w:val="both"/>
        <w:rPr>
          <w:rFonts w:ascii="Arial" w:hAnsi="Arial"/>
          <w:color w:val="002668"/>
          <w:sz w:val="24"/>
          <w:u w:val="single"/>
        </w:rPr>
      </w:pPr>
      <w:r>
        <w:rPr>
          <w:rFonts w:ascii="Arial" w:hAnsi="Arial"/>
          <w:color w:val="002668"/>
          <w:sz w:val="24"/>
          <w:u w:val="single"/>
        </w:rPr>
        <w:t>Benefits and Perquisites</w:t>
      </w:r>
    </w:p>
    <w:p>
      <w:pPr>
        <w:pStyle w:val="TextBody"/>
        <w:bidi w:val="0"/>
        <w:jc w:val="both"/>
        <w:rPr>
          <w:rFonts w:ascii="Times New Roman" w:hAnsi="Times New Roman"/>
          <w:sz w:val="20"/>
        </w:rPr>
      </w:pPr>
      <w:r>
        <w:rPr>
          <w:rFonts w:ascii="Arial" w:hAnsi="Arial"/>
          <w:color w:val="000000"/>
          <w:sz w:val="20"/>
        </w:rPr>
        <w:t>Our executives are eligible to participate in those health, welfare, and retirement plans generally available to employees who meet applicable eligibility requirements, including our profit sharing, 401(k), employee stock purchase, and medical and disability plans. In addition, from time to time, we may provide our executive officers with other benefits and perquisites that we believe are reasonable, including severance and change-in-control benefits, car allowances, housing allowances, relocation assistance, a nonqualified supplemental deferred compensation plan, and insurance premium reimbursement.</w:t>
      </w:r>
      <w:r>
        <w:rPr>
          <w:rFonts w:ascii="Times New Roman" w:hAnsi="Times New Roman"/>
          <w:color w:val="000000"/>
          <w:sz w:val="20"/>
        </w:rPr>
        <w:t xml:space="preserve"> </w:t>
      </w:r>
    </w:p>
    <w:p>
      <w:pPr>
        <w:pStyle w:val="TextBody"/>
        <w:bidi w:val="0"/>
        <w:jc w:val="left"/>
        <w:rPr/>
      </w:pPr>
      <w:r>
        <w:rPr/>
        <w:t> </w:t>
      </w:r>
    </w:p>
    <w:tbl>
      <w:tblPr>
        <w:tblW w:w="3702" w:type="dxa"/>
        <w:jc w:val="left"/>
        <w:tblInd w:w="0" w:type="dxa"/>
        <w:tblLayout w:type="fixed"/>
        <w:tblCellMar>
          <w:top w:w="28" w:type="dxa"/>
          <w:left w:w="28" w:type="dxa"/>
          <w:bottom w:w="28" w:type="dxa"/>
          <w:right w:w="28" w:type="dxa"/>
        </w:tblCellMar>
      </w:tblPr>
      <w:tblGrid>
        <w:gridCol w:w="2266"/>
        <w:gridCol w:w="1436"/>
      </w:tblGrid>
      <w:tr>
        <w:trPr/>
        <w:tc>
          <w:tcPr>
            <w:tcW w:w="2266"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2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91F2C"/>
                <w:sz w:val="18"/>
              </w:rPr>
              <w:t>26</w:t>
            </w:r>
            <w:r>
              <w:rPr>
                <w:rFonts w:ascii="Times New Roman" w:hAnsi="Times New Roman"/>
                <w:color w:val="091F2C"/>
                <w:sz w:val="18"/>
              </w:rPr>
              <w:t> </w:t>
            </w:r>
            <w:r>
              <w:rPr>
                <w:rFonts w:ascii="Arial" w:hAnsi="Arial"/>
                <w:color w:val="091F2C"/>
                <w:sz w:val="18"/>
              </w:rPr>
              <w:t>I 2026 Proxy Statement</w:t>
            </w:r>
          </w:p>
        </w:tc>
        <w:tc>
          <w:tcPr>
            <w:tcW w:w="143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828675" cy="19050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828675" cy="190500"/>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2277" w:type="dxa"/>
        <w:jc w:val="left"/>
        <w:tblInd w:w="0" w:type="dxa"/>
        <w:tblLayout w:type="fixed"/>
        <w:tblCellMar>
          <w:top w:w="28" w:type="dxa"/>
          <w:left w:w="28" w:type="dxa"/>
          <w:bottom w:w="28" w:type="dxa"/>
          <w:right w:w="28" w:type="dxa"/>
        </w:tblCellMar>
      </w:tblPr>
      <w:tblGrid>
        <w:gridCol w:w="2086"/>
        <w:gridCol w:w="191"/>
      </w:tblGrid>
      <w:tr>
        <w:trPr/>
        <w:tc>
          <w:tcPr>
            <w:tcW w:w="20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86" w:type="dxa"/>
            <w:tcBorders/>
            <w:tcMar>
              <w:top w:w="0" w:type="dxa"/>
              <w:left w:w="0" w:type="dxa"/>
              <w:bottom w:w="0" w:type="dxa"/>
              <w:right w:w="0" w:type="dxa"/>
            </w:tcMar>
            <w:vAlign w:val="center"/>
          </w:tcPr>
          <w:p>
            <w:pPr>
              <w:pStyle w:val="TableContents"/>
              <w:bidi w:val="0"/>
              <w:spacing w:before="0" w:after="283"/>
              <w:jc w:val="left"/>
              <w:rPr>
                <w:rFonts w:ascii="Arial" w:hAnsi="Arial"/>
                <w:color w:val="002668"/>
                <w:sz w:val="20"/>
              </w:rPr>
            </w:pPr>
            <w:r>
              <w:rPr>
                <w:rFonts w:ascii="Arial" w:hAnsi="Arial"/>
                <w:color w:val="002668"/>
                <w:sz w:val="20"/>
              </w:rPr>
              <w:t>Compensation Matters</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bottom w:val="single" w:sz="8" w:space="0" w:color="002668"/>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both"/>
        <w:rPr>
          <w:rFonts w:ascii="Times New Roman" w:hAnsi="Times New Roman"/>
          <w:sz w:val="20"/>
        </w:rPr>
      </w:pPr>
      <w:r>
        <w:rPr>
          <w:rFonts w:ascii="Arial" w:hAnsi="Arial"/>
          <w:color w:val="000000"/>
          <w:sz w:val="20"/>
        </w:rPr>
        <w:t>We do not view perquisites and other personal benefits as a significant element of our executive compensation program, but we believe they can be useful in attracting, motivating, and retaining executive talent. We believe these additional benefits may assist our executives in performing their duties and provide time efficiencies in appropriate circumstances. We may provide additional benefits and perquisites to our executives in the future as an element of their overall compensation. All future practices will be approved and subject to periodic review by the Compensation Committee.</w:t>
      </w:r>
      <w:r>
        <w:rPr>
          <w:rFonts w:ascii="Times New Roman" w:hAnsi="Times New Roman"/>
          <w:color w:val="000000"/>
          <w:sz w:val="20"/>
        </w:rPr>
        <w:t xml:space="preserve"> </w:t>
      </w:r>
    </w:p>
    <w:p>
      <w:pPr>
        <w:pStyle w:val="TextBody"/>
        <w:bidi w:val="0"/>
        <w:spacing w:before="360" w:after="283"/>
        <w:jc w:val="both"/>
        <w:rPr>
          <w:rFonts w:ascii="Arial" w:hAnsi="Arial"/>
          <w:b/>
          <w:color w:val="002668"/>
          <w:sz w:val="28"/>
        </w:rPr>
      </w:pPr>
      <w:r>
        <w:rPr>
          <w:rFonts w:ascii="Arial" w:hAnsi="Arial"/>
          <w:b/>
          <w:color w:val="002668"/>
          <w:sz w:val="28"/>
        </w:rPr>
        <w:t>ADDITIONAL COMPENSATION MATTERS</w:t>
      </w:r>
    </w:p>
    <w:p>
      <w:pPr>
        <w:pStyle w:val="TextBody"/>
        <w:bidi w:val="0"/>
        <w:spacing w:before="60" w:after="283"/>
        <w:jc w:val="both"/>
        <w:rPr>
          <w:rFonts w:ascii="Arial" w:hAnsi="Arial"/>
          <w:color w:val="002668"/>
          <w:sz w:val="24"/>
          <w:u w:val="single"/>
        </w:rPr>
      </w:pPr>
      <w:r>
        <w:rPr>
          <w:rFonts w:ascii="Arial" w:hAnsi="Arial"/>
          <w:color w:val="002668"/>
          <w:sz w:val="24"/>
          <w:u w:val="single"/>
        </w:rPr>
        <w:t>Consideration of Risk in Compensation Policies</w:t>
      </w:r>
    </w:p>
    <w:p>
      <w:pPr>
        <w:pStyle w:val="TextBody"/>
        <w:bidi w:val="0"/>
        <w:spacing w:before="60" w:after="283"/>
        <w:jc w:val="both"/>
        <w:rPr>
          <w:rFonts w:ascii="Arial" w:hAnsi="Arial"/>
          <w:color w:val="000000"/>
          <w:sz w:val="20"/>
        </w:rPr>
      </w:pPr>
      <w:r>
        <w:rPr>
          <w:rFonts w:ascii="Arial" w:hAnsi="Arial"/>
          <w:color w:val="000000"/>
          <w:sz w:val="20"/>
        </w:rPr>
        <w:t>We have assessed the compensation policies and practices with respect to our employees, including our executive officers, and concluded that they do not create risks that are reasonably likely to have a material adverse effect on us.</w:t>
      </w:r>
    </w:p>
    <w:p>
      <w:pPr>
        <w:pStyle w:val="TextBody"/>
        <w:bidi w:val="0"/>
        <w:spacing w:before="240" w:after="283"/>
        <w:jc w:val="both"/>
        <w:rPr>
          <w:rFonts w:ascii="Arial" w:hAnsi="Arial"/>
          <w:color w:val="002668"/>
          <w:sz w:val="24"/>
          <w:u w:val="single"/>
        </w:rPr>
      </w:pPr>
      <w:r>
        <w:rPr>
          <w:rFonts w:ascii="Arial" w:hAnsi="Arial"/>
          <w:color w:val="002668"/>
          <w:sz w:val="24"/>
          <w:u w:val="single"/>
        </w:rPr>
        <w:t>Deductibility of Executive Compensation</w:t>
      </w:r>
    </w:p>
    <w:p>
      <w:pPr>
        <w:pStyle w:val="TextBody"/>
        <w:bidi w:val="0"/>
        <w:jc w:val="both"/>
        <w:rPr>
          <w:rFonts w:ascii="Arial" w:hAnsi="Arial"/>
          <w:color w:val="000000"/>
          <w:sz w:val="20"/>
        </w:rPr>
      </w:pPr>
      <w:r>
        <w:rPr>
          <w:rFonts w:ascii="Arial" w:hAnsi="Arial"/>
          <w:color w:val="000000"/>
          <w:sz w:val="20"/>
        </w:rPr>
        <w:t>Section 162(m) of the Code generally limits our deductibility, for federal income tax purposes, of compensation paid to each of our NEOs in excess of $1 million per person per year.</w:t>
      </w:r>
    </w:p>
    <w:p>
      <w:pPr>
        <w:pStyle w:val="TextBody"/>
        <w:bidi w:val="0"/>
        <w:spacing w:before="240" w:after="283"/>
        <w:jc w:val="both"/>
        <w:rPr>
          <w:rFonts w:ascii="Arial" w:hAnsi="Arial"/>
          <w:color w:val="002668"/>
          <w:sz w:val="24"/>
          <w:u w:val="single"/>
        </w:rPr>
      </w:pPr>
      <w:r>
        <w:rPr>
          <w:rFonts w:ascii="Arial" w:hAnsi="Arial"/>
          <w:color w:val="002668"/>
          <w:sz w:val="24"/>
          <w:u w:val="single"/>
        </w:rPr>
        <w:t>Taxation of “Parachute” Payments</w:t>
      </w:r>
    </w:p>
    <w:p>
      <w:pPr>
        <w:pStyle w:val="TextBody"/>
        <w:bidi w:val="0"/>
        <w:jc w:val="both"/>
        <w:rPr>
          <w:rFonts w:ascii="Arial" w:hAnsi="Arial"/>
          <w:color w:val="000000"/>
          <w:sz w:val="20"/>
        </w:rPr>
      </w:pPr>
      <w:r>
        <w:rPr>
          <w:rFonts w:ascii="Arial" w:hAnsi="Arial"/>
          <w:color w:val="000000"/>
          <w:sz w:val="20"/>
        </w:rPr>
        <w:t>Sections 280G and 4999 of the Code provide that executive officers and directors and certain other service providers may be subject to significant additional taxes if they receive payments or benefits in connection with a change in control of a company that exceeds certain prescribed limits and that the company (or a successor) may forfeit a deduction on the amounts subject to this additional tax. We did not provide any executive officer with a “gross-up” or other reimbursement payment for any tax liability that the executive officer might owe as a result of the application of Sections 280G and 4999 during fiscal 2026, and we have not agreed and are not otherwise obligated to provide any executive officer with such a “gross-up” or other reimbursement.</w:t>
      </w:r>
    </w:p>
    <w:p>
      <w:pPr>
        <w:pStyle w:val="TextBody"/>
        <w:bidi w:val="0"/>
        <w:spacing w:before="240" w:after="283"/>
        <w:jc w:val="both"/>
        <w:rPr>
          <w:rFonts w:ascii="Arial" w:hAnsi="Arial"/>
          <w:color w:val="002668"/>
          <w:sz w:val="24"/>
          <w:u w:val="single"/>
        </w:rPr>
      </w:pPr>
      <w:r>
        <w:rPr>
          <w:rFonts w:ascii="Arial" w:hAnsi="Arial"/>
          <w:color w:val="002668"/>
          <w:sz w:val="24"/>
          <w:u w:val="single"/>
        </w:rPr>
        <w:t>Derivative Trading and Hedging</w:t>
      </w:r>
    </w:p>
    <w:p>
      <w:pPr>
        <w:pStyle w:val="TextBody"/>
        <w:bidi w:val="0"/>
        <w:jc w:val="both"/>
        <w:rPr>
          <w:rFonts w:ascii="Arial" w:hAnsi="Arial"/>
          <w:color w:val="000000"/>
          <w:sz w:val="20"/>
        </w:rPr>
      </w:pPr>
      <w:r>
        <w:rPr>
          <w:rFonts w:ascii="Arial" w:hAnsi="Arial"/>
          <w:color w:val="000000"/>
          <w:sz w:val="20"/>
        </w:rPr>
        <w:t>See “Board and Governance Matters—Additional Governance Matters—Director and Officer Derivative Trading and Hedging.”</w:t>
      </w:r>
    </w:p>
    <w:p>
      <w:pPr>
        <w:pStyle w:val="TextBody"/>
        <w:bidi w:val="0"/>
        <w:jc w:val="both"/>
        <w:rPr/>
      </w:pPr>
      <w:r>
        <w:rPr/>
        <w:t> </w:t>
      </w:r>
    </w:p>
    <w:p>
      <w:pPr>
        <w:pStyle w:val="TextBody"/>
        <w:bidi w:val="0"/>
        <w:jc w:val="both"/>
        <w:rPr>
          <w:rFonts w:ascii="Arial" w:hAnsi="Arial"/>
          <w:color w:val="002668"/>
          <w:sz w:val="24"/>
          <w:u w:val="single"/>
        </w:rPr>
      </w:pPr>
      <w:r>
        <w:rPr>
          <w:rFonts w:ascii="Arial" w:hAnsi="Arial"/>
          <w:color w:val="002668"/>
          <w:sz w:val="24"/>
          <w:u w:val="single"/>
        </w:rPr>
        <w:t>Clawback Policy</w:t>
      </w:r>
    </w:p>
    <w:p>
      <w:pPr>
        <w:pStyle w:val="TextBody"/>
        <w:bidi w:val="0"/>
        <w:jc w:val="both"/>
        <w:rPr>
          <w:rFonts w:ascii="Times New Roman" w:hAnsi="Times New Roman"/>
          <w:sz w:val="20"/>
        </w:rPr>
      </w:pPr>
      <w:r>
        <w:rPr>
          <w:rFonts w:ascii="Arial" w:hAnsi="Arial"/>
          <w:color w:val="000000"/>
          <w:sz w:val="20"/>
        </w:rPr>
        <w:t>We maintain a compensation recovery, or clawback, policy that is intended to comply with applicable Nasdaq rules. If we are required to prepare an accounting restatement (as defined therein), then, subject to certain exceptions, we will recover reasonably promptly the amount of erroneously awarded compensation (as defined therein) received (as defined therein) by any current or former executive officer (as defined therein) during the recovery period (as defined therein). The Compensation Committee administers this policy.</w:t>
      </w:r>
      <w:r>
        <w:rPr>
          <w:rFonts w:ascii="Times New Roman" w:hAnsi="Times New Roman"/>
          <w:color w:val="000000"/>
          <w:sz w:val="20"/>
        </w:rPr>
        <w:t xml:space="preserve"> </w:t>
      </w:r>
    </w:p>
    <w:p>
      <w:pPr>
        <w:pStyle w:val="TextBody"/>
        <w:bidi w:val="0"/>
        <w:jc w:val="left"/>
        <w:rPr/>
      </w:pPr>
      <w:r>
        <w:rPr/>
        <w:t> </w:t>
      </w:r>
    </w:p>
    <w:tbl>
      <w:tblPr>
        <w:tblW w:w="3702" w:type="dxa"/>
        <w:jc w:val="left"/>
        <w:tblInd w:w="0" w:type="dxa"/>
        <w:tblLayout w:type="fixed"/>
        <w:tblCellMar>
          <w:top w:w="28" w:type="dxa"/>
          <w:left w:w="28" w:type="dxa"/>
          <w:bottom w:w="28" w:type="dxa"/>
          <w:right w:w="28" w:type="dxa"/>
        </w:tblCellMar>
      </w:tblPr>
      <w:tblGrid>
        <w:gridCol w:w="2266"/>
        <w:gridCol w:w="1436"/>
      </w:tblGrid>
      <w:tr>
        <w:trPr/>
        <w:tc>
          <w:tcPr>
            <w:tcW w:w="2266"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2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91F2C"/>
                <w:sz w:val="18"/>
              </w:rPr>
              <w:t>27</w:t>
            </w:r>
            <w:r>
              <w:rPr>
                <w:rFonts w:ascii="Times New Roman" w:hAnsi="Times New Roman"/>
                <w:color w:val="091F2C"/>
                <w:sz w:val="18"/>
              </w:rPr>
              <w:t> </w:t>
            </w:r>
            <w:r>
              <w:rPr>
                <w:rFonts w:ascii="Arial" w:hAnsi="Arial"/>
                <w:color w:val="091F2C"/>
                <w:sz w:val="18"/>
              </w:rPr>
              <w:t>I 2026 Proxy Statement</w:t>
            </w:r>
          </w:p>
        </w:tc>
        <w:tc>
          <w:tcPr>
            <w:tcW w:w="143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828675" cy="19050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828675" cy="190500"/>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2277" w:type="dxa"/>
        <w:jc w:val="left"/>
        <w:tblInd w:w="0" w:type="dxa"/>
        <w:tblLayout w:type="fixed"/>
        <w:tblCellMar>
          <w:top w:w="28" w:type="dxa"/>
          <w:left w:w="28" w:type="dxa"/>
          <w:bottom w:w="28" w:type="dxa"/>
          <w:right w:w="28" w:type="dxa"/>
        </w:tblCellMar>
      </w:tblPr>
      <w:tblGrid>
        <w:gridCol w:w="2086"/>
        <w:gridCol w:w="191"/>
      </w:tblGrid>
      <w:tr>
        <w:trPr/>
        <w:tc>
          <w:tcPr>
            <w:tcW w:w="20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86" w:type="dxa"/>
            <w:tcBorders/>
            <w:tcMar>
              <w:top w:w="0" w:type="dxa"/>
              <w:left w:w="0" w:type="dxa"/>
              <w:bottom w:w="0" w:type="dxa"/>
              <w:right w:w="0" w:type="dxa"/>
            </w:tcMar>
            <w:vAlign w:val="center"/>
          </w:tcPr>
          <w:p>
            <w:pPr>
              <w:pStyle w:val="TableContents"/>
              <w:bidi w:val="0"/>
              <w:spacing w:before="0" w:after="283"/>
              <w:jc w:val="left"/>
              <w:rPr>
                <w:rFonts w:ascii="Arial" w:hAnsi="Arial"/>
                <w:color w:val="002668"/>
                <w:sz w:val="20"/>
              </w:rPr>
            </w:pPr>
            <w:r>
              <w:rPr>
                <w:rFonts w:ascii="Arial" w:hAnsi="Arial"/>
                <w:color w:val="002668"/>
                <w:sz w:val="20"/>
              </w:rPr>
              <w:t>Compensation Matters</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bottom w:val="single" w:sz="8" w:space="0" w:color="002668"/>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both"/>
        <w:rPr>
          <w:rFonts w:ascii="Arial" w:hAnsi="Arial"/>
          <w:color w:val="002668"/>
          <w:sz w:val="24"/>
          <w:u w:val="single"/>
        </w:rPr>
      </w:pPr>
      <w:r>
        <w:rPr>
          <w:rFonts w:ascii="Arial" w:hAnsi="Arial"/>
          <w:color w:val="002668"/>
          <w:sz w:val="24"/>
          <w:u w:val="single"/>
        </w:rPr>
        <w:t>Stock Ownership and Retention Requirements</w:t>
      </w:r>
    </w:p>
    <w:p>
      <w:pPr>
        <w:pStyle w:val="TextBody"/>
        <w:bidi w:val="0"/>
        <w:jc w:val="both"/>
        <w:rPr>
          <w:rFonts w:ascii="Times New Roman" w:hAnsi="Times New Roman"/>
          <w:sz w:val="20"/>
        </w:rPr>
      </w:pPr>
      <w:r>
        <w:rPr>
          <w:rFonts w:ascii="Arial" w:hAnsi="Arial"/>
          <w:color w:val="000000"/>
          <w:sz w:val="20"/>
        </w:rPr>
        <w:t>We maintain stock ownership guidelines for our non-employee directors and executive officers. Our non-employee directors and executive officers are required to own shares of our common stock or share equivalents with a value equal to at least the lesser of the following:</w:t>
      </w:r>
      <w:r>
        <w:rPr>
          <w:rFonts w:ascii="Times New Roman" w:hAnsi="Times New Roman"/>
          <w:color w:val="000000"/>
          <w:sz w:val="20"/>
        </w:rPr>
        <w:t xml:space="preserve"> </w:t>
      </w:r>
    </w:p>
    <w:tbl>
      <w:tblPr>
        <w:tblW w:w="7532" w:type="dxa"/>
        <w:jc w:val="left"/>
        <w:tblInd w:w="0" w:type="dxa"/>
        <w:tblLayout w:type="fixed"/>
        <w:tblCellMar>
          <w:top w:w="28" w:type="dxa"/>
          <w:left w:w="28" w:type="dxa"/>
          <w:bottom w:w="28" w:type="dxa"/>
          <w:right w:w="28" w:type="dxa"/>
        </w:tblCellMar>
      </w:tblPr>
      <w:tblGrid>
        <w:gridCol w:w="2386"/>
        <w:gridCol w:w="5146"/>
      </w:tblGrid>
      <w:tr>
        <w:trPr/>
        <w:tc>
          <w:tcPr>
            <w:tcW w:w="2386" w:type="dxa"/>
            <w:tcBorders/>
            <w:vAlign w:val="center"/>
          </w:tcPr>
          <w:p>
            <w:pPr>
              <w:pStyle w:val="TableContents"/>
              <w:bidi w:val="0"/>
              <w:spacing w:before="0" w:after="283"/>
              <w:jc w:val="left"/>
              <w:rPr>
                <w:sz w:val="4"/>
                <w:szCs w:val="4"/>
              </w:rPr>
            </w:pPr>
            <w:r>
              <w:rPr>
                <w:sz w:val="4"/>
                <w:szCs w:val="4"/>
              </w:rPr>
            </w:r>
          </w:p>
        </w:tc>
        <w:tc>
          <w:tcPr>
            <w:tcW w:w="5146" w:type="dxa"/>
            <w:tcBorders/>
            <w:vAlign w:val="center"/>
          </w:tcPr>
          <w:p>
            <w:pPr>
              <w:pStyle w:val="TableContents"/>
              <w:bidi w:val="0"/>
              <w:spacing w:before="0" w:after="283"/>
              <w:jc w:val="left"/>
              <w:rPr>
                <w:sz w:val="4"/>
                <w:szCs w:val="4"/>
              </w:rPr>
            </w:pPr>
            <w:r>
              <w:rPr>
                <w:sz w:val="4"/>
                <w:szCs w:val="4"/>
              </w:rPr>
            </w:r>
          </w:p>
        </w:tc>
      </w:tr>
      <w:tr>
        <w:trPr/>
        <w:tc>
          <w:tcPr>
            <w:tcW w:w="2386" w:type="dxa"/>
            <w:tcBorders/>
            <w:shd w:fill="002668" w:val="clear"/>
            <w:tcMar>
              <w:top w:w="0" w:type="dxa"/>
              <w:left w:w="0" w:type="dxa"/>
              <w:bottom w:w="0" w:type="dxa"/>
              <w:right w:w="0" w:type="dxa"/>
            </w:tcMar>
            <w:vAlign w:val="center"/>
          </w:tcPr>
          <w:p>
            <w:pPr>
              <w:pStyle w:val="TableContents"/>
              <w:bidi w:val="0"/>
              <w:spacing w:before="0" w:after="283"/>
              <w:jc w:val="both"/>
              <w:rPr>
                <w:color w:val="FFFFFF"/>
              </w:rPr>
            </w:pPr>
            <w:r>
              <w:rPr>
                <w:color w:val="FFFFFF"/>
              </w:rPr>
              <w:t>  </w:t>
            </w:r>
            <w:r>
              <w:rPr>
                <w:rFonts w:ascii="Arial" w:hAnsi="Arial"/>
                <w:b/>
                <w:color w:val="FFFFFF"/>
                <w:sz w:val="18"/>
              </w:rPr>
              <w:t>Position</w:t>
            </w:r>
          </w:p>
        </w:tc>
        <w:tc>
          <w:tcPr>
            <w:tcW w:w="5146" w:type="dxa"/>
            <w:tcBorders/>
            <w:shd w:fill="002668" w:val="clear"/>
            <w:tcMar>
              <w:top w:w="0" w:type="dxa"/>
              <w:left w:w="0" w:type="dxa"/>
              <w:bottom w:w="0" w:type="dxa"/>
              <w:right w:w="0" w:type="dxa"/>
            </w:tcMar>
            <w:vAlign w:val="center"/>
          </w:tcPr>
          <w:p>
            <w:pPr>
              <w:pStyle w:val="TableContents"/>
              <w:bidi w:val="0"/>
              <w:spacing w:before="0" w:after="283"/>
              <w:ind w:left="0" w:right="0" w:firstLine="90"/>
              <w:jc w:val="both"/>
              <w:rPr>
                <w:rFonts w:ascii="Arial" w:hAnsi="Arial"/>
                <w:b/>
                <w:color w:val="FFFFFF"/>
                <w:sz w:val="18"/>
              </w:rPr>
            </w:pPr>
            <w:r>
              <w:rPr>
                <w:rFonts w:ascii="Arial" w:hAnsi="Arial"/>
                <w:b/>
                <w:color w:val="FFFFFF"/>
                <w:sz w:val="18"/>
              </w:rPr>
              <w:t>Target Ownership</w:t>
            </w:r>
          </w:p>
        </w:tc>
      </w:tr>
      <w:tr>
        <w:trPr/>
        <w:tc>
          <w:tcPr>
            <w:tcW w:w="2386" w:type="dxa"/>
            <w:tcBorders/>
            <w:shd w:fill="DCDDDE" w:val="clear"/>
            <w:tcMar>
              <w:top w:w="0" w:type="dxa"/>
              <w:left w:w="0" w:type="dxa"/>
              <w:bottom w:w="0" w:type="dxa"/>
              <w:right w:w="0" w:type="dxa"/>
            </w:tcMar>
            <w:vAlign w:val="center"/>
          </w:tcPr>
          <w:p>
            <w:pPr>
              <w:pStyle w:val="TableContents"/>
              <w:bidi w:val="0"/>
              <w:spacing w:before="60" w:after="60"/>
              <w:ind w:left="0" w:right="0" w:firstLine="90"/>
              <w:jc w:val="both"/>
              <w:rPr>
                <w:rFonts w:ascii="Times New Roman" w:hAnsi="Times New Roman"/>
                <w:sz w:val="18"/>
              </w:rPr>
            </w:pPr>
            <w:r>
              <w:rPr>
                <w:rFonts w:ascii="Arial" w:hAnsi="Arial"/>
                <w:color w:val="000000"/>
                <w:sz w:val="18"/>
              </w:rPr>
              <w:t>Non-Employee Directors</w:t>
            </w:r>
            <w:r>
              <w:rPr>
                <w:rFonts w:ascii="Times New Roman" w:hAnsi="Times New Roman"/>
                <w:color w:val="000000"/>
                <w:sz w:val="18"/>
              </w:rPr>
              <w:t xml:space="preserve"> </w:t>
            </w:r>
          </w:p>
        </w:tc>
        <w:tc>
          <w:tcPr>
            <w:tcW w:w="5146" w:type="dxa"/>
            <w:tcBorders/>
            <w:shd w:fill="DCDDDE" w:val="clear"/>
            <w:tcMar>
              <w:top w:w="0" w:type="dxa"/>
              <w:left w:w="0" w:type="dxa"/>
              <w:bottom w:w="0" w:type="dxa"/>
              <w:right w:w="0" w:type="dxa"/>
            </w:tcMar>
            <w:vAlign w:val="center"/>
          </w:tcPr>
          <w:p>
            <w:pPr>
              <w:pStyle w:val="TableContents"/>
              <w:bidi w:val="0"/>
              <w:spacing w:before="40" w:after="40"/>
              <w:ind w:left="0" w:right="0" w:firstLine="270"/>
              <w:jc w:val="both"/>
              <w:rPr>
                <w:rFonts w:ascii="Arial" w:hAnsi="Arial"/>
                <w:color w:val="000000"/>
                <w:sz w:val="20"/>
              </w:rPr>
            </w:pPr>
            <w:r>
              <w:rPr>
                <w:rFonts w:ascii="Arial" w:hAnsi="Arial"/>
                <w:color w:val="000000"/>
                <w:sz w:val="20"/>
              </w:rPr>
              <w:t>3x cash retainer or 21,000 shares or share equivalents</w:t>
            </w:r>
          </w:p>
        </w:tc>
      </w:tr>
      <w:tr>
        <w:trPr/>
        <w:tc>
          <w:tcPr>
            <w:tcW w:w="2386" w:type="dxa"/>
            <w:tcBorders/>
            <w:tcMar>
              <w:top w:w="0" w:type="dxa"/>
              <w:left w:w="0" w:type="dxa"/>
              <w:bottom w:w="0" w:type="dxa"/>
              <w:right w:w="0" w:type="dxa"/>
            </w:tcMar>
            <w:vAlign w:val="center"/>
          </w:tcPr>
          <w:p>
            <w:pPr>
              <w:pStyle w:val="TableContents"/>
              <w:bidi w:val="0"/>
              <w:spacing w:before="60" w:after="60"/>
              <w:ind w:left="0" w:right="0" w:firstLine="270"/>
              <w:jc w:val="both"/>
              <w:rPr>
                <w:rFonts w:ascii="Times New Roman" w:hAnsi="Times New Roman"/>
                <w:sz w:val="18"/>
              </w:rPr>
            </w:pPr>
            <w:r>
              <w:rPr>
                <w:rFonts w:ascii="Arial" w:hAnsi="Arial"/>
                <w:color w:val="000000"/>
                <w:sz w:val="18"/>
              </w:rPr>
              <w:t>CEO</w:t>
            </w:r>
            <w:r>
              <w:rPr>
                <w:rFonts w:ascii="Times New Roman" w:hAnsi="Times New Roman"/>
                <w:color w:val="000000"/>
                <w:sz w:val="18"/>
              </w:rPr>
              <w:t xml:space="preserve"> </w:t>
            </w:r>
          </w:p>
        </w:tc>
        <w:tc>
          <w:tcPr>
            <w:tcW w:w="5146" w:type="dxa"/>
            <w:tcBorders/>
            <w:tcMar>
              <w:top w:w="0" w:type="dxa"/>
              <w:left w:w="0" w:type="dxa"/>
              <w:bottom w:w="0" w:type="dxa"/>
              <w:right w:w="0" w:type="dxa"/>
            </w:tcMar>
            <w:vAlign w:val="center"/>
          </w:tcPr>
          <w:p>
            <w:pPr>
              <w:pStyle w:val="TableContents"/>
              <w:bidi w:val="0"/>
              <w:spacing w:before="40" w:after="40"/>
              <w:ind w:left="0" w:right="0" w:firstLine="270"/>
              <w:jc w:val="both"/>
              <w:rPr>
                <w:rFonts w:ascii="Arial" w:hAnsi="Arial"/>
                <w:color w:val="000000"/>
                <w:sz w:val="20"/>
              </w:rPr>
            </w:pPr>
            <w:r>
              <w:rPr>
                <w:rFonts w:ascii="Arial" w:hAnsi="Arial"/>
                <w:color w:val="000000"/>
                <w:sz w:val="20"/>
              </w:rPr>
              <w:t>3x base salary or 161,000 shares or share equivalents</w:t>
            </w:r>
          </w:p>
        </w:tc>
      </w:tr>
      <w:tr>
        <w:trPr/>
        <w:tc>
          <w:tcPr>
            <w:tcW w:w="2386" w:type="dxa"/>
            <w:tcBorders/>
            <w:shd w:fill="DCDDDE" w:val="clear"/>
            <w:tcMar>
              <w:top w:w="0" w:type="dxa"/>
              <w:left w:w="0" w:type="dxa"/>
              <w:bottom w:w="0" w:type="dxa"/>
              <w:right w:w="0" w:type="dxa"/>
            </w:tcMar>
            <w:vAlign w:val="center"/>
          </w:tcPr>
          <w:p>
            <w:pPr>
              <w:pStyle w:val="TableContents"/>
              <w:bidi w:val="0"/>
              <w:spacing w:before="60" w:after="60"/>
              <w:ind w:left="0" w:right="0" w:firstLine="270"/>
              <w:jc w:val="both"/>
              <w:rPr>
                <w:rFonts w:ascii="Times New Roman" w:hAnsi="Times New Roman"/>
                <w:sz w:val="18"/>
              </w:rPr>
            </w:pPr>
            <w:r>
              <w:rPr>
                <w:rFonts w:ascii="Arial" w:hAnsi="Arial"/>
                <w:color w:val="000000"/>
                <w:sz w:val="18"/>
              </w:rPr>
              <w:t>CFO</w:t>
            </w:r>
            <w:r>
              <w:rPr>
                <w:rFonts w:ascii="Times New Roman" w:hAnsi="Times New Roman"/>
                <w:color w:val="000000"/>
                <w:sz w:val="18"/>
              </w:rPr>
              <w:t xml:space="preserve"> </w:t>
            </w:r>
          </w:p>
        </w:tc>
        <w:tc>
          <w:tcPr>
            <w:tcW w:w="5146" w:type="dxa"/>
            <w:tcBorders/>
            <w:shd w:fill="DCDDDE" w:val="clear"/>
            <w:tcMar>
              <w:top w:w="0" w:type="dxa"/>
              <w:left w:w="0" w:type="dxa"/>
              <w:bottom w:w="0" w:type="dxa"/>
              <w:right w:w="0" w:type="dxa"/>
            </w:tcMar>
            <w:vAlign w:val="center"/>
          </w:tcPr>
          <w:p>
            <w:pPr>
              <w:pStyle w:val="TableContents"/>
              <w:bidi w:val="0"/>
              <w:spacing w:before="40" w:after="40"/>
              <w:ind w:left="0" w:right="0" w:firstLine="270"/>
              <w:jc w:val="both"/>
              <w:rPr>
                <w:rFonts w:ascii="Arial" w:hAnsi="Arial"/>
                <w:color w:val="000000"/>
                <w:sz w:val="20"/>
              </w:rPr>
            </w:pPr>
            <w:r>
              <w:rPr>
                <w:rFonts w:ascii="Arial" w:hAnsi="Arial"/>
                <w:color w:val="000000"/>
                <w:sz w:val="20"/>
              </w:rPr>
              <w:t>2x base salary or 34,000 shares or share equivalents</w:t>
            </w:r>
          </w:p>
        </w:tc>
      </w:tr>
      <w:tr>
        <w:trPr/>
        <w:tc>
          <w:tcPr>
            <w:tcW w:w="2386" w:type="dxa"/>
            <w:tcBorders>
              <w:bottom w:val="single" w:sz="4" w:space="0" w:color="4F81BD"/>
            </w:tcBorders>
            <w:tcMar>
              <w:top w:w="0" w:type="dxa"/>
              <w:left w:w="0" w:type="dxa"/>
              <w:right w:w="0" w:type="dxa"/>
            </w:tcMar>
            <w:vAlign w:val="center"/>
          </w:tcPr>
          <w:p>
            <w:pPr>
              <w:pStyle w:val="TableContents"/>
              <w:bidi w:val="0"/>
              <w:spacing w:before="60" w:after="60"/>
              <w:ind w:left="0" w:right="0" w:firstLine="270"/>
              <w:jc w:val="both"/>
              <w:rPr>
                <w:rFonts w:ascii="Times New Roman" w:hAnsi="Times New Roman"/>
                <w:sz w:val="18"/>
              </w:rPr>
            </w:pPr>
            <w:r>
              <w:rPr>
                <w:rFonts w:ascii="Arial" w:hAnsi="Arial"/>
                <w:color w:val="000000"/>
                <w:sz w:val="18"/>
              </w:rPr>
              <w:t>Other Executive Officers</w:t>
            </w:r>
            <w:r>
              <w:rPr>
                <w:rFonts w:ascii="Times New Roman" w:hAnsi="Times New Roman"/>
                <w:color w:val="000000"/>
                <w:sz w:val="18"/>
              </w:rPr>
              <w:t xml:space="preserve"> </w:t>
            </w:r>
          </w:p>
        </w:tc>
        <w:tc>
          <w:tcPr>
            <w:tcW w:w="5146" w:type="dxa"/>
            <w:tcBorders>
              <w:bottom w:val="single" w:sz="4" w:space="0" w:color="4F81BD"/>
            </w:tcBorders>
            <w:tcMar>
              <w:top w:w="0" w:type="dxa"/>
              <w:left w:w="0" w:type="dxa"/>
              <w:right w:w="0" w:type="dxa"/>
            </w:tcMar>
            <w:vAlign w:val="center"/>
          </w:tcPr>
          <w:p>
            <w:pPr>
              <w:pStyle w:val="TableContents"/>
              <w:bidi w:val="0"/>
              <w:spacing w:before="40" w:after="40"/>
              <w:jc w:val="both"/>
              <w:rPr>
                <w:rFonts w:ascii="Arial" w:hAnsi="Arial"/>
                <w:color w:val="000000"/>
                <w:sz w:val="20"/>
              </w:rPr>
            </w:pPr>
            <w:r>
              <w:rPr>
                <w:rFonts w:ascii="Arial" w:hAnsi="Arial"/>
                <w:color w:val="000000"/>
                <w:sz w:val="20"/>
              </w:rPr>
              <w:t>2x base salary or 26,000 shares or share equivalents</w:t>
            </w:r>
          </w:p>
        </w:tc>
      </w:tr>
    </w:tbl>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Each individual has five years from the date of his or her appointment as a director or an executive officer to achieve the required ownership levels. For these purposes, stock ownership generally includes shares directly owned by the individual (including any shares over which the individual has sole ownership, voting, or investment power); shares owned by the individual’s minor children and spouse and by other related individuals and entities over whose shares the individual has custody, voting control, or power of disposition; shares underlying RSUs that have vested and are deliverable or will be vested and deliverable within 60 days; shares underlying PSUs that have vested, but are not deliverable within 60 days if the performance requirements have been satisfied; and shares held in trust for the benefit of the individual. Failure to satisfy the required ownership level may result in the ineligibility of the individual to receive stock-based compensation, in the case of an executive officer or director, or inability to be a nominee for election to the Board, in the case of a director.</w:t>
      </w:r>
    </w:p>
    <w:p>
      <w:pPr>
        <w:pStyle w:val="TextBody"/>
        <w:bidi w:val="0"/>
        <w:spacing w:before="120" w:after="283"/>
        <w:jc w:val="both"/>
        <w:rPr>
          <w:rFonts w:ascii="Arial" w:hAnsi="Arial"/>
          <w:color w:val="002668"/>
          <w:sz w:val="24"/>
          <w:u w:val="single"/>
        </w:rPr>
      </w:pPr>
      <w:r>
        <w:rPr>
          <w:rFonts w:ascii="Arial" w:hAnsi="Arial"/>
          <w:color w:val="002668"/>
          <w:sz w:val="24"/>
          <w:u w:val="single"/>
        </w:rPr>
        <w:t>Employment and Other Agreements</w:t>
      </w:r>
    </w:p>
    <w:p>
      <w:pPr>
        <w:pStyle w:val="TextBody"/>
        <w:bidi w:val="0"/>
        <w:spacing w:before="120" w:after="283"/>
        <w:jc w:val="left"/>
        <w:rPr>
          <w:rFonts w:ascii="Times New Roman" w:hAnsi="Times New Roman"/>
          <w:sz w:val="20"/>
        </w:rPr>
      </w:pPr>
      <w:r>
        <w:rPr>
          <w:rFonts w:ascii="Arial" w:hAnsi="Arial"/>
          <w:b/>
          <w:i/>
          <w:color w:val="4F81BD"/>
          <w:sz w:val="20"/>
        </w:rPr>
        <w:t>Employment Agreements</w:t>
      </w:r>
      <w:r>
        <w:rPr>
          <w:rFonts w:ascii="Arial" w:hAnsi="Arial"/>
          <w:color w:val="4F81BD"/>
          <w:sz w:val="20"/>
        </w:rPr>
        <w:t xml:space="preserve">. </w:t>
      </w:r>
      <w:r>
        <w:rPr>
          <w:rFonts w:ascii="Arial" w:hAnsi="Arial"/>
          <w:color w:val="000000"/>
          <w:sz w:val="20"/>
        </w:rPr>
        <w:t>We do not maintain employment agreements with any of our NEOs, except Mr. Smith.</w:t>
      </w:r>
    </w:p>
    <w:p>
      <w:pPr>
        <w:pStyle w:val="TextBody"/>
        <w:bidi w:val="0"/>
        <w:spacing w:before="120" w:after="283"/>
        <w:jc w:val="both"/>
        <w:rPr>
          <w:rFonts w:ascii="Arial" w:hAnsi="Arial"/>
          <w:color w:val="000000"/>
          <w:sz w:val="20"/>
        </w:rPr>
      </w:pPr>
      <w:r>
        <w:rPr>
          <w:rFonts w:ascii="Arial" w:hAnsi="Arial"/>
          <w:color w:val="000000"/>
          <w:sz w:val="20"/>
        </w:rPr>
        <w:t>On April 4, 2020, we entered into an employment agreement with Mr. Smith, which was subsequently amended and restated effective June 18, 2025. Under the amended and restated employment agreement, Mr. Smith is (a) entitled to an annual base salary that is subject to annual review by the Board or a designated committee of the Board and (b) eligible to participate in our executive compensation programs, to receive a discretionary annual cash bonus under our annual cash incentive program, and to receive annual and periodic stock-based compensation awards as determined by the Board or a designated committee of the Board. Mr. Smith is entitled to receive other standard benefits, including a car allowance of $1,500 per month; participation in any group health insurance, pension, retirement, vacation, expense reimbursement, relocation program, and other plans, programs, and benefits approved by the Board and made available from time to time to our other executives; and certain insurance benefits.</w:t>
      </w:r>
    </w:p>
    <w:p>
      <w:pPr>
        <w:pStyle w:val="TextBody"/>
        <w:bidi w:val="0"/>
        <w:spacing w:before="120" w:after="283"/>
        <w:jc w:val="both"/>
        <w:rPr>
          <w:rFonts w:ascii="Times New Roman" w:hAnsi="Times New Roman"/>
          <w:sz w:val="20"/>
        </w:rPr>
      </w:pPr>
      <w:r>
        <w:rPr>
          <w:rFonts w:ascii="Arial" w:hAnsi="Arial"/>
          <w:color w:val="000000"/>
          <w:sz w:val="20"/>
        </w:rPr>
        <w:t>If we unilaterally terminate Mr. Smith’s employment without cause, he will receive (i) his base salary for 18 months after the termination; (ii) a pro rata portion of his annual cash bonus for the fiscal year in which the termination occurs to the extent earned under the then-applicable executive annual cash incentive program; (iii) a car allowance for 18 months after termination; (iv) at our option, either (x) coverage under our medical plan to the extent provided for him pursuant to his employment agreement at termination, such benefits to be received for 18 months thereafter or (y) reimbursement for the COBRA premium for such coverage through the earlier of the 18-month period or the COBRA eligibility period; and (v) a vested pro rata portion of stock-based awards scheduled to vest in the fiscal year of the termination.</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If Mr. Smith’s employment is terminated by reason of his unilateral decision, or if Mr. Smith engages in an act or acts involving a crime, moral turpitude, fraud or dishonesty, or he willfully violates in a material respect the Guidelines, the Code of Conduct and Ethics, or the Code of Ethics for CEO and Senior Financial Officers, he will receive no further base compensation under his employment agreement.</w:t>
      </w:r>
      <w:r>
        <w:rPr>
          <w:rFonts w:ascii="Times New Roman" w:hAnsi="Times New Roman"/>
          <w:color w:val="000000"/>
          <w:sz w:val="20"/>
        </w:rPr>
        <w:t xml:space="preserve"> </w:t>
      </w:r>
    </w:p>
    <w:p>
      <w:pPr>
        <w:pStyle w:val="TextBody"/>
        <w:bidi w:val="0"/>
        <w:jc w:val="left"/>
        <w:rPr/>
      </w:pPr>
      <w:r>
        <w:rPr/>
        <w:t> </w:t>
      </w:r>
    </w:p>
    <w:tbl>
      <w:tblPr>
        <w:tblW w:w="3702" w:type="dxa"/>
        <w:jc w:val="left"/>
        <w:tblInd w:w="0" w:type="dxa"/>
        <w:tblLayout w:type="fixed"/>
        <w:tblCellMar>
          <w:top w:w="28" w:type="dxa"/>
          <w:left w:w="28" w:type="dxa"/>
          <w:bottom w:w="28" w:type="dxa"/>
          <w:right w:w="28" w:type="dxa"/>
        </w:tblCellMar>
      </w:tblPr>
      <w:tblGrid>
        <w:gridCol w:w="2266"/>
        <w:gridCol w:w="1436"/>
      </w:tblGrid>
      <w:tr>
        <w:trPr/>
        <w:tc>
          <w:tcPr>
            <w:tcW w:w="2266"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2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91F2C"/>
                <w:sz w:val="18"/>
              </w:rPr>
              <w:t>28</w:t>
            </w:r>
            <w:r>
              <w:rPr>
                <w:rFonts w:ascii="Times New Roman" w:hAnsi="Times New Roman"/>
                <w:color w:val="091F2C"/>
                <w:sz w:val="18"/>
              </w:rPr>
              <w:t> </w:t>
            </w:r>
            <w:r>
              <w:rPr>
                <w:rFonts w:ascii="Arial" w:hAnsi="Arial"/>
                <w:color w:val="091F2C"/>
                <w:sz w:val="18"/>
              </w:rPr>
              <w:t>I 2026 Proxy Statement</w:t>
            </w:r>
          </w:p>
        </w:tc>
        <w:tc>
          <w:tcPr>
            <w:tcW w:w="143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828675" cy="190500"/>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828675" cy="190500"/>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2277" w:type="dxa"/>
        <w:jc w:val="left"/>
        <w:tblInd w:w="0" w:type="dxa"/>
        <w:tblLayout w:type="fixed"/>
        <w:tblCellMar>
          <w:top w:w="28" w:type="dxa"/>
          <w:left w:w="28" w:type="dxa"/>
          <w:bottom w:w="28" w:type="dxa"/>
          <w:right w:w="28" w:type="dxa"/>
        </w:tblCellMar>
      </w:tblPr>
      <w:tblGrid>
        <w:gridCol w:w="2086"/>
        <w:gridCol w:w="191"/>
      </w:tblGrid>
      <w:tr>
        <w:trPr/>
        <w:tc>
          <w:tcPr>
            <w:tcW w:w="20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86" w:type="dxa"/>
            <w:tcBorders/>
            <w:tcMar>
              <w:top w:w="0" w:type="dxa"/>
              <w:left w:w="0" w:type="dxa"/>
              <w:bottom w:w="0" w:type="dxa"/>
              <w:right w:w="0" w:type="dxa"/>
            </w:tcMar>
            <w:vAlign w:val="center"/>
          </w:tcPr>
          <w:p>
            <w:pPr>
              <w:pStyle w:val="TableContents"/>
              <w:bidi w:val="0"/>
              <w:spacing w:before="0" w:after="283"/>
              <w:jc w:val="left"/>
              <w:rPr>
                <w:rFonts w:ascii="Arial" w:hAnsi="Arial"/>
                <w:color w:val="002668"/>
                <w:sz w:val="20"/>
              </w:rPr>
            </w:pPr>
            <w:r>
              <w:rPr>
                <w:rFonts w:ascii="Arial" w:hAnsi="Arial"/>
                <w:color w:val="002668"/>
                <w:sz w:val="20"/>
              </w:rPr>
              <w:t>Compensation Matters</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bottom w:val="single" w:sz="8" w:space="0" w:color="002668"/>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both"/>
        <w:rPr>
          <w:rFonts w:ascii="Times New Roman" w:hAnsi="Times New Roman"/>
          <w:sz w:val="20"/>
        </w:rPr>
      </w:pPr>
      <w:r>
        <w:rPr>
          <w:rFonts w:ascii="Arial" w:hAnsi="Arial"/>
          <w:color w:val="000000"/>
          <w:sz w:val="20"/>
        </w:rPr>
        <w:t>If Mr. Smith’s employment is terminated by reason of his death or disability, he will receive, for the fiscal year of the notice of termination, any earned bonus, on a pro-rated basis, based on the performance goals actually achieved for the fiscal year of the notice of termination, as determined in the sole discretion of the Board, at the time such bonuses are paid to our other employees.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The agreement provides that, in the event of a change in control (as defined therein), Mr. Smith may, at his option and upon written notice to us, terminate his employment, unless (i) the provisions of his employment agreement remain in full force and effect and (ii) he suffers no reduction in his status, duties, authority, or compensation following the change in control, provided that he will be considered to suffer a reduction in his status, duties, or authority if, after the change in control, (a) he is not the CEO of the Company that succeeds to our business; (b) such company’s stock is not listed on a national stock exchange; or (c) such company terminates his employment or reduces his status, duties, authority, or compensation within 24 months of the change in control. If, within two years of a change of control, Mr. Smith terminates his employment because of the change in control following which the employment agreement does not remain in full force and effect or his status, duties, authority, or compensation have been reduced, or such company terminates Mr. Smith, he will receive (A) his base salary for 24 months; (B) a lump sum equal to two times his cash bonus deemed payable at target; (C) his car allowance for 24 months; and (D) at our option, either (x) coverage under our medical plan to the extent provided for him at the date of termination for 24 months or (y) reimbursement for the COBRA premium for such coverage through the earlier of such 24-month period or the COBRA eligibility period. In addition, all unvested stock-based compensation held by Mr. Smith in his capacity as an employee on the effective date of the termination will vest as of the effective date of such termination.</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Payments and benefits payable to Mr. Smith upon termination are subject to his execution of the Company's standard release of claims, as provided in his amended and restated agreement.</w:t>
      </w:r>
    </w:p>
    <w:p>
      <w:pPr>
        <w:pStyle w:val="TextBody"/>
        <w:bidi w:val="0"/>
        <w:spacing w:before="240" w:after="283"/>
        <w:jc w:val="both"/>
        <w:rPr>
          <w:rFonts w:ascii="Times New Roman" w:hAnsi="Times New Roman"/>
          <w:sz w:val="20"/>
        </w:rPr>
      </w:pPr>
      <w:r>
        <w:rPr>
          <w:rFonts w:ascii="Arial" w:hAnsi="Arial"/>
          <w:color w:val="000000"/>
          <w:sz w:val="20"/>
        </w:rPr>
        <w:t>The employment agreement includes non-competition and non-solicitation provisions that apply for 18 months following termination.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4F81BD"/>
          <w:sz w:val="20"/>
        </w:rPr>
        <w:t>Other Agreements</w:t>
      </w:r>
      <w:r>
        <w:rPr>
          <w:rFonts w:ascii="Arial" w:hAnsi="Arial"/>
          <w:color w:val="000000"/>
          <w:sz w:val="20"/>
        </w:rPr>
        <w:t>. On April 28, 2025, we entered into an agreement and release with Ms. Cupero outlining the terms of her separation from the Company. Under the terms of the agreement, among other things, (i) Ms. Cupero will continue to receive her regular base salary through April 30, 2027 and her car allowance through April 30, 2026; (ii) certain outstanding RSUs that were scheduled to vest in May 2026 became immediately vested; and (iii) Ms. Cupero received a lump net sum payment of $21,683.86 to be used for supplemental coverage under Medicare.</w:t>
      </w:r>
    </w:p>
    <w:p>
      <w:pPr>
        <w:pStyle w:val="TextBody"/>
        <w:bidi w:val="0"/>
        <w:spacing w:before="240" w:after="283"/>
        <w:jc w:val="both"/>
        <w:rPr>
          <w:rFonts w:ascii="Arial" w:hAnsi="Arial"/>
          <w:color w:val="002668"/>
          <w:sz w:val="24"/>
          <w:u w:val="single"/>
        </w:rPr>
      </w:pPr>
      <w:r>
        <w:rPr>
          <w:rFonts w:ascii="Arial" w:hAnsi="Arial"/>
          <w:color w:val="002668"/>
          <w:sz w:val="24"/>
          <w:u w:val="single"/>
        </w:rPr>
        <w:t>Severance Plan Benefits</w:t>
      </w:r>
    </w:p>
    <w:p>
      <w:pPr>
        <w:pStyle w:val="TextBody"/>
        <w:bidi w:val="0"/>
        <w:jc w:val="both"/>
        <w:rPr>
          <w:rFonts w:ascii="Times New Roman" w:hAnsi="Times New Roman"/>
          <w:sz w:val="20"/>
        </w:rPr>
      </w:pPr>
      <w:r>
        <w:rPr>
          <w:rFonts w:ascii="Arial" w:hAnsi="Arial"/>
          <w:color w:val="000000"/>
          <w:sz w:val="20"/>
        </w:rPr>
        <w:t>The Smith &amp; Wesson Brands, Inc. Executive Severance Pay Plan (the “Executive Severance Plan”) is intended to provide severance pay to certain eligible executives whose employment is terminated under certain circumstances. All of our NEOs participated in the Executive Severance Plan during fiscal 2026, except Mr. Smith, whose severance eligibility is covered under other agreements.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A participating executive will be entitled to the severance benefits described in the Executive Severance Plan only if he or she (i) is terminated without good cause (as defined therein), (ii) resigns for good reason (as defined therein), (iii) is terminated without good cause under certain circumstances incident to a change in control (as defined therein) or (iv) resigns following an adverse change-in-control effect (as defined therein). In the case of a termination related to (i) or (ii), the participating executive would be entitled to receive base salary continuation for up to 18 months, a pro rata portion of his or her annual cash bonus for the fiscal year in which the termination occurs to the extent earned, and reimbursement for the cost of healthcare continuation coverage for the period of salary continuation. In the case of a termination or resignation related to (iii) or (iv), the participating executive would be entitled to receive base salary continuation for up to 24 months, a lump sum cash payment equal to two times the then-applicable cash incentive bonus, deemed payable at target, for the fiscal year in which the termination or resignation occurs, vesting of all stock-based compensation granted to the executive in his or her capacity as an employee, and reimbursement for the cost of healthcare continuation coverage for the participating executive and his</w:t>
      </w:r>
      <w:r>
        <w:rPr>
          <w:rFonts w:ascii="Times New Roman" w:hAnsi="Times New Roman"/>
          <w:color w:val="000000"/>
          <w:sz w:val="20"/>
        </w:rPr>
        <w:t xml:space="preserve"> </w:t>
      </w:r>
    </w:p>
    <w:p>
      <w:pPr>
        <w:pStyle w:val="TextBody"/>
        <w:bidi w:val="0"/>
        <w:jc w:val="left"/>
        <w:rPr/>
      </w:pPr>
      <w:r>
        <w:rPr/>
        <w:t> </w:t>
      </w:r>
    </w:p>
    <w:tbl>
      <w:tblPr>
        <w:tblW w:w="3702" w:type="dxa"/>
        <w:jc w:val="left"/>
        <w:tblInd w:w="0" w:type="dxa"/>
        <w:tblLayout w:type="fixed"/>
        <w:tblCellMar>
          <w:top w:w="28" w:type="dxa"/>
          <w:left w:w="28" w:type="dxa"/>
          <w:bottom w:w="28" w:type="dxa"/>
          <w:right w:w="28" w:type="dxa"/>
        </w:tblCellMar>
      </w:tblPr>
      <w:tblGrid>
        <w:gridCol w:w="2266"/>
        <w:gridCol w:w="1436"/>
      </w:tblGrid>
      <w:tr>
        <w:trPr/>
        <w:tc>
          <w:tcPr>
            <w:tcW w:w="2266"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2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91F2C"/>
                <w:sz w:val="18"/>
              </w:rPr>
              <w:t>29</w:t>
            </w:r>
            <w:r>
              <w:rPr>
                <w:rFonts w:ascii="Times New Roman" w:hAnsi="Times New Roman"/>
                <w:color w:val="091F2C"/>
                <w:sz w:val="18"/>
              </w:rPr>
              <w:t> </w:t>
            </w:r>
            <w:r>
              <w:rPr>
                <w:rFonts w:ascii="Arial" w:hAnsi="Arial"/>
                <w:color w:val="091F2C"/>
                <w:sz w:val="18"/>
              </w:rPr>
              <w:t>I 2026 Proxy Statement</w:t>
            </w:r>
          </w:p>
        </w:tc>
        <w:tc>
          <w:tcPr>
            <w:tcW w:w="143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828675" cy="19050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828675" cy="190500"/>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2277" w:type="dxa"/>
        <w:jc w:val="left"/>
        <w:tblInd w:w="0" w:type="dxa"/>
        <w:tblLayout w:type="fixed"/>
        <w:tblCellMar>
          <w:top w:w="28" w:type="dxa"/>
          <w:left w:w="28" w:type="dxa"/>
          <w:bottom w:w="28" w:type="dxa"/>
          <w:right w:w="28" w:type="dxa"/>
        </w:tblCellMar>
      </w:tblPr>
      <w:tblGrid>
        <w:gridCol w:w="2086"/>
        <w:gridCol w:w="191"/>
      </w:tblGrid>
      <w:tr>
        <w:trPr/>
        <w:tc>
          <w:tcPr>
            <w:tcW w:w="20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86" w:type="dxa"/>
            <w:tcBorders/>
            <w:tcMar>
              <w:top w:w="0" w:type="dxa"/>
              <w:left w:w="0" w:type="dxa"/>
              <w:bottom w:w="0" w:type="dxa"/>
              <w:right w:w="0" w:type="dxa"/>
            </w:tcMar>
            <w:vAlign w:val="center"/>
          </w:tcPr>
          <w:p>
            <w:pPr>
              <w:pStyle w:val="TableContents"/>
              <w:bidi w:val="0"/>
              <w:spacing w:before="0" w:after="283"/>
              <w:jc w:val="left"/>
              <w:rPr>
                <w:rFonts w:ascii="Arial" w:hAnsi="Arial"/>
                <w:color w:val="002668"/>
                <w:sz w:val="20"/>
              </w:rPr>
            </w:pPr>
            <w:r>
              <w:rPr>
                <w:rFonts w:ascii="Arial" w:hAnsi="Arial"/>
                <w:color w:val="002668"/>
                <w:sz w:val="20"/>
              </w:rPr>
              <w:t>Compensation Matters</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bottom w:val="single" w:sz="8" w:space="0" w:color="002668"/>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or her eligible dependents for the period of salary continuation. See “Potential Payments Upon Termination or Change in Control.”</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Receipt of severance benefits under the Executive Severance Plan is subject to the participating executive's execution and non-revocation of a release of claims in favor of the Company, as required by the plan.</w:t>
      </w:r>
    </w:p>
    <w:p>
      <w:pPr>
        <w:pStyle w:val="TextBody"/>
        <w:bidi w:val="0"/>
        <w:spacing w:before="360" w:after="283"/>
        <w:jc w:val="both"/>
        <w:rPr>
          <w:rFonts w:ascii="Arial" w:hAnsi="Arial"/>
          <w:b/>
          <w:color w:val="002668"/>
          <w:sz w:val="28"/>
        </w:rPr>
      </w:pPr>
      <w:r>
        <w:rPr>
          <w:rFonts w:ascii="Arial" w:hAnsi="Arial"/>
          <w:b/>
          <w:color w:val="002668"/>
          <w:sz w:val="28"/>
        </w:rPr>
        <w:t>COMPENSATION COMMITTEE REPORT</w:t>
      </w:r>
    </w:p>
    <w:p>
      <w:pPr>
        <w:pStyle w:val="TextBody"/>
        <w:bidi w:val="0"/>
        <w:spacing w:before="240" w:after="283"/>
        <w:jc w:val="both"/>
        <w:rPr>
          <w:rFonts w:ascii="Times New Roman" w:hAnsi="Times New Roman"/>
          <w:sz w:val="20"/>
        </w:rPr>
      </w:pPr>
      <w:r>
        <w:rPr>
          <w:rFonts w:ascii="Arial" w:hAnsi="Arial"/>
          <w:color w:val="000000"/>
          <w:sz w:val="20"/>
        </w:rPr>
        <w:t>The Compensation Committee has reviewed and discussed with management the Compensation Discussion and Analysis included in this Proxy Statement and, based on such review and discussions, the Compensation Committee recommended to the Board that the Compensation Discussion and Analysis be included in this Proxy Statement.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4F81BD"/>
          <w:sz w:val="20"/>
        </w:rPr>
        <w:t xml:space="preserve">Compensation Committee: </w:t>
      </w:r>
      <w:r>
        <w:rPr>
          <w:rFonts w:ascii="Arial" w:hAnsi="Arial"/>
          <w:color w:val="000000"/>
          <w:sz w:val="20"/>
        </w:rPr>
        <w:t>Barry M. Monheit, Chairman; Anita D. Britt; Fred M. Diaz; and Michelle J. Lohmeier</w:t>
      </w:r>
    </w:p>
    <w:p>
      <w:pPr>
        <w:pStyle w:val="TextBody"/>
        <w:bidi w:val="0"/>
        <w:spacing w:before="360" w:after="283"/>
        <w:jc w:val="left"/>
        <w:rPr>
          <w:rFonts w:ascii="Arial" w:hAnsi="Arial"/>
          <w:b/>
          <w:color w:val="002668"/>
          <w:sz w:val="28"/>
        </w:rPr>
      </w:pPr>
      <w:r>
        <w:rPr>
          <w:rFonts w:ascii="Arial" w:hAnsi="Arial"/>
          <w:b/>
          <w:color w:val="002668"/>
          <w:sz w:val="28"/>
        </w:rPr>
        <w:t>COMPENSATION COMMITTEE INTERLOCKS AND INSIDER PARTICIPATION</w:t>
      </w:r>
    </w:p>
    <w:p>
      <w:pPr>
        <w:pStyle w:val="TextBody"/>
        <w:bidi w:val="0"/>
        <w:spacing w:before="240" w:after="283"/>
        <w:jc w:val="both"/>
        <w:rPr>
          <w:rFonts w:ascii="Arial" w:hAnsi="Arial"/>
          <w:color w:val="000000"/>
          <w:sz w:val="20"/>
        </w:rPr>
      </w:pPr>
      <w:r>
        <w:rPr>
          <w:rFonts w:ascii="Arial" w:hAnsi="Arial"/>
          <w:color w:val="000000"/>
          <w:sz w:val="20"/>
        </w:rPr>
        <w:t>During fiscal 2026, Messrs. Diaz and Monheit and Mmes. Britt and Lohmeier served on the Compensation Committee. None of these individuals had any material contractual or other relationships with us during the fiscal year, except as directors. During fiscal 2026, none of our executive officers served on the compensation committee or board of directors of any entity whose executive officers serve as a member of the Board or Compensation Committee.</w:t>
      </w:r>
    </w:p>
    <w:p>
      <w:pPr>
        <w:pStyle w:val="TextBody"/>
        <w:bidi w:val="0"/>
        <w:jc w:val="left"/>
        <w:rPr/>
      </w:pPr>
      <w:r>
        <w:rPr/>
        <w:t> </w:t>
      </w:r>
    </w:p>
    <w:tbl>
      <w:tblPr>
        <w:tblW w:w="3702" w:type="dxa"/>
        <w:jc w:val="left"/>
        <w:tblInd w:w="0" w:type="dxa"/>
        <w:tblLayout w:type="fixed"/>
        <w:tblCellMar>
          <w:top w:w="28" w:type="dxa"/>
          <w:left w:w="28" w:type="dxa"/>
          <w:bottom w:w="28" w:type="dxa"/>
          <w:right w:w="28" w:type="dxa"/>
        </w:tblCellMar>
      </w:tblPr>
      <w:tblGrid>
        <w:gridCol w:w="2266"/>
        <w:gridCol w:w="1436"/>
      </w:tblGrid>
      <w:tr>
        <w:trPr/>
        <w:tc>
          <w:tcPr>
            <w:tcW w:w="2266"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2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91F2C"/>
                <w:sz w:val="18"/>
              </w:rPr>
              <w:t>30</w:t>
            </w:r>
            <w:r>
              <w:rPr>
                <w:rFonts w:ascii="Times New Roman" w:hAnsi="Times New Roman"/>
                <w:color w:val="091F2C"/>
                <w:sz w:val="18"/>
              </w:rPr>
              <w:t> </w:t>
            </w:r>
            <w:r>
              <w:rPr>
                <w:rFonts w:ascii="Arial" w:hAnsi="Arial"/>
                <w:color w:val="091F2C"/>
                <w:sz w:val="18"/>
              </w:rPr>
              <w:t>I 2026 Proxy Statement</w:t>
            </w:r>
          </w:p>
        </w:tc>
        <w:tc>
          <w:tcPr>
            <w:tcW w:w="143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828675" cy="19050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828675" cy="190500"/>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Arial" w:hAnsi="Arial"/>
          <w:b/>
          <w:caps/>
          <w:color w:val="002668"/>
          <w:sz w:val="44"/>
        </w:rPr>
      </w:pPr>
      <w:bookmarkStart w:id="7" w:name="executive_compensation"/>
      <w:bookmarkEnd w:id="7"/>
      <w:r>
        <w:rPr>
          <w:rFonts w:ascii="Arial" w:hAnsi="Arial"/>
          <w:b/>
          <w:caps/>
          <w:color w:val="002668"/>
          <w:sz w:val="44"/>
        </w:rPr>
        <w:t>EXECUTIVE COMPENSATION</w:t>
      </w:r>
    </w:p>
    <w:p>
      <w:pPr>
        <w:pStyle w:val="TextBody"/>
        <w:bidi w:val="0"/>
        <w:spacing w:before="120" w:after="283"/>
        <w:jc w:val="both"/>
        <w:rPr>
          <w:rFonts w:ascii="Times New Roman" w:hAnsi="Times New Roman"/>
          <w:sz w:val="20"/>
        </w:rPr>
      </w:pPr>
      <w:r>
        <w:rPr>
          <w:rFonts w:ascii="Arial" w:hAnsi="Arial"/>
          <w:b/>
          <w:color w:val="002668"/>
          <w:sz w:val="28"/>
        </w:rPr>
        <w:t>FISCAL 2026 SUMMARY COMPENSATION TABLE</w:t>
      </w:r>
      <w:r>
        <w:rPr>
          <w:rFonts w:ascii="Times New Roman" w:hAnsi="Times New Roman"/>
          <w:color w:val="002668"/>
          <w:sz w:val="20"/>
        </w:rPr>
        <w:t xml:space="preserve"> </w:t>
      </w:r>
    </w:p>
    <w:p>
      <w:pPr>
        <w:pStyle w:val="TextBody"/>
        <w:bidi w:val="0"/>
        <w:jc w:val="both"/>
        <w:rPr>
          <w:rFonts w:ascii="Times New Roman" w:hAnsi="Times New Roman"/>
          <w:sz w:val="20"/>
        </w:rPr>
      </w:pPr>
      <w:r>
        <w:rPr>
          <w:rFonts w:ascii="Arial" w:hAnsi="Arial"/>
          <w:color w:val="000000"/>
          <w:sz w:val="20"/>
        </w:rPr>
        <w:t>The following table sets forth, for fiscal 2026, 2025, and 2024, information with respect to compensation for services in all capacities to us and our subsidiaries earned by our NEOs.</w:t>
      </w:r>
      <w:r>
        <w:rPr>
          <w:rFonts w:ascii="Times New Roman" w:hAnsi="Times New Roman"/>
          <w:color w:val="000000"/>
          <w:sz w:val="20"/>
        </w:rPr>
        <w:t xml:space="preserve">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791"/>
        <w:gridCol w:w="146"/>
        <w:gridCol w:w="451"/>
        <w:gridCol w:w="146"/>
        <w:gridCol w:w="181"/>
        <w:gridCol w:w="601"/>
        <w:gridCol w:w="146"/>
        <w:gridCol w:w="146"/>
        <w:gridCol w:w="181"/>
        <w:gridCol w:w="601"/>
        <w:gridCol w:w="146"/>
        <w:gridCol w:w="146"/>
        <w:gridCol w:w="181"/>
        <w:gridCol w:w="721"/>
        <w:gridCol w:w="146"/>
        <w:gridCol w:w="146"/>
        <w:gridCol w:w="256"/>
        <w:gridCol w:w="1020"/>
        <w:gridCol w:w="146"/>
        <w:gridCol w:w="146"/>
        <w:gridCol w:w="295"/>
        <w:gridCol w:w="981"/>
        <w:gridCol w:w="146"/>
        <w:gridCol w:w="146"/>
        <w:gridCol w:w="181"/>
        <w:gridCol w:w="721"/>
        <w:gridCol w:w="291"/>
      </w:tblGrid>
      <w:tr>
        <w:trPr/>
        <w:tc>
          <w:tcPr>
            <w:tcW w:w="1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791"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left"/>
              <w:rPr>
                <w:rFonts w:ascii="Arial" w:hAnsi="Arial"/>
                <w:b/>
                <w:color w:val="FFFFFF"/>
                <w:sz w:val="16"/>
              </w:rPr>
            </w:pPr>
            <w:r>
              <w:rPr>
                <w:rFonts w:ascii="Arial" w:hAnsi="Arial"/>
                <w:b/>
                <w:color w:val="FFFFFF"/>
                <w:sz w:val="16"/>
              </w:rPr>
              <w:t>Name and Principal Position</w:t>
            </w:r>
          </w:p>
        </w:tc>
        <w:tc>
          <w:tcPr>
            <w:tcW w:w="14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rFonts w:ascii="Arial" w:hAnsi="Arial"/>
                <w:b/>
                <w:color w:val="FFFFFF"/>
                <w:sz w:val="16"/>
              </w:rPr>
            </w:pPr>
            <w:r>
              <w:rPr>
                <w:rFonts w:ascii="Arial" w:hAnsi="Arial"/>
                <w:b/>
                <w:color w:val="FFFFFF"/>
                <w:sz w:val="16"/>
              </w:rPr>
              <w:t>Year</w:t>
            </w:r>
          </w:p>
        </w:tc>
        <w:tc>
          <w:tcPr>
            <w:tcW w:w="14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rFonts w:ascii="Arial" w:hAnsi="Arial"/>
                <w:b/>
                <w:color w:val="FFFFFF"/>
                <w:sz w:val="16"/>
              </w:rPr>
            </w:pPr>
            <w:r>
              <w:rPr>
                <w:rFonts w:ascii="Arial" w:hAnsi="Arial"/>
                <w:b/>
                <w:color w:val="FFFFFF"/>
                <w:sz w:val="16"/>
              </w:rPr>
              <w:t>Salary</w:t>
            </w:r>
          </w:p>
        </w:tc>
        <w:tc>
          <w:tcPr>
            <w:tcW w:w="14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rFonts w:ascii="Arial" w:hAnsi="Arial"/>
                <w:b/>
                <w:color w:val="FFFFFF"/>
                <w:sz w:val="16"/>
              </w:rPr>
            </w:pPr>
            <w:r>
              <w:rPr>
                <w:rFonts w:ascii="Arial" w:hAnsi="Arial"/>
                <w:b/>
                <w:color w:val="FFFFFF"/>
                <w:sz w:val="16"/>
              </w:rPr>
              <w:t>Bonus</w:t>
              <w:br/>
              <w:t>(1)</w:t>
            </w:r>
          </w:p>
        </w:tc>
        <w:tc>
          <w:tcPr>
            <w:tcW w:w="14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rFonts w:ascii="Arial" w:hAnsi="Arial"/>
                <w:b/>
                <w:color w:val="FFFFFF"/>
                <w:sz w:val="16"/>
              </w:rPr>
            </w:pPr>
            <w:r>
              <w:rPr>
                <w:rFonts w:ascii="Arial" w:hAnsi="Arial"/>
                <w:b/>
                <w:color w:val="FFFFFF"/>
                <w:sz w:val="16"/>
              </w:rPr>
              <w:t>Stock</w:t>
              <w:br/>
              <w:t>Awards</w:t>
              <w:br/>
              <w:t>(2)</w:t>
            </w:r>
          </w:p>
        </w:tc>
        <w:tc>
          <w:tcPr>
            <w:tcW w:w="14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left"/>
              <w:rPr/>
            </w:pPr>
            <w:r>
              <w:rPr/>
              <w:t> </w:t>
            </w:r>
          </w:p>
        </w:tc>
        <w:tc>
          <w:tcPr>
            <w:tcW w:w="1276" w:type="dxa"/>
            <w:gridSpan w:val="2"/>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rFonts w:ascii="Arial" w:hAnsi="Arial"/>
                <w:b/>
                <w:color w:val="FFFFFF"/>
                <w:sz w:val="16"/>
              </w:rPr>
            </w:pPr>
            <w:r>
              <w:rPr>
                <w:rFonts w:ascii="Arial" w:hAnsi="Arial"/>
                <w:b/>
                <w:color w:val="FFFFFF"/>
                <w:sz w:val="16"/>
              </w:rPr>
              <w:t>Non-Equity</w:t>
              <w:br/>
              <w:t>Incentive Plan</w:t>
              <w:br/>
              <w:t>Compensation</w:t>
              <w:br/>
              <w:t>(3)</w:t>
            </w:r>
          </w:p>
        </w:tc>
        <w:tc>
          <w:tcPr>
            <w:tcW w:w="14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left"/>
              <w:rPr/>
            </w:pPr>
            <w:r>
              <w:rPr/>
              <w:t> </w:t>
            </w:r>
          </w:p>
        </w:tc>
        <w:tc>
          <w:tcPr>
            <w:tcW w:w="1276" w:type="dxa"/>
            <w:gridSpan w:val="2"/>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rFonts w:ascii="Arial" w:hAnsi="Arial"/>
                <w:b/>
                <w:color w:val="FFFFFF"/>
                <w:sz w:val="16"/>
              </w:rPr>
            </w:pPr>
            <w:r>
              <w:rPr>
                <w:rFonts w:ascii="Arial" w:hAnsi="Arial"/>
                <w:b/>
                <w:color w:val="FFFFFF"/>
                <w:sz w:val="16"/>
              </w:rPr>
              <w:t>All Other</w:t>
              <w:br/>
              <w:t>Compensation</w:t>
              <w:br/>
              <w:t>(4)</w:t>
            </w:r>
          </w:p>
        </w:tc>
        <w:tc>
          <w:tcPr>
            <w:tcW w:w="14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rFonts w:ascii="Arial" w:hAnsi="Arial"/>
                <w:b/>
                <w:color w:val="FFFFFF"/>
                <w:sz w:val="16"/>
              </w:rPr>
            </w:pPr>
            <w:r>
              <w:rPr>
                <w:rFonts w:ascii="Arial" w:hAnsi="Arial"/>
                <w:b/>
                <w:color w:val="FFFFFF"/>
                <w:sz w:val="16"/>
              </w:rPr>
              <w:t>Total (5)</w:t>
            </w:r>
          </w:p>
        </w:tc>
        <w:tc>
          <w:tcPr>
            <w:tcW w:w="291"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pPr>
            <w:r>
              <w:rPr/>
              <w:t> </w:t>
            </w:r>
          </w:p>
        </w:tc>
      </w:tr>
      <w:tr>
        <w:trPr/>
        <w:tc>
          <w:tcPr>
            <w:tcW w:w="179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Mark P. Smith</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D9D9D9"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3"/>
              </w:rPr>
            </w:pPr>
            <w:r>
              <w:rPr>
                <w:rFonts w:ascii="Arial" w:hAnsi="Arial"/>
                <w:color w:val="000000"/>
                <w:sz w:val="13"/>
              </w:rPr>
              <w:t>2026</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601"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850,000</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601"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21"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2,574,305</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020"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1,035,549</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981"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212,086</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21"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4,671,940</w:t>
            </w:r>
          </w:p>
        </w:tc>
        <w:tc>
          <w:tcPr>
            <w:tcW w:w="291"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91"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3"/>
              </w:rPr>
            </w:pPr>
            <w:r>
              <w:rPr>
                <w:rFonts w:ascii="Arial" w:hAnsi="Arial"/>
                <w:color w:val="000000"/>
                <w:sz w:val="13"/>
              </w:rPr>
              <w:t>President and Chief</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D9D9D9"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3"/>
              </w:rPr>
            </w:pPr>
            <w:r>
              <w:rPr>
                <w:rFonts w:ascii="Arial" w:hAnsi="Arial"/>
                <w:color w:val="000000"/>
                <w:sz w:val="13"/>
              </w:rPr>
              <w:t>2025</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601"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850,000</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601"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21"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2,680,052</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020"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981"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183,781</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21"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3,713,833</w:t>
            </w:r>
          </w:p>
        </w:tc>
        <w:tc>
          <w:tcPr>
            <w:tcW w:w="291"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91"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3"/>
              </w:rPr>
            </w:pPr>
            <w:r>
              <w:rPr>
                <w:rFonts w:ascii="Arial" w:hAnsi="Arial"/>
                <w:color w:val="000000"/>
                <w:sz w:val="13"/>
              </w:rPr>
              <w:t>Executive Officer</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D9D9D9"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3"/>
              </w:rPr>
            </w:pPr>
            <w:r>
              <w:rPr>
                <w:rFonts w:ascii="Arial" w:hAnsi="Arial"/>
                <w:color w:val="000000"/>
                <w:sz w:val="13"/>
              </w:rPr>
              <w:t>2024</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601"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743,000</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601"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200,000</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21"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2,072,864</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020"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524,758</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981"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105,905</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21"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3,646,527</w:t>
            </w:r>
          </w:p>
        </w:tc>
        <w:tc>
          <w:tcPr>
            <w:tcW w:w="29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9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Deana L. McPherson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3"/>
              </w:rPr>
            </w:pPr>
            <w:r>
              <w:rPr>
                <w:rFonts w:ascii="Arial" w:hAnsi="Arial"/>
                <w:color w:val="000000"/>
                <w:sz w:val="13"/>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475,000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781,487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434,017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65,543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1,756,047</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3"/>
              </w:rPr>
            </w:pPr>
            <w:r>
              <w:rPr>
                <w:rFonts w:ascii="Arial" w:hAnsi="Arial"/>
                <w:color w:val="000000"/>
                <w:sz w:val="13"/>
              </w:rPr>
              <w:t>Executive Vice President,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3"/>
              </w:rPr>
            </w:pPr>
            <w:r>
              <w:rPr>
                <w:rFonts w:ascii="Arial" w:hAnsi="Arial"/>
                <w:color w:val="000000"/>
                <w:sz w:val="13"/>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475,000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813,567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238,728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1,527,295</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3"/>
              </w:rPr>
            </w:pPr>
            <w:r>
              <w:rPr>
                <w:rFonts w:ascii="Arial" w:hAnsi="Arial"/>
                <w:color w:val="000000"/>
                <w:sz w:val="13"/>
              </w:rPr>
              <w:t>Chief Financial Officer,</w:t>
              <w:br/>
              <w:t>Treasurer, and Assistant</w:t>
              <w:br/>
              <w:t>Secretary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3"/>
              </w:rPr>
            </w:pPr>
            <w:r>
              <w:rPr>
                <w:rFonts w:ascii="Arial" w:hAnsi="Arial"/>
                <w:color w:val="000000"/>
                <w:sz w:val="13"/>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424,000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125,000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641,600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224,594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140,725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1,555,919</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9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Kevin A. Maxwell (6)</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D9D9D9"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3"/>
              </w:rPr>
            </w:pPr>
            <w:r>
              <w:rPr>
                <w:rFonts w:ascii="Arial" w:hAnsi="Arial"/>
                <w:color w:val="000000"/>
                <w:sz w:val="13"/>
              </w:rPr>
              <w:t>2026</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601"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415,000</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601"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21"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781,487</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020"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379,194</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981"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53,729</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21"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1,629,410</w:t>
            </w:r>
          </w:p>
        </w:tc>
        <w:tc>
          <w:tcPr>
            <w:tcW w:w="291"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91"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3"/>
              </w:rPr>
            </w:pPr>
            <w:r>
              <w:rPr>
                <w:rFonts w:ascii="Arial" w:hAnsi="Arial"/>
                <w:color w:val="000000"/>
                <w:sz w:val="13"/>
              </w:rPr>
              <w:t>Senior Vice President,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D9D9D9"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3"/>
              </w:rPr>
            </w:pPr>
            <w:r>
              <w:rPr>
                <w:rFonts w:ascii="Arial" w:hAnsi="Arial"/>
                <w:color w:val="000000"/>
                <w:sz w:val="13"/>
              </w:rPr>
              <w:t>2025</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601"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415,000</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601"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21"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574,278</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020"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981"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37,111</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21"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1,026,389</w:t>
            </w:r>
          </w:p>
        </w:tc>
        <w:tc>
          <w:tcPr>
            <w:tcW w:w="291"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91"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3"/>
              </w:rPr>
            </w:pPr>
            <w:r>
              <w:rPr>
                <w:rFonts w:ascii="Arial" w:hAnsi="Arial"/>
                <w:color w:val="000000"/>
                <w:sz w:val="13"/>
              </w:rPr>
              <w:t>General Counsel, Chief</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D9D9D9"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3"/>
              </w:rPr>
            </w:pPr>
            <w:r>
              <w:rPr>
                <w:rFonts w:ascii="Arial" w:hAnsi="Arial"/>
                <w:color w:val="000000"/>
                <w:sz w:val="13"/>
              </w:rPr>
              <w:t>2024</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601"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361,000</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601"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125,000</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21"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419,499</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020"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165,726</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981"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55,124</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21"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1,126,349</w:t>
            </w:r>
          </w:p>
        </w:tc>
        <w:tc>
          <w:tcPr>
            <w:tcW w:w="291"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91"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3"/>
              </w:rPr>
            </w:pPr>
            <w:r>
              <w:rPr>
                <w:rFonts w:ascii="Arial" w:hAnsi="Arial"/>
                <w:color w:val="000000"/>
                <w:sz w:val="13"/>
              </w:rPr>
              <w:t>Compliance Officer, and</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91"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3"/>
              </w:rPr>
            </w:pPr>
            <w:r>
              <w:rPr>
                <w:rFonts w:ascii="Arial" w:hAnsi="Arial"/>
                <w:color w:val="000000"/>
                <w:sz w:val="13"/>
              </w:rPr>
              <w:t>Secretary</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91"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Kyle O. Tengwall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3"/>
              </w:rPr>
            </w:pPr>
            <w:r>
              <w:rPr>
                <w:rFonts w:ascii="Arial" w:hAnsi="Arial"/>
                <w:color w:val="000000"/>
                <w:sz w:val="13"/>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326,872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374,997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259,946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40,799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1,002,614</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3"/>
              </w:rPr>
            </w:pPr>
            <w:r>
              <w:rPr>
                <w:rFonts w:ascii="Arial" w:hAnsi="Arial"/>
                <w:color w:val="000000"/>
                <w:sz w:val="13"/>
              </w:rPr>
              <w:t>Vice President,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3"/>
              </w:rPr>
            </w:pPr>
            <w:r>
              <w:rPr>
                <w:rFonts w:ascii="Arial" w:hAnsi="Arial"/>
                <w:color w:val="000000"/>
                <w:sz w:val="13"/>
              </w:rPr>
              <w:t>and Strategy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9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Susan J. Cupero</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D9D9D9"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3"/>
              </w:rPr>
            </w:pPr>
            <w:r>
              <w:rPr>
                <w:rFonts w:ascii="Arial" w:hAnsi="Arial"/>
                <w:color w:val="000000"/>
                <w:sz w:val="13"/>
              </w:rPr>
              <w:t>2026</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601"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15,019</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601"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21"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020"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981"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406,291</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21"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421,310</w:t>
            </w:r>
          </w:p>
        </w:tc>
        <w:tc>
          <w:tcPr>
            <w:tcW w:w="291"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91"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3"/>
              </w:rPr>
            </w:pPr>
            <w:r>
              <w:rPr>
                <w:rFonts w:ascii="Arial" w:hAnsi="Arial"/>
                <w:color w:val="000000"/>
                <w:sz w:val="13"/>
              </w:rPr>
              <w:t>Vice President, Sales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D9D9D9"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3"/>
              </w:rPr>
            </w:pPr>
            <w:r>
              <w:rPr>
                <w:rFonts w:ascii="Arial" w:hAnsi="Arial"/>
                <w:color w:val="000000"/>
                <w:sz w:val="13"/>
              </w:rPr>
              <w:t>2025</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601"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355,000</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601"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21"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574,278</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020"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981"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48,504</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21"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977,782</w:t>
            </w:r>
          </w:p>
        </w:tc>
        <w:tc>
          <w:tcPr>
            <w:tcW w:w="291"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91"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D9D9D9"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3"/>
              </w:rPr>
            </w:pPr>
            <w:r>
              <w:rPr>
                <w:rFonts w:ascii="Arial" w:hAnsi="Arial"/>
                <w:color w:val="000000"/>
                <w:sz w:val="13"/>
              </w:rPr>
              <w:t>2024</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601"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317,827</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601"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50,000</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21"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419,499</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020"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145,986</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981"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63,536</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721"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996,848</w:t>
            </w:r>
          </w:p>
        </w:tc>
        <w:tc>
          <w:tcPr>
            <w:tcW w:w="29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91" w:type="dxa"/>
            <w:tcBorders>
              <w:bottom w:val="single" w:sz="18" w:space="0" w:color="0070A2"/>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70A2"/>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18" w:space="0" w:color="0070A2"/>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70A2"/>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18" w:space="0" w:color="0070A2"/>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70A2"/>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70A2"/>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18" w:space="0" w:color="0070A2"/>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70A2"/>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70A2"/>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18" w:space="0" w:color="0070A2"/>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70A2"/>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70A2"/>
            </w:tcBorders>
            <w:shd w:fill="FFFFFF" w:val="clear"/>
            <w:tcMar>
              <w:top w:w="0" w:type="dxa"/>
              <w:left w:w="0" w:type="dxa"/>
              <w:right w:w="0" w:type="dxa"/>
            </w:tcMar>
            <w:vAlign w:val="center"/>
          </w:tcPr>
          <w:p>
            <w:pPr>
              <w:pStyle w:val="TableContents"/>
              <w:bidi w:val="0"/>
              <w:spacing w:before="0" w:after="283"/>
              <w:jc w:val="left"/>
              <w:rPr/>
            </w:pPr>
            <w:r>
              <w:rPr/>
              <w:t> </w:t>
            </w:r>
          </w:p>
        </w:tc>
        <w:tc>
          <w:tcPr>
            <w:tcW w:w="1276" w:type="dxa"/>
            <w:gridSpan w:val="2"/>
            <w:tcBorders>
              <w:bottom w:val="single" w:sz="18" w:space="0" w:color="0070A2"/>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70A2"/>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70A2"/>
            </w:tcBorders>
            <w:shd w:fill="FFFFFF" w:val="clear"/>
            <w:tcMar>
              <w:top w:w="0" w:type="dxa"/>
              <w:left w:w="0" w:type="dxa"/>
              <w:right w:w="0" w:type="dxa"/>
            </w:tcMar>
            <w:vAlign w:val="center"/>
          </w:tcPr>
          <w:p>
            <w:pPr>
              <w:pStyle w:val="TableContents"/>
              <w:bidi w:val="0"/>
              <w:spacing w:before="0" w:after="283"/>
              <w:jc w:val="left"/>
              <w:rPr/>
            </w:pPr>
            <w:r>
              <w:rPr/>
              <w:t> </w:t>
            </w:r>
          </w:p>
        </w:tc>
        <w:tc>
          <w:tcPr>
            <w:tcW w:w="1276" w:type="dxa"/>
            <w:gridSpan w:val="2"/>
            <w:tcBorders>
              <w:bottom w:val="single" w:sz="18" w:space="0" w:color="0070A2"/>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70A2"/>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70A2"/>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18" w:space="0" w:color="0070A2"/>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18" w:space="0" w:color="0070A2"/>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Times New Roman" w:hAnsi="Times New Roman"/>
          <w:sz w:val="20"/>
        </w:rPr>
      </w:pPr>
      <w:r>
        <w:rPr>
          <w:rFonts w:ascii="Arial" w:hAnsi="Arial"/>
          <w:color w:val="000000"/>
          <w:sz w:val="16"/>
        </w:rPr>
        <w:t>(1) The amounts shown in this column for 2024 represent the amount Messrs. Smith and Maxwell and Mmes. McPherson and Cupero received in recognition of their efforts in connection with the Relocation. No other discretionary bonuses were paid to our NEOs.</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Arial" w:hAnsi="Arial"/>
          <w:color w:val="000000"/>
          <w:sz w:val="16"/>
        </w:rPr>
        <w:t>(2) The amounts shown in this column represent the grant date fair value for PSUs and RSUs granted to the NEOs during the covered year calculated in accordance with ASC Topic 718 excluding the effect of forfeitures. The assumptions used in determining the grant date fair value of these awards are set forth in Note 11 to our consolidated financial statements, which are included in the Form 10-K. For further information on these awards, see “Compensation Matters — Compensation Discussion and Analysis — Compensation Elements — Stock-Based Compensation” and “Fiscal 2026 Grants of Plan-Based Awards” below and the narrative discussion that follows.</w:t>
      </w:r>
      <w:r>
        <w:rPr>
          <w:rFonts w:ascii="Times New Roman" w:hAnsi="Times New Roman"/>
          <w:color w:val="000000"/>
          <w:sz w:val="20"/>
        </w:rPr>
        <w:t xml:space="preserve"> </w:t>
      </w:r>
    </w:p>
    <w:p>
      <w:pPr>
        <w:pStyle w:val="TextBody"/>
        <w:bidi w:val="0"/>
        <w:spacing w:before="120" w:after="283"/>
        <w:jc w:val="both"/>
        <w:rPr>
          <w:rFonts w:ascii="Arial" w:hAnsi="Arial"/>
          <w:color w:val="000000"/>
          <w:sz w:val="16"/>
        </w:rPr>
      </w:pPr>
      <w:r>
        <w:rPr>
          <w:rFonts w:ascii="Arial" w:hAnsi="Arial"/>
          <w:color w:val="000000"/>
          <w:sz w:val="16"/>
        </w:rPr>
        <w:t>Set forth below is the maximum value for the PSUs granted to the NEOs during fiscal 2026 (i.e., 220% of the target award value).</w:t>
      </w:r>
    </w:p>
    <w:p>
      <w:pPr>
        <w:pStyle w:val="TextBody"/>
        <w:bidi w:val="0"/>
        <w:jc w:val="both"/>
        <w:rPr/>
      </w:pPr>
      <w:r>
        <w:rPr/>
        <w:t> </w:t>
      </w:r>
    </w:p>
    <w:tbl>
      <w:tblPr>
        <w:tblW w:w="3353" w:type="dxa"/>
        <w:jc w:val="left"/>
        <w:tblInd w:w="0" w:type="dxa"/>
        <w:tblLayout w:type="fixed"/>
        <w:tblCellMar>
          <w:top w:w="28" w:type="dxa"/>
          <w:left w:w="28" w:type="dxa"/>
          <w:bottom w:w="28" w:type="dxa"/>
          <w:right w:w="28" w:type="dxa"/>
        </w:tblCellMar>
      </w:tblPr>
      <w:tblGrid>
        <w:gridCol w:w="1666"/>
        <w:gridCol w:w="146"/>
        <w:gridCol w:w="259"/>
        <w:gridCol w:w="1091"/>
        <w:gridCol w:w="19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6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left"/>
              <w:rPr>
                <w:rFonts w:ascii="Arial" w:hAnsi="Arial"/>
                <w:b/>
                <w:color w:val="FFFFFF"/>
                <w:sz w:val="16"/>
              </w:rPr>
            </w:pPr>
            <w:r>
              <w:rPr>
                <w:rFonts w:ascii="Arial" w:hAnsi="Arial"/>
                <w:b/>
                <w:color w:val="FFFFFF"/>
                <w:sz w:val="16"/>
              </w:rPr>
              <w:t>Name</w:t>
            </w:r>
          </w:p>
        </w:tc>
        <w:tc>
          <w:tcPr>
            <w:tcW w:w="14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left"/>
              <w:rPr/>
            </w:pPr>
            <w:r>
              <w:rPr/>
              <w:t> </w:t>
            </w:r>
          </w:p>
        </w:tc>
        <w:tc>
          <w:tcPr>
            <w:tcW w:w="1350" w:type="dxa"/>
            <w:gridSpan w:val="2"/>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rFonts w:ascii="Arial" w:hAnsi="Arial"/>
                <w:b/>
                <w:color w:val="FFFFFF"/>
                <w:sz w:val="16"/>
              </w:rPr>
            </w:pPr>
            <w:r>
              <w:rPr>
                <w:rFonts w:ascii="Arial" w:hAnsi="Arial"/>
                <w:b/>
                <w:color w:val="FFFFFF"/>
                <w:sz w:val="16"/>
              </w:rPr>
              <w:t>Stock Awards</w:t>
              <w:br/>
              <w:t>Maximum Value</w:t>
              <w:br/>
              <w:t>of PSUs</w:t>
            </w:r>
          </w:p>
        </w:tc>
        <w:tc>
          <w:tcPr>
            <w:tcW w:w="191"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pPr>
            <w:r>
              <w:rPr/>
              <w:t> </w:t>
            </w:r>
          </w:p>
        </w:tc>
      </w:tr>
      <w:tr>
        <w:trPr/>
        <w:tc>
          <w:tcPr>
            <w:tcW w:w="1666"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Mark P. Smith</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91"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2,583,462</w:t>
            </w:r>
          </w:p>
        </w:tc>
        <w:tc>
          <w:tcPr>
            <w:tcW w:w="19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Deana L. McPherson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784,258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Kevin A. Maxwell</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91"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784,258</w:t>
            </w:r>
          </w:p>
        </w:tc>
        <w:tc>
          <w:tcPr>
            <w:tcW w:w="19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bottom w:val="single" w:sz="18"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1350" w:type="dxa"/>
            <w:gridSpan w:val="2"/>
            <w:tcBorders>
              <w:bottom w:val="single" w:sz="18"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8" w:space="0" w:color="0071A2"/>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Times New Roman" w:hAnsi="Times New Roman"/>
          <w:sz w:val="20"/>
        </w:rPr>
      </w:pPr>
      <w:r>
        <w:rPr>
          <w:rFonts w:ascii="Arial" w:hAnsi="Arial"/>
          <w:color w:val="000000"/>
          <w:sz w:val="16"/>
        </w:rPr>
        <w:t>(3) The amounts shown in this column constitute payments made, if any, under our 2026, 2025, and 2024 annual performance-based cash incentive compensation programs. These amounts were calculated and paid to our NEOs in the fiscal year following when they were earned. For a description of our payments in fiscal 2026, see “Compensation Matters — Compensation Discussion and Analysis — Compensation Elements — Annual Performance-Based Cash Incentive Compensation.”</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tbl>
      <w:tblPr>
        <w:tblW w:w="3702" w:type="dxa"/>
        <w:jc w:val="left"/>
        <w:tblInd w:w="0" w:type="dxa"/>
        <w:tblLayout w:type="fixed"/>
        <w:tblCellMar>
          <w:top w:w="28" w:type="dxa"/>
          <w:left w:w="28" w:type="dxa"/>
          <w:bottom w:w="28" w:type="dxa"/>
          <w:right w:w="28" w:type="dxa"/>
        </w:tblCellMar>
      </w:tblPr>
      <w:tblGrid>
        <w:gridCol w:w="1406"/>
        <w:gridCol w:w="2296"/>
      </w:tblGrid>
      <w:tr>
        <w:trPr/>
        <w:tc>
          <w:tcPr>
            <w:tcW w:w="1406"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r>
      <w:tr>
        <w:trPr/>
        <w:tc>
          <w:tcPr>
            <w:tcW w:w="140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828675" cy="190500"/>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828675" cy="190500"/>
                          </a:xfrm>
                          <a:prstGeom prst="rect">
                            <a:avLst/>
                          </a:prstGeom>
                        </pic:spPr>
                      </pic:pic>
                    </a:graphicData>
                  </a:graphic>
                </wp:inline>
              </w:drawing>
            </w:r>
          </w:p>
        </w:tc>
        <w:tc>
          <w:tcPr>
            <w:tcW w:w="2296" w:type="dxa"/>
            <w:tcBorders/>
            <w:tcMar>
              <w:top w:w="0" w:type="dxa"/>
              <w:left w:w="0" w:type="dxa"/>
              <w:bottom w:w="0" w:type="dxa"/>
              <w:right w:w="0" w:type="dxa"/>
            </w:tcMar>
            <w:vAlign w:val="center"/>
          </w:tcPr>
          <w:p>
            <w:pPr>
              <w:pStyle w:val="TableContents"/>
              <w:bidi w:val="0"/>
              <w:spacing w:before="0" w:after="283"/>
              <w:jc w:val="right"/>
              <w:rPr>
                <w:rFonts w:ascii="Arial" w:hAnsi="Arial"/>
                <w:color w:val="091F2C"/>
                <w:sz w:val="18"/>
              </w:rPr>
            </w:pPr>
            <w:r>
              <w:rPr>
                <w:rFonts w:ascii="Arial" w:hAnsi="Arial"/>
                <w:color w:val="091F2C"/>
                <w:sz w:val="18"/>
              </w:rPr>
              <w:t>2026 Proxy Statement I 31</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2277" w:type="dxa"/>
        <w:jc w:val="left"/>
        <w:tblInd w:w="0" w:type="dxa"/>
        <w:tblLayout w:type="fixed"/>
        <w:tblCellMar>
          <w:top w:w="28" w:type="dxa"/>
          <w:left w:w="28" w:type="dxa"/>
          <w:bottom w:w="28" w:type="dxa"/>
          <w:right w:w="28" w:type="dxa"/>
        </w:tblCellMar>
      </w:tblPr>
      <w:tblGrid>
        <w:gridCol w:w="2086"/>
        <w:gridCol w:w="191"/>
      </w:tblGrid>
      <w:tr>
        <w:trPr/>
        <w:tc>
          <w:tcPr>
            <w:tcW w:w="20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86" w:type="dxa"/>
            <w:tcBorders/>
            <w:tcMar>
              <w:top w:w="0" w:type="dxa"/>
              <w:left w:w="0" w:type="dxa"/>
              <w:bottom w:w="0" w:type="dxa"/>
              <w:right w:w="0" w:type="dxa"/>
            </w:tcMar>
            <w:vAlign w:val="center"/>
          </w:tcPr>
          <w:p>
            <w:pPr>
              <w:pStyle w:val="TableContents"/>
              <w:bidi w:val="0"/>
              <w:spacing w:before="0" w:after="283"/>
              <w:jc w:val="left"/>
              <w:rPr>
                <w:rFonts w:ascii="Arial" w:hAnsi="Arial"/>
                <w:color w:val="002668"/>
                <w:sz w:val="20"/>
              </w:rPr>
            </w:pPr>
            <w:r>
              <w:rPr>
                <w:rFonts w:ascii="Arial" w:hAnsi="Arial"/>
                <w:color w:val="002668"/>
                <w:sz w:val="20"/>
              </w:rPr>
              <w:t>Compensation Matters</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bottom w:val="single" w:sz="8" w:space="0" w:color="002668"/>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60" w:after="120"/>
        <w:jc w:val="left"/>
        <w:rPr>
          <w:rFonts w:ascii="Arial" w:hAnsi="Arial"/>
          <w:color w:val="000000"/>
          <w:sz w:val="16"/>
        </w:rPr>
      </w:pPr>
      <w:r>
        <w:rPr>
          <w:rFonts w:ascii="Arial" w:hAnsi="Arial"/>
          <w:color w:val="000000"/>
          <w:sz w:val="16"/>
        </w:rPr>
        <w:t>(4) All Other Compensation consisted of the following for fiscal 2026:</w:t>
      </w:r>
    </w:p>
    <w:tbl>
      <w:tblPr>
        <w:tblW w:w="10205" w:type="dxa"/>
        <w:jc w:val="left"/>
        <w:tblInd w:w="0" w:type="dxa"/>
        <w:tblLayout w:type="fixed"/>
        <w:tblCellMar>
          <w:top w:w="28" w:type="dxa"/>
          <w:left w:w="28" w:type="dxa"/>
          <w:bottom w:w="28" w:type="dxa"/>
          <w:right w:w="28" w:type="dxa"/>
        </w:tblCellMar>
      </w:tblPr>
      <w:tblGrid>
        <w:gridCol w:w="968"/>
        <w:gridCol w:w="146"/>
        <w:gridCol w:w="181"/>
        <w:gridCol w:w="601"/>
        <w:gridCol w:w="146"/>
        <w:gridCol w:w="146"/>
        <w:gridCol w:w="196"/>
        <w:gridCol w:w="570"/>
        <w:gridCol w:w="146"/>
        <w:gridCol w:w="146"/>
        <w:gridCol w:w="246"/>
        <w:gridCol w:w="715"/>
        <w:gridCol w:w="146"/>
        <w:gridCol w:w="146"/>
        <w:gridCol w:w="197"/>
        <w:gridCol w:w="577"/>
        <w:gridCol w:w="146"/>
        <w:gridCol w:w="146"/>
        <w:gridCol w:w="206"/>
        <w:gridCol w:w="603"/>
        <w:gridCol w:w="146"/>
        <w:gridCol w:w="146"/>
        <w:gridCol w:w="243"/>
        <w:gridCol w:w="714"/>
        <w:gridCol w:w="146"/>
        <w:gridCol w:w="146"/>
        <w:gridCol w:w="181"/>
        <w:gridCol w:w="526"/>
        <w:gridCol w:w="146"/>
        <w:gridCol w:w="312"/>
        <w:gridCol w:w="146"/>
        <w:gridCol w:w="181"/>
        <w:gridCol w:w="601"/>
        <w:gridCol w:w="197"/>
      </w:tblGrid>
      <w:tr>
        <w:trPr/>
        <w:tc>
          <w:tcPr>
            <w:tcW w:w="9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968"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rFonts w:ascii="Arial" w:hAnsi="Arial"/>
                <w:b/>
                <w:color w:val="FFFFFF"/>
                <w:sz w:val="14"/>
              </w:rPr>
            </w:pPr>
            <w:r>
              <w:rPr>
                <w:rFonts w:ascii="Arial" w:hAnsi="Arial"/>
                <w:b/>
                <w:color w:val="FFFFFF"/>
                <w:sz w:val="14"/>
              </w:rPr>
              <w:t>Name</w:t>
            </w:r>
          </w:p>
        </w:tc>
        <w:tc>
          <w:tcPr>
            <w:tcW w:w="14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rFonts w:ascii="Arial" w:hAnsi="Arial"/>
                <w:b/>
                <w:color w:val="FFFFFF"/>
                <w:sz w:val="14"/>
              </w:rPr>
            </w:pPr>
            <w:r>
              <w:rPr>
                <w:rFonts w:ascii="Arial" w:hAnsi="Arial"/>
                <w:b/>
                <w:color w:val="FFFFFF"/>
                <w:sz w:val="14"/>
              </w:rPr>
              <w:t>Severance</w:t>
            </w:r>
          </w:p>
        </w:tc>
        <w:tc>
          <w:tcPr>
            <w:tcW w:w="14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left"/>
              <w:rPr/>
            </w:pPr>
            <w:r>
              <w:rPr/>
              <w:t> </w:t>
            </w:r>
          </w:p>
        </w:tc>
        <w:tc>
          <w:tcPr>
            <w:tcW w:w="766" w:type="dxa"/>
            <w:gridSpan w:val="2"/>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rFonts w:ascii="Arial" w:hAnsi="Arial"/>
                <w:b/>
                <w:color w:val="FFFFFF"/>
                <w:sz w:val="14"/>
              </w:rPr>
            </w:pPr>
            <w:r>
              <w:rPr>
                <w:rFonts w:ascii="Arial" w:hAnsi="Arial"/>
                <w:b/>
                <w:color w:val="FFFFFF"/>
                <w:sz w:val="14"/>
              </w:rPr>
              <w:t>Car</w:t>
              <w:br/>
              <w:t>Allowance</w:t>
            </w:r>
          </w:p>
        </w:tc>
        <w:tc>
          <w:tcPr>
            <w:tcW w:w="14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left"/>
              <w:rPr/>
            </w:pPr>
            <w:r>
              <w:rPr/>
              <w:t> </w:t>
            </w:r>
          </w:p>
        </w:tc>
        <w:tc>
          <w:tcPr>
            <w:tcW w:w="961" w:type="dxa"/>
            <w:gridSpan w:val="2"/>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rFonts w:ascii="Arial" w:hAnsi="Arial"/>
                <w:b/>
                <w:color w:val="FFFFFF"/>
                <w:sz w:val="14"/>
              </w:rPr>
            </w:pPr>
            <w:r>
              <w:rPr>
                <w:rFonts w:ascii="Arial" w:hAnsi="Arial"/>
                <w:b/>
                <w:color w:val="FFFFFF"/>
                <w:sz w:val="14"/>
              </w:rPr>
              <w:t>Matching</w:t>
              <w:br/>
              <w:t>Contributions</w:t>
              <w:br/>
              <w:t>to Defined</w:t>
              <w:br/>
              <w:t>Contribution</w:t>
              <w:br/>
              <w:t>Plan</w:t>
            </w:r>
          </w:p>
        </w:tc>
        <w:tc>
          <w:tcPr>
            <w:tcW w:w="14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left"/>
              <w:rPr/>
            </w:pPr>
            <w:r>
              <w:rPr/>
              <w:t> </w:t>
            </w:r>
          </w:p>
        </w:tc>
        <w:tc>
          <w:tcPr>
            <w:tcW w:w="774" w:type="dxa"/>
            <w:gridSpan w:val="2"/>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rFonts w:ascii="Arial" w:hAnsi="Arial"/>
                <w:b/>
                <w:color w:val="FFFFFF"/>
                <w:sz w:val="14"/>
              </w:rPr>
            </w:pPr>
            <w:r>
              <w:rPr>
                <w:rFonts w:ascii="Arial" w:hAnsi="Arial"/>
                <w:b/>
                <w:color w:val="FFFFFF"/>
                <w:sz w:val="14"/>
              </w:rPr>
              <w:t>Payments</w:t>
              <w:br/>
              <w:t>Under Profit</w:t>
              <w:br/>
              <w:t>Sharing</w:t>
              <w:br/>
              <w:t>Plan (4a)</w:t>
            </w:r>
          </w:p>
        </w:tc>
        <w:tc>
          <w:tcPr>
            <w:tcW w:w="14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left"/>
              <w:rPr/>
            </w:pPr>
            <w:r>
              <w:rPr/>
              <w:t> </w:t>
            </w:r>
          </w:p>
        </w:tc>
        <w:tc>
          <w:tcPr>
            <w:tcW w:w="809" w:type="dxa"/>
            <w:gridSpan w:val="2"/>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rFonts w:ascii="Arial" w:hAnsi="Arial"/>
                <w:b/>
                <w:color w:val="FFFFFF"/>
                <w:sz w:val="14"/>
              </w:rPr>
            </w:pPr>
            <w:r>
              <w:rPr>
                <w:rFonts w:ascii="Arial" w:hAnsi="Arial"/>
                <w:b/>
                <w:color w:val="FFFFFF"/>
                <w:sz w:val="14"/>
              </w:rPr>
              <w:t>Dividends (4b)</w:t>
            </w:r>
          </w:p>
        </w:tc>
        <w:tc>
          <w:tcPr>
            <w:tcW w:w="14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left"/>
              <w:rPr/>
            </w:pPr>
            <w:r>
              <w:rPr/>
              <w:t> </w:t>
            </w:r>
          </w:p>
        </w:tc>
        <w:tc>
          <w:tcPr>
            <w:tcW w:w="957" w:type="dxa"/>
            <w:gridSpan w:val="2"/>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rFonts w:ascii="Arial" w:hAnsi="Arial"/>
                <w:b/>
                <w:color w:val="FFFFFF"/>
                <w:sz w:val="14"/>
              </w:rPr>
            </w:pPr>
            <w:r>
              <w:rPr>
                <w:rFonts w:ascii="Arial" w:hAnsi="Arial"/>
                <w:b/>
                <w:color w:val="FFFFFF"/>
                <w:sz w:val="14"/>
              </w:rPr>
              <w:t>Relocation Payments</w:t>
            </w:r>
          </w:p>
        </w:tc>
        <w:tc>
          <w:tcPr>
            <w:tcW w:w="14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rFonts w:ascii="Arial" w:hAnsi="Arial"/>
                <w:b/>
                <w:color w:val="FFFFFF"/>
                <w:sz w:val="14"/>
              </w:rPr>
            </w:pPr>
            <w:r>
              <w:rPr>
                <w:rFonts w:ascii="Arial" w:hAnsi="Arial"/>
                <w:b/>
                <w:color w:val="FFFFFF"/>
                <w:sz w:val="14"/>
              </w:rPr>
              <w:t>Other</w:t>
            </w:r>
          </w:p>
        </w:tc>
        <w:tc>
          <w:tcPr>
            <w:tcW w:w="14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pPr>
            <w:r>
              <w:rPr/>
              <w:t> </w:t>
            </w:r>
          </w:p>
        </w:tc>
        <w:tc>
          <w:tcPr>
            <w:tcW w:w="312"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rFonts w:ascii="Arial" w:hAnsi="Arial"/>
                <w:b/>
                <w:color w:val="FFFFFF"/>
                <w:sz w:val="14"/>
              </w:rPr>
            </w:pPr>
            <w:r>
              <w:rPr>
                <w:rFonts w:ascii="Arial" w:hAnsi="Arial"/>
                <w:b/>
                <w:color w:val="FFFFFF"/>
                <w:sz w:val="14"/>
              </w:rPr>
              <w:t>Total (5)</w:t>
            </w:r>
          </w:p>
        </w:tc>
        <w:tc>
          <w:tcPr>
            <w:tcW w:w="197"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pPr>
            <w:r>
              <w:rPr/>
              <w:t> </w:t>
            </w:r>
          </w:p>
        </w:tc>
      </w:tr>
      <w:tr>
        <w:trPr/>
        <w:tc>
          <w:tcPr>
            <w:tcW w:w="968"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Mark P. Smith</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70"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18,000</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15"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10,500</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7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22,980</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603"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50,707</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14"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72,315</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26"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37,584</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D9D9D9"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4"/>
              </w:rPr>
            </w:pPr>
            <w:r>
              <w:rPr>
                <w:rFonts w:ascii="Arial" w:hAnsi="Arial"/>
                <w:color w:val="000000"/>
                <w:sz w:val="14"/>
              </w:rPr>
              <w:t>(4c)</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601"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212,086</w:t>
            </w:r>
          </w:p>
        </w:tc>
        <w:tc>
          <w:tcPr>
            <w:tcW w:w="19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Deana L. McPherson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12,000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10,500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22,980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16,065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3,998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4"/>
              </w:rPr>
            </w:pPr>
            <w:r>
              <w:rPr>
                <w:rFonts w:ascii="Arial" w:hAnsi="Arial"/>
                <w:color w:val="000000"/>
                <w:sz w:val="14"/>
              </w:rPr>
              <w:t>(4d)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65,543</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8"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Kevin A. Maxwell</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70"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10,800</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15"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6,929</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7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22,980</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603"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11,939</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26"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1,081</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D9D9D9"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4"/>
              </w:rPr>
            </w:pPr>
            <w:r>
              <w:rPr>
                <w:rFonts w:ascii="Arial" w:hAnsi="Arial"/>
                <w:color w:val="000000"/>
                <w:sz w:val="14"/>
              </w:rPr>
              <w:t>(4e)</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601"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53,729</w:t>
            </w:r>
          </w:p>
        </w:tc>
        <w:tc>
          <w:tcPr>
            <w:tcW w:w="19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Kyle O. Tengwall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10,800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7,933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21,461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4"/>
              </w:rPr>
            </w:pPr>
            <w:r>
              <w:rPr>
                <w:rFonts w:ascii="Arial" w:hAnsi="Arial"/>
                <w:color w:val="000000"/>
                <w:sz w:val="14"/>
              </w:rPr>
              <w:t>(4d)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40,799</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8"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Susan J. Cupero (6)</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601"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374,530</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70"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10,800</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15"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415</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603"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20,511</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26"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35</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D9D9D9"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4"/>
              </w:rPr>
            </w:pPr>
            <w:r>
              <w:rPr>
                <w:rFonts w:ascii="Arial" w:hAnsi="Arial"/>
                <w:color w:val="000000"/>
                <w:sz w:val="14"/>
              </w:rPr>
              <w:t>(4f)</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601"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406,291</w:t>
            </w:r>
          </w:p>
        </w:tc>
        <w:tc>
          <w:tcPr>
            <w:tcW w:w="19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8" w:type="dxa"/>
            <w:tcBorders>
              <w:bottom w:val="single" w:sz="18" w:space="0" w:color="0070A2"/>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70A2"/>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18" w:space="0" w:color="0070A2"/>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70A2"/>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70A2"/>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gridSpan w:val="2"/>
            <w:tcBorders>
              <w:bottom w:val="single" w:sz="18" w:space="0" w:color="0070A2"/>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70A2"/>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70A2"/>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gridSpan w:val="2"/>
            <w:tcBorders>
              <w:bottom w:val="single" w:sz="18" w:space="0" w:color="0070A2"/>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70A2"/>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70A2"/>
            </w:tcBorders>
            <w:shd w:fill="FFFFFF" w:val="clear"/>
            <w:tcMar>
              <w:top w:w="0" w:type="dxa"/>
              <w:left w:w="0" w:type="dxa"/>
              <w:right w:w="0" w:type="dxa"/>
            </w:tcMar>
            <w:vAlign w:val="center"/>
          </w:tcPr>
          <w:p>
            <w:pPr>
              <w:pStyle w:val="TableContents"/>
              <w:bidi w:val="0"/>
              <w:spacing w:before="0" w:after="283"/>
              <w:jc w:val="left"/>
              <w:rPr/>
            </w:pPr>
            <w:r>
              <w:rPr/>
              <w:t> </w:t>
            </w:r>
          </w:p>
        </w:tc>
        <w:tc>
          <w:tcPr>
            <w:tcW w:w="774" w:type="dxa"/>
            <w:gridSpan w:val="2"/>
            <w:tcBorders>
              <w:bottom w:val="single" w:sz="18" w:space="0" w:color="0070A2"/>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70A2"/>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70A2"/>
            </w:tcBorders>
            <w:shd w:fill="FFFFFF" w:val="clear"/>
            <w:tcMar>
              <w:top w:w="0" w:type="dxa"/>
              <w:left w:w="0" w:type="dxa"/>
              <w:right w:w="0" w:type="dxa"/>
            </w:tcMar>
            <w:vAlign w:val="center"/>
          </w:tcPr>
          <w:p>
            <w:pPr>
              <w:pStyle w:val="TableContents"/>
              <w:bidi w:val="0"/>
              <w:spacing w:before="0" w:after="283"/>
              <w:jc w:val="left"/>
              <w:rPr/>
            </w:pPr>
            <w:r>
              <w:rPr/>
              <w:t> </w:t>
            </w:r>
          </w:p>
        </w:tc>
        <w:tc>
          <w:tcPr>
            <w:tcW w:w="809" w:type="dxa"/>
            <w:gridSpan w:val="2"/>
            <w:tcBorders>
              <w:bottom w:val="single" w:sz="18" w:space="0" w:color="0070A2"/>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70A2"/>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70A2"/>
            </w:tcBorders>
            <w:shd w:fill="FFFFFF" w:val="clear"/>
            <w:tcMar>
              <w:top w:w="0" w:type="dxa"/>
              <w:left w:w="0" w:type="dxa"/>
              <w:right w:w="0" w:type="dxa"/>
            </w:tcMar>
            <w:vAlign w:val="center"/>
          </w:tcPr>
          <w:p>
            <w:pPr>
              <w:pStyle w:val="TableContents"/>
              <w:bidi w:val="0"/>
              <w:spacing w:before="0" w:after="283"/>
              <w:jc w:val="left"/>
              <w:rPr/>
            </w:pPr>
            <w:r>
              <w:rPr/>
              <w:t> </w:t>
            </w:r>
          </w:p>
        </w:tc>
        <w:tc>
          <w:tcPr>
            <w:tcW w:w="957" w:type="dxa"/>
            <w:gridSpan w:val="2"/>
            <w:tcBorders>
              <w:bottom w:val="single" w:sz="18" w:space="0" w:color="0070A2"/>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70A2"/>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70A2"/>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18" w:space="0" w:color="0070A2"/>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70A2"/>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tcBorders>
              <w:bottom w:val="single" w:sz="18" w:space="0" w:color="0070A2"/>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18" w:space="0" w:color="0070A2"/>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single" w:sz="18" w:space="0" w:color="0070A2"/>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60" w:after="283"/>
        <w:jc w:val="both"/>
        <w:rPr>
          <w:rFonts w:ascii="Times New Roman" w:hAnsi="Times New Roman"/>
          <w:sz w:val="20"/>
        </w:rPr>
      </w:pPr>
      <w:r>
        <w:rPr>
          <w:rFonts w:ascii="Arial" w:hAnsi="Arial"/>
          <w:color w:val="000000"/>
          <w:sz w:val="16"/>
        </w:rPr>
        <w:t>(4a) Profit sharing amounts earned in fiscal 2026 that exceeded the 401(k) maximum contribution limit will be contributed to the Deferred Compensation Plan (as defined below) upon payout in fiscal 2027. For further information, see “Retirement Plans — Nonqualified Deferred Compensation” below.</w:t>
      </w:r>
      <w:r>
        <w:rPr>
          <w:rFonts w:ascii="Times New Roman" w:hAnsi="Times New Roman"/>
          <w:color w:val="000000"/>
          <w:sz w:val="20"/>
        </w:rPr>
        <w:t xml:space="preserve"> </w:t>
      </w:r>
    </w:p>
    <w:p>
      <w:pPr>
        <w:pStyle w:val="TextBody"/>
        <w:bidi w:val="0"/>
        <w:spacing w:before="60" w:after="283"/>
        <w:jc w:val="both"/>
        <w:rPr>
          <w:rFonts w:ascii="Arial" w:hAnsi="Arial"/>
          <w:color w:val="000000"/>
          <w:sz w:val="16"/>
        </w:rPr>
      </w:pPr>
      <w:r>
        <w:rPr>
          <w:rFonts w:ascii="Arial" w:hAnsi="Arial"/>
          <w:color w:val="000000"/>
          <w:sz w:val="16"/>
        </w:rPr>
        <w:t>(4b) Consists of dividends paid on shares delivered within the fiscal year.</w:t>
      </w:r>
    </w:p>
    <w:p>
      <w:pPr>
        <w:pStyle w:val="TextBody"/>
        <w:bidi w:val="0"/>
        <w:spacing w:before="60" w:after="283"/>
        <w:jc w:val="both"/>
        <w:rPr>
          <w:rFonts w:ascii="Arial" w:hAnsi="Arial"/>
          <w:color w:val="000000"/>
          <w:sz w:val="16"/>
        </w:rPr>
      </w:pPr>
      <w:r>
        <w:rPr>
          <w:rFonts w:ascii="Arial" w:hAnsi="Arial"/>
          <w:color w:val="000000"/>
          <w:sz w:val="16"/>
        </w:rPr>
        <w:t>(4c) Consists of costs associated with the installation of a security system at Mr. Smith's personal residence, reimbursement of disability insurance premiums, certain products provided without cost, and federal firearm license fees.</w:t>
      </w:r>
    </w:p>
    <w:p>
      <w:pPr>
        <w:pStyle w:val="TextBody"/>
        <w:bidi w:val="0"/>
        <w:jc w:val="both"/>
        <w:rPr>
          <w:rFonts w:ascii="Arial" w:hAnsi="Arial"/>
          <w:color w:val="000000"/>
          <w:sz w:val="16"/>
        </w:rPr>
      </w:pPr>
      <w:r>
        <w:rPr>
          <w:rFonts w:ascii="Arial" w:hAnsi="Arial"/>
          <w:color w:val="000000"/>
          <w:sz w:val="16"/>
        </w:rPr>
        <w:t>(4d) Consists of reimbursement of disability insurance premiums.</w:t>
      </w:r>
    </w:p>
    <w:p>
      <w:pPr>
        <w:pStyle w:val="TextBody"/>
        <w:bidi w:val="0"/>
        <w:spacing w:before="60" w:after="283"/>
        <w:jc w:val="both"/>
        <w:rPr>
          <w:rFonts w:ascii="Arial" w:hAnsi="Arial"/>
          <w:color w:val="000000"/>
          <w:sz w:val="16"/>
        </w:rPr>
      </w:pPr>
      <w:r>
        <w:rPr>
          <w:rFonts w:ascii="Arial" w:hAnsi="Arial"/>
          <w:color w:val="000000"/>
          <w:sz w:val="16"/>
        </w:rPr>
        <w:t>(4e) Consists of reimbursement of disability insurance premiums and federal firearm license fees.</w:t>
      </w:r>
    </w:p>
    <w:p>
      <w:pPr>
        <w:pStyle w:val="TextBody"/>
        <w:bidi w:val="0"/>
        <w:spacing w:before="60" w:after="283"/>
        <w:jc w:val="both"/>
        <w:rPr>
          <w:rFonts w:ascii="Arial" w:hAnsi="Arial"/>
          <w:color w:val="000000"/>
          <w:sz w:val="16"/>
        </w:rPr>
      </w:pPr>
      <w:r>
        <w:rPr>
          <w:rFonts w:ascii="Arial" w:hAnsi="Arial"/>
          <w:color w:val="000000"/>
          <w:sz w:val="16"/>
        </w:rPr>
        <w:t>(4f) Consists of federal firearm license fees.</w:t>
      </w:r>
    </w:p>
    <w:p>
      <w:pPr>
        <w:pStyle w:val="TextBody"/>
        <w:bidi w:val="0"/>
        <w:spacing w:before="60" w:after="283"/>
        <w:jc w:val="both"/>
        <w:rPr>
          <w:rFonts w:ascii="Times New Roman" w:hAnsi="Times New Roman"/>
          <w:sz w:val="20"/>
        </w:rPr>
      </w:pPr>
      <w:r>
        <w:rPr>
          <w:rFonts w:ascii="Arial" w:hAnsi="Arial"/>
          <w:color w:val="000000"/>
          <w:sz w:val="16"/>
        </w:rPr>
        <w:t>(5) The dollar value in this column for each NEO represents the sum of all compensation reflected in the previous columns.</w:t>
      </w:r>
      <w:r>
        <w:rPr>
          <w:rFonts w:ascii="Times New Roman" w:hAnsi="Times New Roman"/>
          <w:color w:val="000000"/>
          <w:sz w:val="20"/>
        </w:rPr>
        <w:t xml:space="preserve"> </w:t>
      </w:r>
    </w:p>
    <w:p>
      <w:pPr>
        <w:pStyle w:val="TextBody"/>
        <w:bidi w:val="0"/>
        <w:spacing w:before="60" w:after="283"/>
        <w:jc w:val="both"/>
        <w:rPr>
          <w:rFonts w:ascii="Arial" w:hAnsi="Arial"/>
          <w:color w:val="000000"/>
          <w:sz w:val="16"/>
        </w:rPr>
      </w:pPr>
      <w:r>
        <w:rPr>
          <w:rFonts w:ascii="Arial" w:hAnsi="Arial"/>
          <w:color w:val="000000"/>
          <w:sz w:val="16"/>
        </w:rPr>
        <w:t>(6) Ms. Cupero retired from the Company on May 5, 2025.</w:t>
      </w:r>
    </w:p>
    <w:p>
      <w:pPr>
        <w:pStyle w:val="TextBody"/>
        <w:bidi w:val="0"/>
        <w:spacing w:before="60" w:after="283"/>
        <w:jc w:val="both"/>
        <w:rPr>
          <w:rFonts w:ascii="Arial" w:hAnsi="Arial"/>
          <w:color w:val="000000"/>
          <w:sz w:val="16"/>
        </w:rPr>
      </w:pPr>
      <w:r>
        <w:rPr>
          <w:rFonts w:ascii="Arial" w:hAnsi="Arial"/>
          <w:color w:val="000000"/>
          <w:sz w:val="16"/>
        </w:rPr>
        <w:t>(7) Compensation information for Mr. Tengwall is provided for only fiscal 2026 since he was not an NEO during fiscal 2025 or during the fiscal year ending April 30, 2024.</w:t>
      </w:r>
    </w:p>
    <w:p>
      <w:pPr>
        <w:pStyle w:val="TextBody"/>
        <w:bidi w:val="0"/>
        <w:spacing w:before="60" w:after="283"/>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2668"/>
          <w:sz w:val="28"/>
        </w:rPr>
        <w:t>FISCAL 2026 GRANTS OF PLAN-BASED AWARDS</w:t>
      </w:r>
      <w:r>
        <w:rPr>
          <w:rFonts w:ascii="Times New Roman" w:hAnsi="Times New Roman"/>
          <w:color w:val="002668"/>
          <w:sz w:val="20"/>
        </w:rPr>
        <w:t xml:space="preserve"> </w:t>
      </w:r>
    </w:p>
    <w:p>
      <w:pPr>
        <w:pStyle w:val="TextBody"/>
        <w:bidi w:val="0"/>
        <w:jc w:val="both"/>
        <w:rPr>
          <w:rFonts w:ascii="Arial" w:hAnsi="Arial"/>
          <w:color w:val="000000"/>
          <w:sz w:val="20"/>
        </w:rPr>
      </w:pPr>
      <w:r>
        <w:rPr>
          <w:rFonts w:ascii="Arial" w:hAnsi="Arial"/>
          <w:color w:val="000000"/>
          <w:sz w:val="20"/>
        </w:rPr>
        <w:t>The following table sets forth certain information with respect to grants of plan-based awards to our NEOs during fiscal 2026. Ms. Cupero retired from the Company on May 5, 2026 and did not receive any grants of plan-based awards during 2026.</w:t>
      </w:r>
    </w:p>
    <w:p>
      <w:pPr>
        <w:pStyle w:val="TextBody"/>
        <w:bidi w:val="0"/>
        <w:jc w:val="both"/>
        <w:rPr/>
      </w:pPr>
      <w:r>
        <w:rPr/>
        <w:t> </w:t>
      </w:r>
    </w:p>
    <w:tbl>
      <w:tblPr>
        <w:tblW w:w="10343" w:type="dxa"/>
        <w:jc w:val="left"/>
        <w:tblInd w:w="0" w:type="dxa"/>
        <w:tblLayout w:type="fixed"/>
        <w:tblCellMar>
          <w:top w:w="28" w:type="dxa"/>
          <w:left w:w="28" w:type="dxa"/>
          <w:bottom w:w="28" w:type="dxa"/>
          <w:right w:w="28" w:type="dxa"/>
        </w:tblCellMar>
      </w:tblPr>
      <w:tblGrid>
        <w:gridCol w:w="676"/>
        <w:gridCol w:w="146"/>
        <w:gridCol w:w="376"/>
        <w:gridCol w:w="146"/>
        <w:gridCol w:w="194"/>
        <w:gridCol w:w="407"/>
        <w:gridCol w:w="146"/>
        <w:gridCol w:w="146"/>
        <w:gridCol w:w="166"/>
        <w:gridCol w:w="346"/>
        <w:gridCol w:w="146"/>
        <w:gridCol w:w="146"/>
        <w:gridCol w:w="189"/>
        <w:gridCol w:w="397"/>
        <w:gridCol w:w="146"/>
        <w:gridCol w:w="146"/>
        <w:gridCol w:w="150"/>
        <w:gridCol w:w="451"/>
        <w:gridCol w:w="146"/>
        <w:gridCol w:w="146"/>
        <w:gridCol w:w="146"/>
        <w:gridCol w:w="496"/>
        <w:gridCol w:w="146"/>
        <w:gridCol w:w="146"/>
        <w:gridCol w:w="146"/>
        <w:gridCol w:w="496"/>
        <w:gridCol w:w="146"/>
        <w:gridCol w:w="146"/>
        <w:gridCol w:w="146"/>
        <w:gridCol w:w="496"/>
        <w:gridCol w:w="146"/>
        <w:gridCol w:w="146"/>
        <w:gridCol w:w="191"/>
        <w:gridCol w:w="455"/>
        <w:gridCol w:w="146"/>
        <w:gridCol w:w="146"/>
        <w:gridCol w:w="180"/>
        <w:gridCol w:w="376"/>
        <w:gridCol w:w="146"/>
        <w:gridCol w:w="146"/>
        <w:gridCol w:w="166"/>
        <w:gridCol w:w="586"/>
        <w:gridCol w:w="191"/>
      </w:tblGrid>
      <w:tr>
        <w:trPr/>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76" w:type="dxa"/>
            <w:tcBorders/>
            <w:shd w:fill="002668"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2668" w:val="clear"/>
            <w:tcMar>
              <w:top w:w="0" w:type="dxa"/>
              <w:left w:w="0" w:type="dxa"/>
              <w:bottom w:w="0" w:type="dxa"/>
              <w:right w:w="0" w:type="dxa"/>
            </w:tcMar>
            <w:vAlign w:val="center"/>
          </w:tcPr>
          <w:p>
            <w:pPr>
              <w:pStyle w:val="TableContents"/>
              <w:bidi w:val="0"/>
              <w:spacing w:before="0" w:after="283"/>
              <w:jc w:val="center"/>
              <w:rPr/>
            </w:pPr>
            <w:r>
              <w:rPr/>
              <w:t> </w:t>
            </w:r>
          </w:p>
        </w:tc>
        <w:tc>
          <w:tcPr>
            <w:tcW w:w="376" w:type="dxa"/>
            <w:tcBorders/>
            <w:shd w:fill="002668"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2668" w:val="clear"/>
            <w:tcMar>
              <w:top w:w="0" w:type="dxa"/>
              <w:left w:w="0" w:type="dxa"/>
              <w:bottom w:w="0" w:type="dxa"/>
              <w:right w:w="0" w:type="dxa"/>
            </w:tcMar>
            <w:vAlign w:val="center"/>
          </w:tcPr>
          <w:p>
            <w:pPr>
              <w:pStyle w:val="TableContents"/>
              <w:bidi w:val="0"/>
              <w:spacing w:before="0" w:after="283"/>
              <w:jc w:val="center"/>
              <w:rPr/>
            </w:pPr>
            <w:r>
              <w:rPr/>
              <w:t> </w:t>
            </w:r>
          </w:p>
        </w:tc>
        <w:tc>
          <w:tcPr>
            <w:tcW w:w="2283" w:type="dxa"/>
            <w:gridSpan w:val="10"/>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rFonts w:ascii="Arial" w:hAnsi="Arial"/>
                <w:b/>
                <w:color w:val="FFFFFF"/>
                <w:sz w:val="11"/>
              </w:rPr>
            </w:pPr>
            <w:r>
              <w:rPr>
                <w:rFonts w:ascii="Arial" w:hAnsi="Arial"/>
                <w:b/>
                <w:color w:val="FFFFFF"/>
                <w:sz w:val="11"/>
              </w:rPr>
              <w:t>Estimated Future Payouts</w:t>
              <w:br/>
              <w:t>Under Non-Equity Incentive</w:t>
              <w:br/>
              <w:t>Plan Awards (1)</w:t>
            </w:r>
          </w:p>
        </w:tc>
        <w:tc>
          <w:tcPr>
            <w:tcW w:w="14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002668" w:val="clear"/>
            <w:tcMar>
              <w:top w:w="0" w:type="dxa"/>
              <w:left w:w="0" w:type="dxa"/>
              <w:right w:w="0" w:type="dxa"/>
            </w:tcMar>
            <w:vAlign w:val="center"/>
          </w:tcPr>
          <w:p>
            <w:pPr>
              <w:pStyle w:val="TableContents"/>
              <w:bidi w:val="0"/>
              <w:spacing w:before="0" w:after="283"/>
              <w:jc w:val="center"/>
              <w:rPr/>
            </w:pPr>
            <w:r>
              <w:rPr/>
              <w:t> </w:t>
            </w:r>
          </w:p>
        </w:tc>
        <w:tc>
          <w:tcPr>
            <w:tcW w:w="2469" w:type="dxa"/>
            <w:gridSpan w:val="10"/>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rFonts w:ascii="Arial" w:hAnsi="Arial"/>
                <w:b/>
                <w:color w:val="FFFFFF"/>
                <w:sz w:val="11"/>
              </w:rPr>
            </w:pPr>
            <w:r>
              <w:rPr>
                <w:rFonts w:ascii="Arial" w:hAnsi="Arial"/>
                <w:b/>
                <w:color w:val="FFFFFF"/>
                <w:sz w:val="11"/>
              </w:rPr>
              <w:t>Estimated Future Payouts</w:t>
              <w:br/>
              <w:t>Under Equity Incentive</w:t>
              <w:br/>
              <w:t>Plan Awards (2)</w:t>
            </w:r>
          </w:p>
        </w:tc>
        <w:tc>
          <w:tcPr>
            <w:tcW w:w="14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002668" w:val="clear"/>
            <w:tcMar>
              <w:top w:w="0" w:type="dxa"/>
              <w:left w:w="0" w:type="dxa"/>
              <w:right w:w="0" w:type="dxa"/>
            </w:tcMar>
            <w:vAlign w:val="center"/>
          </w:tcPr>
          <w:p>
            <w:pPr>
              <w:pStyle w:val="TableContents"/>
              <w:bidi w:val="0"/>
              <w:spacing w:before="0" w:after="283"/>
              <w:jc w:val="center"/>
              <w:rPr/>
            </w:pPr>
            <w:r>
              <w:rPr/>
              <w:t> </w:t>
            </w:r>
          </w:p>
        </w:tc>
        <w:tc>
          <w:tcPr>
            <w:tcW w:w="642" w:type="dxa"/>
            <w:gridSpan w:val="2"/>
            <w:tcBorders/>
            <w:shd w:fill="002668" w:val="clear"/>
            <w:tcMar>
              <w:top w:w="0" w:type="dxa"/>
              <w:left w:w="0" w:type="dxa"/>
              <w:bottom w:w="0" w:type="dxa"/>
              <w:right w:w="0" w:type="dxa"/>
            </w:tcMar>
            <w:vAlign w:val="center"/>
          </w:tcPr>
          <w:p>
            <w:pPr>
              <w:pStyle w:val="TableContents"/>
              <w:bidi w:val="0"/>
              <w:spacing w:before="0" w:after="283"/>
              <w:jc w:val="center"/>
              <w:rPr>
                <w:rFonts w:ascii="Arial" w:hAnsi="Arial"/>
                <w:b/>
                <w:color w:val="FFFFFF"/>
                <w:sz w:val="11"/>
              </w:rPr>
            </w:pPr>
            <w:r>
              <w:rPr>
                <w:rFonts w:ascii="Arial" w:hAnsi="Arial"/>
                <w:b/>
                <w:color w:val="FFFFFF"/>
                <w:sz w:val="11"/>
              </w:rPr>
              <w:t>All</w:t>
              <w:br/>
              <w:t>Other</w:t>
              <w:br/>
              <w:t>Stock</w:t>
              <w:br/>
              <w:t>Awards:</w:t>
              <w:br/>
              <w:t>Number</w:t>
              <w:br/>
              <w:t>of Shares</w:t>
              <w:br/>
              <w:t>of Stock</w:t>
            </w:r>
          </w:p>
        </w:tc>
        <w:tc>
          <w:tcPr>
            <w:tcW w:w="146" w:type="dxa"/>
            <w:tcBorders/>
            <w:shd w:fill="002668"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2668"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gridSpan w:val="2"/>
            <w:tcBorders/>
            <w:shd w:fill="002668" w:val="clear"/>
            <w:tcMar>
              <w:top w:w="0" w:type="dxa"/>
              <w:left w:w="0" w:type="dxa"/>
              <w:bottom w:w="0" w:type="dxa"/>
              <w:right w:w="0" w:type="dxa"/>
            </w:tcMar>
            <w:vAlign w:val="center"/>
          </w:tcPr>
          <w:p>
            <w:pPr>
              <w:pStyle w:val="TableContents"/>
              <w:bidi w:val="0"/>
              <w:spacing w:before="0" w:after="283"/>
              <w:jc w:val="center"/>
              <w:rPr>
                <w:rFonts w:ascii="Arial" w:hAnsi="Arial"/>
                <w:b/>
                <w:color w:val="FFFFFF"/>
                <w:sz w:val="11"/>
              </w:rPr>
            </w:pPr>
            <w:r>
              <w:rPr>
                <w:rFonts w:ascii="Arial" w:hAnsi="Arial"/>
                <w:b/>
                <w:color w:val="FFFFFF"/>
                <w:sz w:val="11"/>
              </w:rPr>
              <w:t>All Other</w:t>
              <w:br/>
              <w:t>Option</w:t>
              <w:br/>
              <w:t>Awards:</w:t>
              <w:br/>
              <w:t>Number of</w:t>
              <w:br/>
              <w:t>Securities</w:t>
              <w:br/>
              <w:t>Underlying</w:t>
            </w:r>
          </w:p>
        </w:tc>
        <w:tc>
          <w:tcPr>
            <w:tcW w:w="146" w:type="dxa"/>
            <w:tcBorders/>
            <w:shd w:fill="002668"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2668"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gridSpan w:val="2"/>
            <w:tcBorders/>
            <w:shd w:fill="002668" w:val="clear"/>
            <w:tcMar>
              <w:top w:w="0" w:type="dxa"/>
              <w:left w:w="0" w:type="dxa"/>
              <w:bottom w:w="0" w:type="dxa"/>
              <w:right w:w="0" w:type="dxa"/>
            </w:tcMar>
            <w:vAlign w:val="center"/>
          </w:tcPr>
          <w:p>
            <w:pPr>
              <w:pStyle w:val="TableContents"/>
              <w:bidi w:val="0"/>
              <w:spacing w:before="0" w:after="283"/>
              <w:jc w:val="center"/>
              <w:rPr>
                <w:rFonts w:ascii="Arial" w:hAnsi="Arial"/>
                <w:b/>
                <w:color w:val="FFFFFF"/>
                <w:sz w:val="11"/>
              </w:rPr>
            </w:pPr>
            <w:r>
              <w:rPr>
                <w:rFonts w:ascii="Arial" w:hAnsi="Arial"/>
                <w:b/>
                <w:color w:val="FFFFFF"/>
                <w:sz w:val="11"/>
              </w:rPr>
              <w:t>Exercise</w:t>
              <w:br/>
              <w:t>or Base</w:t>
              <w:br/>
              <w:t>Price of</w:t>
              <w:br/>
              <w:t>Option</w:t>
            </w:r>
          </w:p>
        </w:tc>
        <w:tc>
          <w:tcPr>
            <w:tcW w:w="146" w:type="dxa"/>
            <w:tcBorders/>
            <w:shd w:fill="002668"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2668"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002668" w:val="clear"/>
            <w:tcMar>
              <w:top w:w="0" w:type="dxa"/>
              <w:left w:w="0" w:type="dxa"/>
              <w:bottom w:w="0" w:type="dxa"/>
              <w:right w:w="0" w:type="dxa"/>
            </w:tcMar>
            <w:vAlign w:val="center"/>
          </w:tcPr>
          <w:p>
            <w:pPr>
              <w:pStyle w:val="TableContents"/>
              <w:bidi w:val="0"/>
              <w:spacing w:before="0" w:after="283"/>
              <w:jc w:val="center"/>
              <w:rPr>
                <w:rFonts w:ascii="Arial" w:hAnsi="Arial"/>
                <w:b/>
                <w:color w:val="FFFFFF"/>
                <w:sz w:val="11"/>
              </w:rPr>
            </w:pPr>
            <w:r>
              <w:rPr>
                <w:rFonts w:ascii="Arial" w:hAnsi="Arial"/>
                <w:b/>
                <w:color w:val="FFFFFF"/>
                <w:sz w:val="11"/>
              </w:rPr>
              <w:t>Grant</w:t>
              <w:br/>
              <w:t>Date Fair</w:t>
              <w:br/>
              <w:t>Value of</w:t>
              <w:br/>
              <w:t>Stock and</w:t>
              <w:br/>
              <w:t>Option</w:t>
            </w:r>
          </w:p>
        </w:tc>
        <w:tc>
          <w:tcPr>
            <w:tcW w:w="191" w:type="dxa"/>
            <w:tcBorders/>
            <w:shd w:fill="002668"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7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rFonts w:ascii="Arial" w:hAnsi="Arial"/>
                <w:b/>
                <w:color w:val="FFFFFF"/>
                <w:sz w:val="11"/>
              </w:rPr>
            </w:pPr>
            <w:r>
              <w:rPr>
                <w:rFonts w:ascii="Arial" w:hAnsi="Arial"/>
                <w:b/>
                <w:color w:val="FFFFFF"/>
                <w:sz w:val="11"/>
              </w:rPr>
              <w:t>Name</w:t>
            </w:r>
          </w:p>
        </w:tc>
        <w:tc>
          <w:tcPr>
            <w:tcW w:w="14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pPr>
            <w:r>
              <w:rPr/>
              <w:t> </w:t>
            </w:r>
          </w:p>
        </w:tc>
        <w:tc>
          <w:tcPr>
            <w:tcW w:w="37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rFonts w:ascii="Arial" w:hAnsi="Arial"/>
                <w:b/>
                <w:color w:val="FFFFFF"/>
                <w:sz w:val="11"/>
              </w:rPr>
            </w:pPr>
            <w:r>
              <w:rPr>
                <w:rFonts w:ascii="Arial" w:hAnsi="Arial"/>
                <w:b/>
                <w:color w:val="FFFFFF"/>
                <w:sz w:val="11"/>
              </w:rPr>
              <w:t>Grant</w:t>
              <w:br/>
              <w:t>Date</w:t>
            </w:r>
          </w:p>
        </w:tc>
        <w:tc>
          <w:tcPr>
            <w:tcW w:w="14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pPr>
            <w:r>
              <w:rPr/>
              <w:t> </w:t>
            </w:r>
          </w:p>
        </w:tc>
        <w:tc>
          <w:tcPr>
            <w:tcW w:w="601" w:type="dxa"/>
            <w:gridSpan w:val="2"/>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rFonts w:ascii="Arial" w:hAnsi="Arial"/>
                <w:b/>
                <w:color w:val="FFFFFF"/>
                <w:sz w:val="11"/>
              </w:rPr>
            </w:pPr>
            <w:r>
              <w:rPr>
                <w:rFonts w:ascii="Arial" w:hAnsi="Arial"/>
                <w:b/>
                <w:color w:val="FFFFFF"/>
                <w:sz w:val="11"/>
              </w:rPr>
              <w:t>Threshold</w:t>
              <w:br/>
              <w:t>($)</w:t>
            </w:r>
          </w:p>
        </w:tc>
        <w:tc>
          <w:tcPr>
            <w:tcW w:w="14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pPr>
            <w:r>
              <w:rPr/>
              <w:t> </w:t>
            </w:r>
          </w:p>
        </w:tc>
        <w:tc>
          <w:tcPr>
            <w:tcW w:w="512" w:type="dxa"/>
            <w:gridSpan w:val="2"/>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rFonts w:ascii="Arial" w:hAnsi="Arial"/>
                <w:b/>
                <w:color w:val="FFFFFF"/>
                <w:sz w:val="11"/>
              </w:rPr>
            </w:pPr>
            <w:r>
              <w:rPr>
                <w:rFonts w:ascii="Arial" w:hAnsi="Arial"/>
                <w:b/>
                <w:color w:val="FFFFFF"/>
                <w:sz w:val="11"/>
              </w:rPr>
              <w:t>Target</w:t>
              <w:br/>
              <w:t>($)</w:t>
            </w:r>
          </w:p>
        </w:tc>
        <w:tc>
          <w:tcPr>
            <w:tcW w:w="14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pPr>
            <w:r>
              <w:rPr/>
              <w:t> </w:t>
            </w:r>
          </w:p>
        </w:tc>
        <w:tc>
          <w:tcPr>
            <w:tcW w:w="586" w:type="dxa"/>
            <w:gridSpan w:val="2"/>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rFonts w:ascii="Arial" w:hAnsi="Arial"/>
                <w:b/>
                <w:color w:val="FFFFFF"/>
                <w:sz w:val="11"/>
              </w:rPr>
            </w:pPr>
            <w:r>
              <w:rPr>
                <w:rFonts w:ascii="Arial" w:hAnsi="Arial"/>
                <w:b/>
                <w:color w:val="FFFFFF"/>
                <w:sz w:val="11"/>
              </w:rPr>
              <w:t>Maximum</w:t>
              <w:br/>
              <w:t>($)</w:t>
            </w:r>
          </w:p>
        </w:tc>
        <w:tc>
          <w:tcPr>
            <w:tcW w:w="14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pPr>
            <w:r>
              <w:rPr/>
              <w:t> </w:t>
            </w:r>
          </w:p>
        </w:tc>
        <w:tc>
          <w:tcPr>
            <w:tcW w:w="601" w:type="dxa"/>
            <w:gridSpan w:val="2"/>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rFonts w:ascii="Arial" w:hAnsi="Arial"/>
                <w:b/>
                <w:color w:val="FFFFFF"/>
                <w:sz w:val="11"/>
              </w:rPr>
            </w:pPr>
            <w:r>
              <w:rPr>
                <w:rFonts w:ascii="Arial" w:hAnsi="Arial"/>
                <w:b/>
                <w:color w:val="FFFFFF"/>
                <w:sz w:val="11"/>
              </w:rPr>
              <w:t>Threshold</w:t>
              <w:br/>
              <w:t>(#)</w:t>
            </w:r>
          </w:p>
        </w:tc>
        <w:tc>
          <w:tcPr>
            <w:tcW w:w="14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pPr>
            <w:r>
              <w:rPr/>
              <w:t> </w:t>
            </w:r>
          </w:p>
        </w:tc>
        <w:tc>
          <w:tcPr>
            <w:tcW w:w="642" w:type="dxa"/>
            <w:gridSpan w:val="2"/>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rFonts w:ascii="Arial" w:hAnsi="Arial"/>
                <w:b/>
                <w:color w:val="FFFFFF"/>
                <w:sz w:val="11"/>
              </w:rPr>
            </w:pPr>
            <w:r>
              <w:rPr>
                <w:rFonts w:ascii="Arial" w:hAnsi="Arial"/>
                <w:b/>
                <w:color w:val="FFFFFF"/>
                <w:sz w:val="11"/>
              </w:rPr>
              <w:t>Target</w:t>
              <w:br/>
              <w:t>(#)</w:t>
            </w:r>
          </w:p>
        </w:tc>
        <w:tc>
          <w:tcPr>
            <w:tcW w:w="14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pPr>
            <w:r>
              <w:rPr/>
              <w:t> </w:t>
            </w:r>
          </w:p>
        </w:tc>
        <w:tc>
          <w:tcPr>
            <w:tcW w:w="642" w:type="dxa"/>
            <w:gridSpan w:val="2"/>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rFonts w:ascii="Arial" w:hAnsi="Arial"/>
                <w:b/>
                <w:color w:val="FFFFFF"/>
                <w:sz w:val="11"/>
              </w:rPr>
            </w:pPr>
            <w:r>
              <w:rPr>
                <w:rFonts w:ascii="Arial" w:hAnsi="Arial"/>
                <w:b/>
                <w:color w:val="FFFFFF"/>
                <w:sz w:val="11"/>
              </w:rPr>
              <w:t>Maximum</w:t>
              <w:br/>
              <w:t>(#)</w:t>
            </w:r>
          </w:p>
        </w:tc>
        <w:tc>
          <w:tcPr>
            <w:tcW w:w="14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pPr>
            <w:r>
              <w:rPr/>
              <w:t> </w:t>
            </w:r>
          </w:p>
        </w:tc>
        <w:tc>
          <w:tcPr>
            <w:tcW w:w="642" w:type="dxa"/>
            <w:gridSpan w:val="2"/>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rFonts w:ascii="Arial" w:hAnsi="Arial"/>
                <w:b/>
                <w:color w:val="FFFFFF"/>
                <w:sz w:val="11"/>
              </w:rPr>
            </w:pPr>
            <w:r>
              <w:rPr>
                <w:rFonts w:ascii="Arial" w:hAnsi="Arial"/>
                <w:b/>
                <w:color w:val="FFFFFF"/>
                <w:sz w:val="11"/>
              </w:rPr>
              <w:t>or Units</w:t>
              <w:br/>
              <w:t>(#)(3)</w:t>
            </w:r>
          </w:p>
        </w:tc>
        <w:tc>
          <w:tcPr>
            <w:tcW w:w="14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pPr>
            <w:r>
              <w:rPr/>
              <w:t> </w:t>
            </w:r>
          </w:p>
        </w:tc>
        <w:tc>
          <w:tcPr>
            <w:tcW w:w="646" w:type="dxa"/>
            <w:gridSpan w:val="2"/>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rFonts w:ascii="Arial" w:hAnsi="Arial"/>
                <w:b/>
                <w:color w:val="FFFFFF"/>
                <w:sz w:val="11"/>
              </w:rPr>
            </w:pPr>
            <w:r>
              <w:rPr>
                <w:rFonts w:ascii="Arial" w:hAnsi="Arial"/>
                <w:b/>
                <w:color w:val="FFFFFF"/>
                <w:sz w:val="11"/>
              </w:rPr>
              <w:t>Options</w:t>
              <w:br/>
              <w:t>(#)</w:t>
            </w:r>
          </w:p>
        </w:tc>
        <w:tc>
          <w:tcPr>
            <w:tcW w:w="14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pPr>
            <w:r>
              <w:rPr/>
              <w:t> </w:t>
            </w:r>
          </w:p>
        </w:tc>
        <w:tc>
          <w:tcPr>
            <w:tcW w:w="556" w:type="dxa"/>
            <w:gridSpan w:val="2"/>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rFonts w:ascii="Arial" w:hAnsi="Arial"/>
                <w:b/>
                <w:color w:val="FFFFFF"/>
                <w:sz w:val="11"/>
              </w:rPr>
            </w:pPr>
            <w:r>
              <w:rPr>
                <w:rFonts w:ascii="Arial" w:hAnsi="Arial"/>
                <w:b/>
                <w:color w:val="FFFFFF"/>
                <w:sz w:val="11"/>
              </w:rPr>
              <w:t>Awards</w:t>
              <w:br/>
              <w:t>($/Sh)</w:t>
            </w:r>
          </w:p>
        </w:tc>
        <w:tc>
          <w:tcPr>
            <w:tcW w:w="14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pPr>
            <w:r>
              <w:rPr/>
              <w:t> </w:t>
            </w:r>
          </w:p>
        </w:tc>
        <w:tc>
          <w:tcPr>
            <w:tcW w:w="752" w:type="dxa"/>
            <w:gridSpan w:val="2"/>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rFonts w:ascii="Arial" w:hAnsi="Arial"/>
                <w:b/>
                <w:color w:val="FFFFFF"/>
                <w:sz w:val="11"/>
              </w:rPr>
            </w:pPr>
            <w:r>
              <w:rPr>
                <w:rFonts w:ascii="Arial" w:hAnsi="Arial"/>
                <w:b/>
                <w:color w:val="FFFFFF"/>
                <w:sz w:val="11"/>
              </w:rPr>
              <w:t>Awards</w:t>
              <w:br/>
              <w:t>(4)</w:t>
            </w:r>
          </w:p>
        </w:tc>
        <w:tc>
          <w:tcPr>
            <w:tcW w:w="191"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pPr>
            <w:r>
              <w:rPr/>
              <w:t> </w:t>
            </w:r>
          </w:p>
        </w:tc>
      </w:tr>
      <w:tr>
        <w:trPr/>
        <w:tc>
          <w:tcPr>
            <w:tcW w:w="676"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Mark P. Smith</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D9D9D9"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1"/>
              </w:rPr>
            </w:pPr>
            <w:r>
              <w:rPr>
                <w:rFonts w:ascii="Arial" w:hAnsi="Arial"/>
                <w:color w:val="000000"/>
                <w:sz w:val="11"/>
              </w:rPr>
              <w:t>5/1/2025</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w:t>
            </w:r>
          </w:p>
        </w:tc>
        <w:tc>
          <w:tcPr>
            <w:tcW w:w="407"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w:t>
            </w:r>
          </w:p>
        </w:tc>
        <w:tc>
          <w:tcPr>
            <w:tcW w:w="346"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w:t>
            </w:r>
          </w:p>
        </w:tc>
        <w:tc>
          <w:tcPr>
            <w:tcW w:w="397"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147,898</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w:t>
            </w:r>
          </w:p>
        </w:tc>
        <w:tc>
          <w:tcPr>
            <w:tcW w:w="376"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w:t>
            </w:r>
          </w:p>
        </w:tc>
        <w:tc>
          <w:tcPr>
            <w:tcW w:w="586"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1,400,002</w:t>
            </w:r>
          </w:p>
        </w:tc>
        <w:tc>
          <w:tcPr>
            <w:tcW w:w="19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6"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D9D9D9"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1"/>
              </w:rPr>
            </w:pPr>
            <w:r>
              <w:rPr>
                <w:rFonts w:ascii="Arial" w:hAnsi="Arial"/>
                <w:color w:val="000000"/>
                <w:sz w:val="11"/>
              </w:rPr>
              <w:t>5/1/2025</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w:t>
            </w:r>
          </w:p>
        </w:tc>
        <w:tc>
          <w:tcPr>
            <w:tcW w:w="407"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w:t>
            </w:r>
          </w:p>
        </w:tc>
        <w:tc>
          <w:tcPr>
            <w:tcW w:w="346"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w:t>
            </w:r>
          </w:p>
        </w:tc>
        <w:tc>
          <w:tcPr>
            <w:tcW w:w="397"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59,158</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147,897</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325,373</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w:t>
            </w:r>
          </w:p>
        </w:tc>
        <w:tc>
          <w:tcPr>
            <w:tcW w:w="376"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w:t>
            </w:r>
          </w:p>
        </w:tc>
        <w:tc>
          <w:tcPr>
            <w:tcW w:w="586"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1,174,302</w:t>
            </w:r>
          </w:p>
        </w:tc>
        <w:tc>
          <w:tcPr>
            <w:tcW w:w="19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gridSpan w:val="2"/>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642"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642"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642"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gridSpan w:val="2"/>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gridSpan w:val="2"/>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Deana L. McPherson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1"/>
              </w:rPr>
            </w:pPr>
            <w:r>
              <w:rPr>
                <w:rFonts w:ascii="Arial" w:hAnsi="Arial"/>
                <w:color w:val="000000"/>
                <w:sz w:val="11"/>
              </w:rPr>
              <w:t>5/1/2025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44,898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425,004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1"/>
              </w:rPr>
            </w:pPr>
            <w:r>
              <w:rPr>
                <w:rFonts w:ascii="Arial" w:hAnsi="Arial"/>
                <w:color w:val="000000"/>
                <w:sz w:val="11"/>
              </w:rPr>
              <w:t>5/1/2025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17,958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44,897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98,773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356,482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6"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Kevin A. Maxwell</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D9D9D9"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1"/>
              </w:rPr>
            </w:pPr>
            <w:r>
              <w:rPr>
                <w:rFonts w:ascii="Arial" w:hAnsi="Arial"/>
                <w:color w:val="000000"/>
                <w:sz w:val="11"/>
              </w:rPr>
              <w:t>5/1/2025</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w:t>
            </w:r>
          </w:p>
        </w:tc>
        <w:tc>
          <w:tcPr>
            <w:tcW w:w="407"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w:t>
            </w:r>
          </w:p>
        </w:tc>
        <w:tc>
          <w:tcPr>
            <w:tcW w:w="346"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w:t>
            </w:r>
          </w:p>
        </w:tc>
        <w:tc>
          <w:tcPr>
            <w:tcW w:w="397"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44,898</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w:t>
            </w:r>
          </w:p>
        </w:tc>
        <w:tc>
          <w:tcPr>
            <w:tcW w:w="376"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w:t>
            </w:r>
          </w:p>
        </w:tc>
        <w:tc>
          <w:tcPr>
            <w:tcW w:w="586"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425,004</w:t>
            </w:r>
          </w:p>
        </w:tc>
        <w:tc>
          <w:tcPr>
            <w:tcW w:w="19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D9D9D9"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1"/>
              </w:rPr>
            </w:pPr>
            <w:r>
              <w:rPr>
                <w:rFonts w:ascii="Arial" w:hAnsi="Arial"/>
                <w:color w:val="000000"/>
                <w:sz w:val="11"/>
              </w:rPr>
              <w:t>5/1/2025</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w:t>
            </w:r>
          </w:p>
        </w:tc>
        <w:tc>
          <w:tcPr>
            <w:tcW w:w="407"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w:t>
            </w:r>
          </w:p>
        </w:tc>
        <w:tc>
          <w:tcPr>
            <w:tcW w:w="346"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w:t>
            </w:r>
          </w:p>
        </w:tc>
        <w:tc>
          <w:tcPr>
            <w:tcW w:w="397"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17,958</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44,897</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98,773</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w:t>
            </w:r>
          </w:p>
        </w:tc>
        <w:tc>
          <w:tcPr>
            <w:tcW w:w="376"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w:t>
            </w:r>
          </w:p>
        </w:tc>
        <w:tc>
          <w:tcPr>
            <w:tcW w:w="586"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356,482</w:t>
            </w:r>
          </w:p>
        </w:tc>
        <w:tc>
          <w:tcPr>
            <w:tcW w:w="19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gridSpan w:val="2"/>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642"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642"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642"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gridSpan w:val="2"/>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gridSpan w:val="2"/>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Kyle O. Tengwall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1"/>
              </w:rPr>
            </w:pPr>
            <w:r>
              <w:rPr>
                <w:rFonts w:ascii="Arial" w:hAnsi="Arial"/>
                <w:color w:val="000000"/>
                <w:sz w:val="11"/>
              </w:rPr>
              <w:t>6/15/2025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35,680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374,997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6" w:type="dxa"/>
            <w:tcBorders>
              <w:bottom w:val="single" w:sz="4"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71A2"/>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gridSpan w:val="2"/>
            <w:tcBorders>
              <w:bottom w:val="single" w:sz="4"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512" w:type="dxa"/>
            <w:gridSpan w:val="2"/>
            <w:tcBorders>
              <w:bottom w:val="single" w:sz="4" w:space="0" w:color="0071A2"/>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71A2"/>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gridSpan w:val="2"/>
            <w:tcBorders>
              <w:bottom w:val="single" w:sz="4" w:space="0" w:color="0071A2"/>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71A2"/>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gridSpan w:val="2"/>
            <w:tcBorders>
              <w:bottom w:val="single" w:sz="4" w:space="0" w:color="0071A2"/>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71A2"/>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642" w:type="dxa"/>
            <w:gridSpan w:val="2"/>
            <w:tcBorders>
              <w:bottom w:val="single" w:sz="4" w:space="0" w:color="0071A2"/>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71A2"/>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642" w:type="dxa"/>
            <w:gridSpan w:val="2"/>
            <w:tcBorders>
              <w:bottom w:val="single" w:sz="4" w:space="0" w:color="0071A2"/>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71A2"/>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642" w:type="dxa"/>
            <w:gridSpan w:val="2"/>
            <w:tcBorders>
              <w:bottom w:val="single" w:sz="4" w:space="0" w:color="0071A2"/>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71A2"/>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gridSpan w:val="2"/>
            <w:tcBorders>
              <w:bottom w:val="single" w:sz="4" w:space="0" w:color="0071A2"/>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71A2"/>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gridSpan w:val="2"/>
            <w:tcBorders>
              <w:bottom w:val="single" w:sz="4" w:space="0" w:color="0071A2"/>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71A2"/>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gridSpan w:val="2"/>
            <w:tcBorders>
              <w:bottom w:val="single" w:sz="4" w:space="0" w:color="0071A2"/>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0071A2"/>
            </w:tcBorders>
            <w:shd w:fill="FFFFFF"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16"/>
        </w:rPr>
        <w:t>(1) For a description of our payments in fiscal 2026, see “Compensation Matters — Compensation Discussion and Analysis — Compensation Elements — Annual Performance-Based Cash Incentive Compensation.”</w:t>
      </w:r>
      <w:r>
        <w:rPr>
          <w:rFonts w:ascii="Times New Roman" w:hAnsi="Times New Roman"/>
          <w:color w:val="000000"/>
          <w:sz w:val="20"/>
        </w:rPr>
        <w:t xml:space="preserve"> </w:t>
      </w:r>
    </w:p>
    <w:p>
      <w:pPr>
        <w:pStyle w:val="TextBody"/>
        <w:bidi w:val="0"/>
        <w:spacing w:before="60" w:after="283"/>
        <w:jc w:val="both"/>
        <w:rPr>
          <w:rFonts w:ascii="Times New Roman" w:hAnsi="Times New Roman"/>
          <w:sz w:val="20"/>
        </w:rPr>
      </w:pPr>
      <w:r>
        <w:rPr>
          <w:rFonts w:ascii="Arial" w:hAnsi="Arial"/>
          <w:color w:val="000000"/>
          <w:sz w:val="16"/>
        </w:rPr>
        <w:t>(2) Represents PSUs granted during fiscal 2026. The PSUs are earned based on Adjusted EBITDAS Growth over an approximately three-year performance period, subject to a modifier of up to +/- 10% based on the relative total stockholder return of our common stock compared with the RUT. Notwithstanding the amounts shown in the “Maximum” column, the maximum number of shares that can be delivered with respect to fiscal 2026 PSU grants is limited to a dollar value, determined as of the vesting date, of 600% of the grant date value. For further information on these awards, see “Compensation Matters — Compensation Discussion and Analysis — Compensation Elements — Stock-Based Compensation.”</w:t>
      </w:r>
      <w:r>
        <w:rPr>
          <w:rFonts w:ascii="Times New Roman" w:hAnsi="Times New Roman"/>
          <w:color w:val="000000"/>
          <w:sz w:val="20"/>
        </w:rPr>
        <w:t xml:space="preserve"> </w:t>
      </w:r>
    </w:p>
    <w:p>
      <w:pPr>
        <w:pStyle w:val="TextBody"/>
        <w:bidi w:val="0"/>
        <w:spacing w:before="60" w:after="283"/>
        <w:jc w:val="both"/>
        <w:rPr>
          <w:rFonts w:ascii="Arial" w:hAnsi="Arial"/>
          <w:color w:val="000000"/>
          <w:sz w:val="16"/>
        </w:rPr>
      </w:pPr>
      <w:r>
        <w:rPr>
          <w:rFonts w:ascii="Arial" w:hAnsi="Arial"/>
          <w:color w:val="000000"/>
          <w:sz w:val="16"/>
        </w:rPr>
        <w:t>(3) One-third of the RSUs vest on each of the first, second, and third anniversaries of the date of grant, subject to each executive’s continued services with us.</w:t>
      </w:r>
    </w:p>
    <w:p>
      <w:pPr>
        <w:pStyle w:val="TextBody"/>
        <w:bidi w:val="0"/>
        <w:spacing w:before="60" w:after="283"/>
        <w:jc w:val="both"/>
        <w:rPr>
          <w:rFonts w:ascii="Arial" w:hAnsi="Arial"/>
          <w:color w:val="000000"/>
          <w:sz w:val="16"/>
        </w:rPr>
      </w:pPr>
      <w:r>
        <w:rPr>
          <w:rFonts w:ascii="Arial" w:hAnsi="Arial"/>
          <w:color w:val="000000"/>
          <w:sz w:val="16"/>
        </w:rPr>
        <w:t>(4) The amounts shown in this column represent the grant date fair value of stock awards calculated in accordance with ASC Topic 718, excluding the effects of forfeitures. The assumptions used in determining the grant date fair value of these awards are set forth in Note 11 to our consolidated financial statements, which are included in the Form 10-K.</w:t>
      </w:r>
    </w:p>
    <w:p>
      <w:pPr>
        <w:pStyle w:val="TextBody"/>
        <w:bidi w:val="0"/>
        <w:jc w:val="left"/>
        <w:rPr/>
      </w:pPr>
      <w:r>
        <w:rPr/>
        <w:t> </w:t>
      </w:r>
    </w:p>
    <w:tbl>
      <w:tblPr>
        <w:tblW w:w="3702" w:type="dxa"/>
        <w:jc w:val="left"/>
        <w:tblInd w:w="0" w:type="dxa"/>
        <w:tblLayout w:type="fixed"/>
        <w:tblCellMar>
          <w:top w:w="28" w:type="dxa"/>
          <w:left w:w="28" w:type="dxa"/>
          <w:bottom w:w="28" w:type="dxa"/>
          <w:right w:w="28" w:type="dxa"/>
        </w:tblCellMar>
      </w:tblPr>
      <w:tblGrid>
        <w:gridCol w:w="2266"/>
        <w:gridCol w:w="1436"/>
      </w:tblGrid>
      <w:tr>
        <w:trPr/>
        <w:tc>
          <w:tcPr>
            <w:tcW w:w="2266"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2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91F2C"/>
                <w:sz w:val="18"/>
              </w:rPr>
              <w:t>32</w:t>
            </w:r>
            <w:r>
              <w:rPr>
                <w:rFonts w:ascii="Times New Roman" w:hAnsi="Times New Roman"/>
                <w:color w:val="091F2C"/>
                <w:sz w:val="18"/>
              </w:rPr>
              <w:t> </w:t>
            </w:r>
            <w:r>
              <w:rPr>
                <w:rFonts w:ascii="Arial" w:hAnsi="Arial"/>
                <w:color w:val="091F2C"/>
                <w:sz w:val="18"/>
              </w:rPr>
              <w:t>I 2026 Proxy Statement</w:t>
            </w:r>
          </w:p>
        </w:tc>
        <w:tc>
          <w:tcPr>
            <w:tcW w:w="143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828675" cy="190500"/>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828675" cy="190500"/>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2277" w:type="dxa"/>
        <w:jc w:val="left"/>
        <w:tblInd w:w="0" w:type="dxa"/>
        <w:tblLayout w:type="fixed"/>
        <w:tblCellMar>
          <w:top w:w="28" w:type="dxa"/>
          <w:left w:w="28" w:type="dxa"/>
          <w:bottom w:w="28" w:type="dxa"/>
          <w:right w:w="28" w:type="dxa"/>
        </w:tblCellMar>
      </w:tblPr>
      <w:tblGrid>
        <w:gridCol w:w="2086"/>
        <w:gridCol w:w="191"/>
      </w:tblGrid>
      <w:tr>
        <w:trPr/>
        <w:tc>
          <w:tcPr>
            <w:tcW w:w="20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86" w:type="dxa"/>
            <w:tcBorders/>
            <w:tcMar>
              <w:top w:w="0" w:type="dxa"/>
              <w:left w:w="0" w:type="dxa"/>
              <w:bottom w:w="0" w:type="dxa"/>
              <w:right w:w="0" w:type="dxa"/>
            </w:tcMar>
            <w:vAlign w:val="center"/>
          </w:tcPr>
          <w:p>
            <w:pPr>
              <w:pStyle w:val="TableContents"/>
              <w:bidi w:val="0"/>
              <w:spacing w:before="0" w:after="283"/>
              <w:jc w:val="left"/>
              <w:rPr>
                <w:rFonts w:ascii="Arial" w:hAnsi="Arial"/>
                <w:color w:val="002668"/>
                <w:sz w:val="20"/>
              </w:rPr>
            </w:pPr>
            <w:r>
              <w:rPr>
                <w:rFonts w:ascii="Arial" w:hAnsi="Arial"/>
                <w:color w:val="002668"/>
                <w:sz w:val="20"/>
              </w:rPr>
              <w:t>Compensation Matters</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bottom w:val="single" w:sz="8" w:space="0" w:color="002668"/>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both"/>
        <w:rPr>
          <w:rFonts w:ascii="Arial" w:hAnsi="Arial"/>
          <w:color w:val="1F497D"/>
          <w:sz w:val="24"/>
          <w:u w:val="single"/>
        </w:rPr>
      </w:pPr>
      <w:r>
        <w:rPr>
          <w:rFonts w:ascii="Arial" w:hAnsi="Arial"/>
          <w:color w:val="1F497D"/>
          <w:sz w:val="24"/>
          <w:u w:val="single"/>
        </w:rPr>
        <w:t>Outstanding Equity Awards at Fiscal Year-End 2026</w:t>
      </w:r>
    </w:p>
    <w:p>
      <w:pPr>
        <w:pStyle w:val="TextBody"/>
        <w:bidi w:val="0"/>
        <w:jc w:val="both"/>
        <w:rPr>
          <w:rFonts w:ascii="Arial" w:hAnsi="Arial"/>
          <w:color w:val="000000"/>
          <w:sz w:val="20"/>
        </w:rPr>
      </w:pPr>
      <w:r>
        <w:rPr>
          <w:rFonts w:ascii="Arial" w:hAnsi="Arial"/>
          <w:color w:val="000000"/>
          <w:sz w:val="20"/>
        </w:rPr>
        <w:t>The following table sets forth information with respect to outstanding equity awards held by our NEOs as of April 30, 2026. Ms. Cupero retired from the Company on May 5, 2026 and did not hold outstanding equity awards as of April 30, 2026.</w:t>
      </w:r>
    </w:p>
    <w:p>
      <w:pPr>
        <w:pStyle w:val="TextBody"/>
        <w:bidi w:val="0"/>
        <w:jc w:val="both"/>
        <w:rPr/>
      </w:pPr>
      <w:r>
        <w:rPr/>
        <w:t> </w:t>
      </w:r>
    </w:p>
    <w:tbl>
      <w:tblPr>
        <w:tblW w:w="7747" w:type="dxa"/>
        <w:jc w:val="left"/>
        <w:tblInd w:w="0" w:type="dxa"/>
        <w:tblLayout w:type="fixed"/>
        <w:tblCellMar>
          <w:top w:w="28" w:type="dxa"/>
          <w:left w:w="28" w:type="dxa"/>
          <w:bottom w:w="28" w:type="dxa"/>
          <w:right w:w="28" w:type="dxa"/>
        </w:tblCellMar>
      </w:tblPr>
      <w:tblGrid>
        <w:gridCol w:w="1411"/>
        <w:gridCol w:w="721"/>
        <w:gridCol w:w="146"/>
        <w:gridCol w:w="146"/>
        <w:gridCol w:w="601"/>
        <w:gridCol w:w="146"/>
        <w:gridCol w:w="146"/>
        <w:gridCol w:w="146"/>
        <w:gridCol w:w="146"/>
        <w:gridCol w:w="181"/>
        <w:gridCol w:w="721"/>
        <w:gridCol w:w="146"/>
        <w:gridCol w:w="146"/>
        <w:gridCol w:w="146"/>
        <w:gridCol w:w="190"/>
        <w:gridCol w:w="785"/>
        <w:gridCol w:w="146"/>
        <w:gridCol w:w="146"/>
        <w:gridCol w:w="146"/>
        <w:gridCol w:w="146"/>
        <w:gridCol w:w="181"/>
        <w:gridCol w:w="721"/>
        <w:gridCol w:w="146"/>
        <w:gridCol w:w="191"/>
      </w:tblGrid>
      <w:tr>
        <w:trPr/>
        <w:tc>
          <w:tcPr>
            <w:tcW w:w="14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11" w:type="dxa"/>
            <w:tcBorders/>
            <w:shd w:fill="002668" w:val="clear"/>
            <w:tcMar>
              <w:top w:w="0" w:type="dxa"/>
              <w:left w:w="0" w:type="dxa"/>
              <w:bottom w:w="0" w:type="dxa"/>
              <w:right w:w="0" w:type="dxa"/>
            </w:tcMar>
            <w:vAlign w:val="center"/>
          </w:tcPr>
          <w:p>
            <w:pPr>
              <w:pStyle w:val="TableContents"/>
              <w:bidi w:val="0"/>
              <w:spacing w:before="0" w:after="283"/>
              <w:jc w:val="center"/>
              <w:rPr/>
            </w:pPr>
            <w:r>
              <w:rPr/>
              <w:t> </w:t>
            </w:r>
          </w:p>
        </w:tc>
        <w:tc>
          <w:tcPr>
            <w:tcW w:w="5999" w:type="dxa"/>
            <w:gridSpan w:val="21"/>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rFonts w:ascii="Arial" w:hAnsi="Arial"/>
                <w:b/>
                <w:color w:val="FFFFFF"/>
                <w:sz w:val="14"/>
              </w:rPr>
            </w:pPr>
            <w:r>
              <w:rPr>
                <w:rFonts w:ascii="Arial" w:hAnsi="Arial"/>
                <w:b/>
                <w:color w:val="FFFFFF"/>
                <w:sz w:val="14"/>
              </w:rPr>
              <w:t>Stock Awards</w:t>
            </w:r>
          </w:p>
        </w:tc>
        <w:tc>
          <w:tcPr>
            <w:tcW w:w="14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pPr>
            <w:r>
              <w:rPr/>
              <w:t> </w:t>
            </w:r>
          </w:p>
        </w:tc>
      </w:tr>
      <w:tr>
        <w:trPr/>
        <w:tc>
          <w:tcPr>
            <w:tcW w:w="1411" w:type="dxa"/>
            <w:tcBorders/>
            <w:shd w:fill="002668"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002668"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2668"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002668"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2668"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266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002668" w:val="clear"/>
            <w:tcMar>
              <w:top w:w="0" w:type="dxa"/>
              <w:left w:w="0" w:type="dxa"/>
              <w:bottom w:w="0" w:type="dxa"/>
              <w:right w:w="0" w:type="dxa"/>
            </w:tcMar>
            <w:vAlign w:val="center"/>
          </w:tcPr>
          <w:p>
            <w:pPr>
              <w:pStyle w:val="TableContents"/>
              <w:bidi w:val="0"/>
              <w:spacing w:before="0" w:after="283"/>
              <w:jc w:val="left"/>
              <w:rPr/>
            </w:pPr>
            <w:r>
              <w:rPr/>
              <w:t> </w:t>
            </w:r>
          </w:p>
        </w:tc>
        <w:tc>
          <w:tcPr>
            <w:tcW w:w="1340" w:type="dxa"/>
            <w:gridSpan w:val="5"/>
            <w:tcBorders/>
            <w:shd w:fill="002668" w:val="clear"/>
            <w:tcMar>
              <w:top w:w="0" w:type="dxa"/>
              <w:left w:w="0" w:type="dxa"/>
              <w:bottom w:w="0" w:type="dxa"/>
              <w:right w:w="0" w:type="dxa"/>
            </w:tcMar>
            <w:vAlign w:val="center"/>
          </w:tcPr>
          <w:p>
            <w:pPr>
              <w:pStyle w:val="TableContents"/>
              <w:bidi w:val="0"/>
              <w:spacing w:before="0" w:after="283"/>
              <w:jc w:val="center"/>
              <w:rPr>
                <w:rFonts w:ascii="Arial" w:hAnsi="Arial"/>
                <w:b/>
                <w:color w:val="FFFFFF"/>
                <w:sz w:val="14"/>
              </w:rPr>
            </w:pPr>
            <w:r>
              <w:rPr>
                <w:rFonts w:ascii="Arial" w:hAnsi="Arial"/>
                <w:b/>
                <w:color w:val="FFFFFF"/>
                <w:sz w:val="14"/>
              </w:rPr>
              <w:t>Market</w:t>
            </w:r>
          </w:p>
        </w:tc>
        <w:tc>
          <w:tcPr>
            <w:tcW w:w="146" w:type="dxa"/>
            <w:tcBorders/>
            <w:shd w:fill="002668"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002668" w:val="clear"/>
            <w:tcMar>
              <w:top w:w="0" w:type="dxa"/>
              <w:left w:w="0" w:type="dxa"/>
              <w:bottom w:w="0" w:type="dxa"/>
              <w:right w:w="0" w:type="dxa"/>
            </w:tcMar>
            <w:vAlign w:val="center"/>
          </w:tcPr>
          <w:p>
            <w:pPr>
              <w:pStyle w:val="TableContents"/>
              <w:bidi w:val="0"/>
              <w:spacing w:before="0" w:after="283"/>
              <w:jc w:val="center"/>
              <w:rPr>
                <w:rFonts w:ascii="Arial" w:hAnsi="Arial"/>
                <w:b/>
                <w:color w:val="FFFFFF"/>
                <w:sz w:val="14"/>
              </w:rPr>
            </w:pPr>
            <w:r>
              <w:rPr>
                <w:rFonts w:ascii="Arial" w:hAnsi="Arial"/>
                <w:b/>
                <w:color w:val="FFFFFF"/>
                <w:sz w:val="14"/>
              </w:rPr>
              <w:t>Equity</w:t>
              <w:br/>
              <w:t>Incentive</w:t>
            </w:r>
          </w:p>
        </w:tc>
        <w:tc>
          <w:tcPr>
            <w:tcW w:w="146" w:type="dxa"/>
            <w:tcBorders/>
            <w:shd w:fill="002668"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266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002668"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gridSpan w:val="5"/>
            <w:tcBorders/>
            <w:shd w:fill="002668" w:val="clear"/>
            <w:tcMar>
              <w:top w:w="0" w:type="dxa"/>
              <w:left w:w="0" w:type="dxa"/>
              <w:bottom w:w="0" w:type="dxa"/>
              <w:right w:w="0" w:type="dxa"/>
            </w:tcMar>
            <w:vAlign w:val="center"/>
          </w:tcPr>
          <w:p>
            <w:pPr>
              <w:pStyle w:val="TableContents"/>
              <w:bidi w:val="0"/>
              <w:spacing w:before="0" w:after="283"/>
              <w:jc w:val="center"/>
              <w:rPr>
                <w:rFonts w:ascii="Arial" w:hAnsi="Arial"/>
                <w:b/>
                <w:color w:val="FFFFFF"/>
                <w:sz w:val="14"/>
              </w:rPr>
            </w:pPr>
            <w:r>
              <w:rPr>
                <w:rFonts w:ascii="Arial" w:hAnsi="Arial"/>
                <w:b/>
                <w:color w:val="FFFFFF"/>
                <w:sz w:val="14"/>
              </w:rPr>
              <w:t>Equity</w:t>
              <w:br/>
              <w:t>Incentive</w:t>
            </w:r>
          </w:p>
        </w:tc>
      </w:tr>
      <w:tr>
        <w:trPr/>
        <w:tc>
          <w:tcPr>
            <w:tcW w:w="1411" w:type="dxa"/>
            <w:tcBorders/>
            <w:shd w:fill="002668"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002668"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2668"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002668" w:val="clear"/>
            <w:tcMar>
              <w:top w:w="0" w:type="dxa"/>
              <w:left w:w="0" w:type="dxa"/>
              <w:bottom w:w="0" w:type="dxa"/>
              <w:right w:w="0" w:type="dxa"/>
            </w:tcMar>
            <w:vAlign w:val="center"/>
          </w:tcPr>
          <w:p>
            <w:pPr>
              <w:pStyle w:val="TableContents"/>
              <w:bidi w:val="0"/>
              <w:spacing w:before="0" w:after="283"/>
              <w:jc w:val="center"/>
              <w:rPr>
                <w:rFonts w:ascii="Arial" w:hAnsi="Arial"/>
                <w:b/>
                <w:color w:val="FFFFFF"/>
                <w:sz w:val="14"/>
              </w:rPr>
            </w:pPr>
            <w:r>
              <w:rPr>
                <w:rFonts w:ascii="Arial" w:hAnsi="Arial"/>
                <w:b/>
                <w:color w:val="FFFFFF"/>
                <w:sz w:val="14"/>
              </w:rPr>
              <w:t>Number</w:t>
            </w:r>
          </w:p>
        </w:tc>
        <w:tc>
          <w:tcPr>
            <w:tcW w:w="146" w:type="dxa"/>
            <w:tcBorders/>
            <w:shd w:fill="002668"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266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002668" w:val="clear"/>
            <w:tcMar>
              <w:top w:w="0" w:type="dxa"/>
              <w:left w:w="0" w:type="dxa"/>
              <w:bottom w:w="0" w:type="dxa"/>
              <w:right w:w="0" w:type="dxa"/>
            </w:tcMar>
            <w:vAlign w:val="center"/>
          </w:tcPr>
          <w:p>
            <w:pPr>
              <w:pStyle w:val="TableContents"/>
              <w:bidi w:val="0"/>
              <w:spacing w:before="0" w:after="283"/>
              <w:jc w:val="left"/>
              <w:rPr/>
            </w:pPr>
            <w:r>
              <w:rPr/>
              <w:t> </w:t>
            </w:r>
          </w:p>
        </w:tc>
        <w:tc>
          <w:tcPr>
            <w:tcW w:w="1340" w:type="dxa"/>
            <w:gridSpan w:val="5"/>
            <w:tcBorders/>
            <w:shd w:fill="002668" w:val="clear"/>
            <w:tcMar>
              <w:top w:w="0" w:type="dxa"/>
              <w:left w:w="0" w:type="dxa"/>
              <w:bottom w:w="0" w:type="dxa"/>
              <w:right w:w="0" w:type="dxa"/>
            </w:tcMar>
            <w:vAlign w:val="center"/>
          </w:tcPr>
          <w:p>
            <w:pPr>
              <w:pStyle w:val="TableContents"/>
              <w:bidi w:val="0"/>
              <w:spacing w:before="0" w:after="283"/>
              <w:jc w:val="center"/>
              <w:rPr>
                <w:rFonts w:ascii="Arial" w:hAnsi="Arial"/>
                <w:b/>
                <w:color w:val="FFFFFF"/>
                <w:sz w:val="14"/>
              </w:rPr>
            </w:pPr>
            <w:r>
              <w:rPr>
                <w:rFonts w:ascii="Arial" w:hAnsi="Arial"/>
                <w:b/>
                <w:color w:val="FFFFFF"/>
                <w:sz w:val="14"/>
              </w:rPr>
              <w:t>Value of</w:t>
            </w:r>
          </w:p>
        </w:tc>
        <w:tc>
          <w:tcPr>
            <w:tcW w:w="146" w:type="dxa"/>
            <w:tcBorders/>
            <w:shd w:fill="002668"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002668" w:val="clear"/>
            <w:tcMar>
              <w:top w:w="0" w:type="dxa"/>
              <w:left w:w="0" w:type="dxa"/>
              <w:bottom w:w="0" w:type="dxa"/>
              <w:right w:w="0" w:type="dxa"/>
            </w:tcMar>
            <w:vAlign w:val="center"/>
          </w:tcPr>
          <w:p>
            <w:pPr>
              <w:pStyle w:val="TableContents"/>
              <w:bidi w:val="0"/>
              <w:spacing w:before="0" w:after="283"/>
              <w:jc w:val="center"/>
              <w:rPr>
                <w:rFonts w:ascii="Arial" w:hAnsi="Arial"/>
                <w:b/>
                <w:color w:val="FFFFFF"/>
                <w:sz w:val="14"/>
              </w:rPr>
            </w:pPr>
            <w:r>
              <w:rPr>
                <w:rFonts w:ascii="Arial" w:hAnsi="Arial"/>
                <w:b/>
                <w:color w:val="FFFFFF"/>
                <w:sz w:val="14"/>
              </w:rPr>
              <w:t>Plan Awards:</w:t>
            </w:r>
          </w:p>
        </w:tc>
        <w:tc>
          <w:tcPr>
            <w:tcW w:w="146" w:type="dxa"/>
            <w:tcBorders/>
            <w:shd w:fill="002668"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266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002668"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gridSpan w:val="5"/>
            <w:tcBorders/>
            <w:shd w:fill="002668" w:val="clear"/>
            <w:tcMar>
              <w:top w:w="0" w:type="dxa"/>
              <w:left w:w="0" w:type="dxa"/>
              <w:bottom w:w="0" w:type="dxa"/>
              <w:right w:w="0" w:type="dxa"/>
            </w:tcMar>
            <w:vAlign w:val="center"/>
          </w:tcPr>
          <w:p>
            <w:pPr>
              <w:pStyle w:val="TableContents"/>
              <w:bidi w:val="0"/>
              <w:spacing w:before="0" w:after="283"/>
              <w:jc w:val="center"/>
              <w:rPr>
                <w:rFonts w:ascii="Arial" w:hAnsi="Arial"/>
                <w:b/>
                <w:color w:val="FFFFFF"/>
                <w:sz w:val="14"/>
              </w:rPr>
            </w:pPr>
            <w:r>
              <w:rPr>
                <w:rFonts w:ascii="Arial" w:hAnsi="Arial"/>
                <w:b/>
                <w:color w:val="FFFFFF"/>
                <w:sz w:val="14"/>
              </w:rPr>
              <w:t>Plan Awards:</w:t>
            </w:r>
          </w:p>
        </w:tc>
      </w:tr>
      <w:tr>
        <w:trPr/>
        <w:tc>
          <w:tcPr>
            <w:tcW w:w="1411" w:type="dxa"/>
            <w:tcBorders/>
            <w:shd w:fill="002668"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002668"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2668"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002668" w:val="clear"/>
            <w:tcMar>
              <w:top w:w="0" w:type="dxa"/>
              <w:left w:w="0" w:type="dxa"/>
              <w:bottom w:w="0" w:type="dxa"/>
              <w:right w:w="0" w:type="dxa"/>
            </w:tcMar>
            <w:vAlign w:val="center"/>
          </w:tcPr>
          <w:p>
            <w:pPr>
              <w:pStyle w:val="TableContents"/>
              <w:bidi w:val="0"/>
              <w:spacing w:before="0" w:after="283"/>
              <w:jc w:val="center"/>
              <w:rPr>
                <w:rFonts w:ascii="Arial" w:hAnsi="Arial"/>
                <w:b/>
                <w:color w:val="FFFFFF"/>
                <w:sz w:val="14"/>
              </w:rPr>
            </w:pPr>
            <w:r>
              <w:rPr>
                <w:rFonts w:ascii="Arial" w:hAnsi="Arial"/>
                <w:b/>
                <w:color w:val="FFFFFF"/>
                <w:sz w:val="14"/>
              </w:rPr>
              <w:t>of</w:t>
            </w:r>
          </w:p>
        </w:tc>
        <w:tc>
          <w:tcPr>
            <w:tcW w:w="146" w:type="dxa"/>
            <w:tcBorders/>
            <w:shd w:fill="002668"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266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002668" w:val="clear"/>
            <w:tcMar>
              <w:top w:w="0" w:type="dxa"/>
              <w:left w:w="0" w:type="dxa"/>
              <w:bottom w:w="0" w:type="dxa"/>
              <w:right w:w="0" w:type="dxa"/>
            </w:tcMar>
            <w:vAlign w:val="center"/>
          </w:tcPr>
          <w:p>
            <w:pPr>
              <w:pStyle w:val="TableContents"/>
              <w:bidi w:val="0"/>
              <w:spacing w:before="0" w:after="283"/>
              <w:jc w:val="left"/>
              <w:rPr/>
            </w:pPr>
            <w:r>
              <w:rPr/>
              <w:t> </w:t>
            </w:r>
          </w:p>
        </w:tc>
        <w:tc>
          <w:tcPr>
            <w:tcW w:w="1340" w:type="dxa"/>
            <w:gridSpan w:val="5"/>
            <w:tcBorders/>
            <w:shd w:fill="002668" w:val="clear"/>
            <w:tcMar>
              <w:top w:w="0" w:type="dxa"/>
              <w:left w:w="0" w:type="dxa"/>
              <w:bottom w:w="0" w:type="dxa"/>
              <w:right w:w="0" w:type="dxa"/>
            </w:tcMar>
            <w:vAlign w:val="center"/>
          </w:tcPr>
          <w:p>
            <w:pPr>
              <w:pStyle w:val="TableContents"/>
              <w:bidi w:val="0"/>
              <w:spacing w:before="0" w:after="283"/>
              <w:jc w:val="center"/>
              <w:rPr>
                <w:rFonts w:ascii="Arial" w:hAnsi="Arial"/>
                <w:b/>
                <w:color w:val="FFFFFF"/>
                <w:sz w:val="14"/>
              </w:rPr>
            </w:pPr>
            <w:r>
              <w:rPr>
                <w:rFonts w:ascii="Arial" w:hAnsi="Arial"/>
                <w:b/>
                <w:color w:val="FFFFFF"/>
                <w:sz w:val="14"/>
              </w:rPr>
              <w:t>Shares or</w:t>
            </w:r>
          </w:p>
        </w:tc>
        <w:tc>
          <w:tcPr>
            <w:tcW w:w="146" w:type="dxa"/>
            <w:tcBorders/>
            <w:shd w:fill="002668"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002668" w:val="clear"/>
            <w:tcMar>
              <w:top w:w="0" w:type="dxa"/>
              <w:left w:w="0" w:type="dxa"/>
              <w:bottom w:w="0" w:type="dxa"/>
              <w:right w:w="0" w:type="dxa"/>
            </w:tcMar>
            <w:vAlign w:val="center"/>
          </w:tcPr>
          <w:p>
            <w:pPr>
              <w:pStyle w:val="TableContents"/>
              <w:bidi w:val="0"/>
              <w:spacing w:before="0" w:after="283"/>
              <w:jc w:val="center"/>
              <w:rPr>
                <w:rFonts w:ascii="Arial" w:hAnsi="Arial"/>
                <w:b/>
                <w:color w:val="FFFFFF"/>
                <w:sz w:val="14"/>
              </w:rPr>
            </w:pPr>
            <w:r>
              <w:rPr>
                <w:rFonts w:ascii="Arial" w:hAnsi="Arial"/>
                <w:b/>
                <w:color w:val="FFFFFF"/>
                <w:sz w:val="14"/>
              </w:rPr>
              <w:t>Number of</w:t>
            </w:r>
          </w:p>
        </w:tc>
        <w:tc>
          <w:tcPr>
            <w:tcW w:w="146" w:type="dxa"/>
            <w:tcBorders/>
            <w:shd w:fill="002668"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266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002668"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gridSpan w:val="5"/>
            <w:tcBorders/>
            <w:shd w:fill="002668" w:val="clear"/>
            <w:tcMar>
              <w:top w:w="0" w:type="dxa"/>
              <w:left w:w="0" w:type="dxa"/>
              <w:bottom w:w="0" w:type="dxa"/>
              <w:right w:w="0" w:type="dxa"/>
            </w:tcMar>
            <w:vAlign w:val="center"/>
          </w:tcPr>
          <w:p>
            <w:pPr>
              <w:pStyle w:val="TableContents"/>
              <w:bidi w:val="0"/>
              <w:spacing w:before="0" w:after="283"/>
              <w:jc w:val="center"/>
              <w:rPr>
                <w:rFonts w:ascii="Arial" w:hAnsi="Arial"/>
                <w:b/>
                <w:color w:val="FFFFFF"/>
                <w:sz w:val="14"/>
              </w:rPr>
            </w:pPr>
            <w:r>
              <w:rPr>
                <w:rFonts w:ascii="Arial" w:hAnsi="Arial"/>
                <w:b/>
                <w:color w:val="FFFFFF"/>
                <w:sz w:val="14"/>
              </w:rPr>
              <w:t>Market or</w:t>
            </w:r>
          </w:p>
        </w:tc>
      </w:tr>
      <w:tr>
        <w:trPr/>
        <w:tc>
          <w:tcPr>
            <w:tcW w:w="1411" w:type="dxa"/>
            <w:tcBorders/>
            <w:shd w:fill="002668"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002668"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2668"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002668" w:val="clear"/>
            <w:tcMar>
              <w:top w:w="0" w:type="dxa"/>
              <w:left w:w="0" w:type="dxa"/>
              <w:bottom w:w="0" w:type="dxa"/>
              <w:right w:w="0" w:type="dxa"/>
            </w:tcMar>
            <w:vAlign w:val="center"/>
          </w:tcPr>
          <w:p>
            <w:pPr>
              <w:pStyle w:val="TableContents"/>
              <w:bidi w:val="0"/>
              <w:spacing w:before="0" w:after="283"/>
              <w:jc w:val="center"/>
              <w:rPr>
                <w:rFonts w:ascii="Arial" w:hAnsi="Arial"/>
                <w:b/>
                <w:color w:val="FFFFFF"/>
                <w:sz w:val="14"/>
              </w:rPr>
            </w:pPr>
            <w:r>
              <w:rPr>
                <w:rFonts w:ascii="Arial" w:hAnsi="Arial"/>
                <w:b/>
                <w:color w:val="FFFFFF"/>
                <w:sz w:val="14"/>
              </w:rPr>
              <w:t>Shares or</w:t>
            </w:r>
          </w:p>
        </w:tc>
        <w:tc>
          <w:tcPr>
            <w:tcW w:w="146" w:type="dxa"/>
            <w:tcBorders/>
            <w:shd w:fill="002668"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266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002668" w:val="clear"/>
            <w:tcMar>
              <w:top w:w="0" w:type="dxa"/>
              <w:left w:w="0" w:type="dxa"/>
              <w:bottom w:w="0" w:type="dxa"/>
              <w:right w:w="0" w:type="dxa"/>
            </w:tcMar>
            <w:vAlign w:val="center"/>
          </w:tcPr>
          <w:p>
            <w:pPr>
              <w:pStyle w:val="TableContents"/>
              <w:bidi w:val="0"/>
              <w:spacing w:before="0" w:after="283"/>
              <w:jc w:val="left"/>
              <w:rPr/>
            </w:pPr>
            <w:r>
              <w:rPr/>
              <w:t> </w:t>
            </w:r>
          </w:p>
        </w:tc>
        <w:tc>
          <w:tcPr>
            <w:tcW w:w="1340" w:type="dxa"/>
            <w:gridSpan w:val="5"/>
            <w:tcBorders/>
            <w:shd w:fill="002668" w:val="clear"/>
            <w:tcMar>
              <w:top w:w="0" w:type="dxa"/>
              <w:left w:w="0" w:type="dxa"/>
              <w:bottom w:w="0" w:type="dxa"/>
              <w:right w:w="0" w:type="dxa"/>
            </w:tcMar>
            <w:vAlign w:val="center"/>
          </w:tcPr>
          <w:p>
            <w:pPr>
              <w:pStyle w:val="TableContents"/>
              <w:bidi w:val="0"/>
              <w:spacing w:before="0" w:after="283"/>
              <w:jc w:val="center"/>
              <w:rPr>
                <w:rFonts w:ascii="Arial" w:hAnsi="Arial"/>
                <w:b/>
                <w:color w:val="FFFFFF"/>
                <w:sz w:val="14"/>
              </w:rPr>
            </w:pPr>
            <w:r>
              <w:rPr>
                <w:rFonts w:ascii="Arial" w:hAnsi="Arial"/>
                <w:b/>
                <w:color w:val="FFFFFF"/>
                <w:sz w:val="14"/>
              </w:rPr>
              <w:t>Units of</w:t>
            </w:r>
          </w:p>
        </w:tc>
        <w:tc>
          <w:tcPr>
            <w:tcW w:w="146" w:type="dxa"/>
            <w:tcBorders/>
            <w:shd w:fill="002668"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002668" w:val="clear"/>
            <w:tcMar>
              <w:top w:w="0" w:type="dxa"/>
              <w:left w:w="0" w:type="dxa"/>
              <w:bottom w:w="0" w:type="dxa"/>
              <w:right w:w="0" w:type="dxa"/>
            </w:tcMar>
            <w:vAlign w:val="center"/>
          </w:tcPr>
          <w:p>
            <w:pPr>
              <w:pStyle w:val="TableContents"/>
              <w:bidi w:val="0"/>
              <w:spacing w:before="0" w:after="283"/>
              <w:jc w:val="center"/>
              <w:rPr>
                <w:rFonts w:ascii="Arial" w:hAnsi="Arial"/>
                <w:b/>
                <w:color w:val="FFFFFF"/>
                <w:sz w:val="14"/>
              </w:rPr>
            </w:pPr>
            <w:r>
              <w:rPr>
                <w:rFonts w:ascii="Arial" w:hAnsi="Arial"/>
                <w:b/>
                <w:color w:val="FFFFFF"/>
                <w:sz w:val="14"/>
              </w:rPr>
              <w:t>Unearned</w:t>
            </w:r>
          </w:p>
        </w:tc>
        <w:tc>
          <w:tcPr>
            <w:tcW w:w="146" w:type="dxa"/>
            <w:tcBorders/>
            <w:shd w:fill="002668"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266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002668"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gridSpan w:val="5"/>
            <w:tcBorders/>
            <w:shd w:fill="002668" w:val="clear"/>
            <w:tcMar>
              <w:top w:w="0" w:type="dxa"/>
              <w:left w:w="0" w:type="dxa"/>
              <w:bottom w:w="0" w:type="dxa"/>
              <w:right w:w="0" w:type="dxa"/>
            </w:tcMar>
            <w:vAlign w:val="center"/>
          </w:tcPr>
          <w:p>
            <w:pPr>
              <w:pStyle w:val="TableContents"/>
              <w:bidi w:val="0"/>
              <w:spacing w:before="0" w:after="283"/>
              <w:jc w:val="center"/>
              <w:rPr>
                <w:rFonts w:ascii="Arial" w:hAnsi="Arial"/>
                <w:b/>
                <w:color w:val="FFFFFF"/>
                <w:sz w:val="14"/>
              </w:rPr>
            </w:pPr>
            <w:r>
              <w:rPr>
                <w:rFonts w:ascii="Arial" w:hAnsi="Arial"/>
                <w:b/>
                <w:color w:val="FFFFFF"/>
                <w:sz w:val="14"/>
              </w:rPr>
              <w:t>Payout Value</w:t>
            </w:r>
          </w:p>
        </w:tc>
      </w:tr>
      <w:tr>
        <w:trPr/>
        <w:tc>
          <w:tcPr>
            <w:tcW w:w="1411" w:type="dxa"/>
            <w:tcBorders/>
            <w:shd w:fill="002668"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002668"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2668"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002668" w:val="clear"/>
            <w:tcMar>
              <w:top w:w="0" w:type="dxa"/>
              <w:left w:w="0" w:type="dxa"/>
              <w:bottom w:w="0" w:type="dxa"/>
              <w:right w:w="0" w:type="dxa"/>
            </w:tcMar>
            <w:vAlign w:val="center"/>
          </w:tcPr>
          <w:p>
            <w:pPr>
              <w:pStyle w:val="TableContents"/>
              <w:bidi w:val="0"/>
              <w:spacing w:before="0" w:after="283"/>
              <w:jc w:val="center"/>
              <w:rPr>
                <w:rFonts w:ascii="Arial" w:hAnsi="Arial"/>
                <w:b/>
                <w:color w:val="FFFFFF"/>
                <w:sz w:val="14"/>
              </w:rPr>
            </w:pPr>
            <w:r>
              <w:rPr>
                <w:rFonts w:ascii="Arial" w:hAnsi="Arial"/>
                <w:b/>
                <w:color w:val="FFFFFF"/>
                <w:sz w:val="14"/>
              </w:rPr>
              <w:t>Units of</w:t>
            </w:r>
          </w:p>
        </w:tc>
        <w:tc>
          <w:tcPr>
            <w:tcW w:w="146" w:type="dxa"/>
            <w:tcBorders/>
            <w:shd w:fill="002668"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266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002668" w:val="clear"/>
            <w:tcMar>
              <w:top w:w="0" w:type="dxa"/>
              <w:left w:w="0" w:type="dxa"/>
              <w:bottom w:w="0" w:type="dxa"/>
              <w:right w:w="0" w:type="dxa"/>
            </w:tcMar>
            <w:vAlign w:val="center"/>
          </w:tcPr>
          <w:p>
            <w:pPr>
              <w:pStyle w:val="TableContents"/>
              <w:bidi w:val="0"/>
              <w:spacing w:before="0" w:after="283"/>
              <w:jc w:val="left"/>
              <w:rPr/>
            </w:pPr>
            <w:r>
              <w:rPr/>
              <w:t> </w:t>
            </w:r>
          </w:p>
        </w:tc>
        <w:tc>
          <w:tcPr>
            <w:tcW w:w="1340" w:type="dxa"/>
            <w:gridSpan w:val="5"/>
            <w:tcBorders/>
            <w:shd w:fill="002668" w:val="clear"/>
            <w:tcMar>
              <w:top w:w="0" w:type="dxa"/>
              <w:left w:w="0" w:type="dxa"/>
              <w:bottom w:w="0" w:type="dxa"/>
              <w:right w:w="0" w:type="dxa"/>
            </w:tcMar>
            <w:vAlign w:val="center"/>
          </w:tcPr>
          <w:p>
            <w:pPr>
              <w:pStyle w:val="TableContents"/>
              <w:bidi w:val="0"/>
              <w:spacing w:before="0" w:after="283"/>
              <w:jc w:val="center"/>
              <w:rPr>
                <w:rFonts w:ascii="Arial" w:hAnsi="Arial"/>
                <w:b/>
                <w:color w:val="FFFFFF"/>
                <w:sz w:val="14"/>
              </w:rPr>
            </w:pPr>
            <w:r>
              <w:rPr>
                <w:rFonts w:ascii="Arial" w:hAnsi="Arial"/>
                <w:b/>
                <w:color w:val="FFFFFF"/>
                <w:sz w:val="14"/>
              </w:rPr>
              <w:t>Stock</w:t>
            </w:r>
          </w:p>
        </w:tc>
        <w:tc>
          <w:tcPr>
            <w:tcW w:w="146" w:type="dxa"/>
            <w:tcBorders/>
            <w:shd w:fill="002668"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002668" w:val="clear"/>
            <w:tcMar>
              <w:top w:w="0" w:type="dxa"/>
              <w:left w:w="0" w:type="dxa"/>
              <w:bottom w:w="0" w:type="dxa"/>
              <w:right w:w="0" w:type="dxa"/>
            </w:tcMar>
            <w:vAlign w:val="center"/>
          </w:tcPr>
          <w:p>
            <w:pPr>
              <w:pStyle w:val="TableContents"/>
              <w:bidi w:val="0"/>
              <w:spacing w:before="0" w:after="283"/>
              <w:jc w:val="center"/>
              <w:rPr>
                <w:rFonts w:ascii="Arial" w:hAnsi="Arial"/>
                <w:b/>
                <w:color w:val="FFFFFF"/>
                <w:sz w:val="14"/>
              </w:rPr>
            </w:pPr>
            <w:r>
              <w:rPr>
                <w:rFonts w:ascii="Arial" w:hAnsi="Arial"/>
                <w:b/>
                <w:color w:val="FFFFFF"/>
                <w:sz w:val="14"/>
              </w:rPr>
              <w:t>Shares, Units</w:t>
            </w:r>
          </w:p>
        </w:tc>
        <w:tc>
          <w:tcPr>
            <w:tcW w:w="146" w:type="dxa"/>
            <w:tcBorders/>
            <w:shd w:fill="002668"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266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002668"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gridSpan w:val="5"/>
            <w:tcBorders/>
            <w:shd w:fill="002668" w:val="clear"/>
            <w:tcMar>
              <w:top w:w="0" w:type="dxa"/>
              <w:left w:w="0" w:type="dxa"/>
              <w:bottom w:w="0" w:type="dxa"/>
              <w:right w:w="0" w:type="dxa"/>
            </w:tcMar>
            <w:vAlign w:val="center"/>
          </w:tcPr>
          <w:p>
            <w:pPr>
              <w:pStyle w:val="TableContents"/>
              <w:bidi w:val="0"/>
              <w:spacing w:before="0" w:after="283"/>
              <w:jc w:val="center"/>
              <w:rPr>
                <w:rFonts w:ascii="Arial" w:hAnsi="Arial"/>
                <w:b/>
                <w:color w:val="FFFFFF"/>
                <w:sz w:val="14"/>
              </w:rPr>
            </w:pPr>
            <w:r>
              <w:rPr>
                <w:rFonts w:ascii="Arial" w:hAnsi="Arial"/>
                <w:b/>
                <w:color w:val="FFFFFF"/>
                <w:sz w:val="14"/>
              </w:rPr>
              <w:t>of Unearned</w:t>
            </w:r>
          </w:p>
        </w:tc>
      </w:tr>
      <w:tr>
        <w:trPr/>
        <w:tc>
          <w:tcPr>
            <w:tcW w:w="1411" w:type="dxa"/>
            <w:tcBorders/>
            <w:shd w:fill="002668"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002668" w:val="clear"/>
            <w:tcMar>
              <w:top w:w="0" w:type="dxa"/>
              <w:left w:w="0" w:type="dxa"/>
              <w:bottom w:w="0" w:type="dxa"/>
              <w:right w:w="0" w:type="dxa"/>
            </w:tcMar>
            <w:vAlign w:val="center"/>
          </w:tcPr>
          <w:p>
            <w:pPr>
              <w:pStyle w:val="TableContents"/>
              <w:bidi w:val="0"/>
              <w:spacing w:before="0" w:after="283"/>
              <w:jc w:val="center"/>
              <w:rPr>
                <w:rFonts w:ascii="Arial" w:hAnsi="Arial"/>
                <w:b/>
                <w:color w:val="FFFFFF"/>
                <w:sz w:val="14"/>
              </w:rPr>
            </w:pPr>
            <w:r>
              <w:rPr>
                <w:rFonts w:ascii="Arial" w:hAnsi="Arial"/>
                <w:b/>
                <w:color w:val="FFFFFF"/>
                <w:sz w:val="14"/>
              </w:rPr>
              <w:t>Stock</w:t>
            </w:r>
          </w:p>
        </w:tc>
        <w:tc>
          <w:tcPr>
            <w:tcW w:w="146" w:type="dxa"/>
            <w:tcBorders/>
            <w:shd w:fill="002668"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002668" w:val="clear"/>
            <w:tcMar>
              <w:top w:w="0" w:type="dxa"/>
              <w:left w:w="0" w:type="dxa"/>
              <w:bottom w:w="0" w:type="dxa"/>
              <w:right w:w="0" w:type="dxa"/>
            </w:tcMar>
            <w:vAlign w:val="center"/>
          </w:tcPr>
          <w:p>
            <w:pPr>
              <w:pStyle w:val="TableContents"/>
              <w:bidi w:val="0"/>
              <w:spacing w:before="0" w:after="283"/>
              <w:jc w:val="center"/>
              <w:rPr>
                <w:rFonts w:ascii="Arial" w:hAnsi="Arial"/>
                <w:b/>
                <w:color w:val="FFFFFF"/>
                <w:sz w:val="14"/>
              </w:rPr>
            </w:pPr>
            <w:r>
              <w:rPr>
                <w:rFonts w:ascii="Arial" w:hAnsi="Arial"/>
                <w:b/>
                <w:color w:val="FFFFFF"/>
                <w:sz w:val="14"/>
              </w:rPr>
              <w:t>Stock</w:t>
            </w:r>
          </w:p>
        </w:tc>
        <w:tc>
          <w:tcPr>
            <w:tcW w:w="146" w:type="dxa"/>
            <w:tcBorders/>
            <w:shd w:fill="002668"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266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002668" w:val="clear"/>
            <w:tcMar>
              <w:top w:w="0" w:type="dxa"/>
              <w:left w:w="0" w:type="dxa"/>
              <w:bottom w:w="0" w:type="dxa"/>
              <w:right w:w="0" w:type="dxa"/>
            </w:tcMar>
            <w:vAlign w:val="center"/>
          </w:tcPr>
          <w:p>
            <w:pPr>
              <w:pStyle w:val="TableContents"/>
              <w:bidi w:val="0"/>
              <w:spacing w:before="0" w:after="283"/>
              <w:jc w:val="left"/>
              <w:rPr/>
            </w:pPr>
            <w:r>
              <w:rPr/>
              <w:t> </w:t>
            </w:r>
          </w:p>
        </w:tc>
        <w:tc>
          <w:tcPr>
            <w:tcW w:w="1340" w:type="dxa"/>
            <w:gridSpan w:val="5"/>
            <w:tcBorders/>
            <w:shd w:fill="002668" w:val="clear"/>
            <w:tcMar>
              <w:top w:w="0" w:type="dxa"/>
              <w:left w:w="0" w:type="dxa"/>
              <w:bottom w:w="0" w:type="dxa"/>
              <w:right w:w="0" w:type="dxa"/>
            </w:tcMar>
            <w:vAlign w:val="center"/>
          </w:tcPr>
          <w:p>
            <w:pPr>
              <w:pStyle w:val="TableContents"/>
              <w:bidi w:val="0"/>
              <w:spacing w:before="0" w:after="283"/>
              <w:jc w:val="center"/>
              <w:rPr>
                <w:rFonts w:ascii="Arial" w:hAnsi="Arial"/>
                <w:b/>
                <w:color w:val="FFFFFF"/>
                <w:sz w:val="14"/>
              </w:rPr>
            </w:pPr>
            <w:r>
              <w:rPr>
                <w:rFonts w:ascii="Arial" w:hAnsi="Arial"/>
                <w:b/>
                <w:color w:val="FFFFFF"/>
                <w:sz w:val="14"/>
              </w:rPr>
              <w:t>That Have</w:t>
            </w:r>
          </w:p>
        </w:tc>
        <w:tc>
          <w:tcPr>
            <w:tcW w:w="146" w:type="dxa"/>
            <w:tcBorders/>
            <w:shd w:fill="002668"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002668" w:val="clear"/>
            <w:tcMar>
              <w:top w:w="0" w:type="dxa"/>
              <w:left w:w="0" w:type="dxa"/>
              <w:bottom w:w="0" w:type="dxa"/>
              <w:right w:w="0" w:type="dxa"/>
            </w:tcMar>
            <w:vAlign w:val="center"/>
          </w:tcPr>
          <w:p>
            <w:pPr>
              <w:pStyle w:val="TableContents"/>
              <w:bidi w:val="0"/>
              <w:spacing w:before="0" w:after="283"/>
              <w:jc w:val="center"/>
              <w:rPr>
                <w:rFonts w:ascii="Arial" w:hAnsi="Arial"/>
                <w:b/>
                <w:color w:val="FFFFFF"/>
                <w:sz w:val="14"/>
              </w:rPr>
            </w:pPr>
            <w:r>
              <w:rPr>
                <w:rFonts w:ascii="Arial" w:hAnsi="Arial"/>
                <w:b/>
                <w:color w:val="FFFFFF"/>
                <w:sz w:val="14"/>
              </w:rPr>
              <w:t>or Other</w:t>
            </w:r>
          </w:p>
        </w:tc>
        <w:tc>
          <w:tcPr>
            <w:tcW w:w="146" w:type="dxa"/>
            <w:tcBorders/>
            <w:shd w:fill="002668"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266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002668"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gridSpan w:val="5"/>
            <w:tcBorders/>
            <w:shd w:fill="002668" w:val="clear"/>
            <w:tcMar>
              <w:top w:w="0" w:type="dxa"/>
              <w:left w:w="0" w:type="dxa"/>
              <w:bottom w:w="0" w:type="dxa"/>
              <w:right w:w="0" w:type="dxa"/>
            </w:tcMar>
            <w:vAlign w:val="center"/>
          </w:tcPr>
          <w:p>
            <w:pPr>
              <w:pStyle w:val="TableContents"/>
              <w:bidi w:val="0"/>
              <w:spacing w:before="0" w:after="283"/>
              <w:jc w:val="center"/>
              <w:rPr>
                <w:rFonts w:ascii="Arial" w:hAnsi="Arial"/>
                <w:b/>
                <w:color w:val="FFFFFF"/>
                <w:sz w:val="14"/>
              </w:rPr>
            </w:pPr>
            <w:r>
              <w:rPr>
                <w:rFonts w:ascii="Arial" w:hAnsi="Arial"/>
                <w:b/>
                <w:color w:val="FFFFFF"/>
                <w:sz w:val="14"/>
              </w:rPr>
              <w:t>Shares, Units or</w:t>
            </w:r>
          </w:p>
        </w:tc>
      </w:tr>
      <w:tr>
        <w:trPr/>
        <w:tc>
          <w:tcPr>
            <w:tcW w:w="1411" w:type="dxa"/>
            <w:tcBorders/>
            <w:shd w:fill="002668"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002668" w:val="clear"/>
            <w:tcMar>
              <w:top w:w="0" w:type="dxa"/>
              <w:left w:w="0" w:type="dxa"/>
              <w:bottom w:w="0" w:type="dxa"/>
              <w:right w:w="0" w:type="dxa"/>
            </w:tcMar>
            <w:vAlign w:val="center"/>
          </w:tcPr>
          <w:p>
            <w:pPr>
              <w:pStyle w:val="TableContents"/>
              <w:bidi w:val="0"/>
              <w:spacing w:before="0" w:after="283"/>
              <w:jc w:val="center"/>
              <w:rPr>
                <w:rFonts w:ascii="Arial" w:hAnsi="Arial"/>
                <w:b/>
                <w:color w:val="FFFFFF"/>
                <w:sz w:val="14"/>
              </w:rPr>
            </w:pPr>
            <w:r>
              <w:rPr>
                <w:rFonts w:ascii="Arial" w:hAnsi="Arial"/>
                <w:b/>
                <w:color w:val="FFFFFF"/>
                <w:sz w:val="14"/>
              </w:rPr>
              <w:t>Award</w:t>
            </w:r>
          </w:p>
        </w:tc>
        <w:tc>
          <w:tcPr>
            <w:tcW w:w="146" w:type="dxa"/>
            <w:tcBorders/>
            <w:shd w:fill="002668"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002668" w:val="clear"/>
            <w:tcMar>
              <w:top w:w="0" w:type="dxa"/>
              <w:left w:w="0" w:type="dxa"/>
              <w:bottom w:w="0" w:type="dxa"/>
              <w:right w:w="0" w:type="dxa"/>
            </w:tcMar>
            <w:vAlign w:val="center"/>
          </w:tcPr>
          <w:p>
            <w:pPr>
              <w:pStyle w:val="TableContents"/>
              <w:bidi w:val="0"/>
              <w:spacing w:before="0" w:after="283"/>
              <w:jc w:val="center"/>
              <w:rPr>
                <w:rFonts w:ascii="Arial" w:hAnsi="Arial"/>
                <w:b/>
                <w:color w:val="FFFFFF"/>
                <w:sz w:val="14"/>
              </w:rPr>
            </w:pPr>
            <w:r>
              <w:rPr>
                <w:rFonts w:ascii="Arial" w:hAnsi="Arial"/>
                <w:b/>
                <w:color w:val="FFFFFF"/>
                <w:sz w:val="14"/>
              </w:rPr>
              <w:t>That Have</w:t>
            </w:r>
          </w:p>
        </w:tc>
        <w:tc>
          <w:tcPr>
            <w:tcW w:w="146" w:type="dxa"/>
            <w:tcBorders/>
            <w:shd w:fill="002668"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266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002668" w:val="clear"/>
            <w:tcMar>
              <w:top w:w="0" w:type="dxa"/>
              <w:left w:w="0" w:type="dxa"/>
              <w:bottom w:w="0" w:type="dxa"/>
              <w:right w:w="0" w:type="dxa"/>
            </w:tcMar>
            <w:vAlign w:val="center"/>
          </w:tcPr>
          <w:p>
            <w:pPr>
              <w:pStyle w:val="TableContents"/>
              <w:bidi w:val="0"/>
              <w:spacing w:before="0" w:after="283"/>
              <w:jc w:val="left"/>
              <w:rPr/>
            </w:pPr>
            <w:r>
              <w:rPr/>
              <w:t> </w:t>
            </w:r>
          </w:p>
        </w:tc>
        <w:tc>
          <w:tcPr>
            <w:tcW w:w="1340" w:type="dxa"/>
            <w:gridSpan w:val="5"/>
            <w:tcBorders/>
            <w:shd w:fill="002668" w:val="clear"/>
            <w:tcMar>
              <w:top w:w="0" w:type="dxa"/>
              <w:left w:w="0" w:type="dxa"/>
              <w:bottom w:w="0" w:type="dxa"/>
              <w:right w:w="0" w:type="dxa"/>
            </w:tcMar>
            <w:vAlign w:val="center"/>
          </w:tcPr>
          <w:p>
            <w:pPr>
              <w:pStyle w:val="TableContents"/>
              <w:bidi w:val="0"/>
              <w:spacing w:before="0" w:after="283"/>
              <w:jc w:val="center"/>
              <w:rPr>
                <w:rFonts w:ascii="Arial" w:hAnsi="Arial"/>
                <w:b/>
                <w:color w:val="FFFFFF"/>
                <w:sz w:val="14"/>
              </w:rPr>
            </w:pPr>
            <w:r>
              <w:rPr>
                <w:rFonts w:ascii="Arial" w:hAnsi="Arial"/>
                <w:b/>
                <w:color w:val="FFFFFF"/>
                <w:sz w:val="14"/>
              </w:rPr>
              <w:t>Not</w:t>
            </w:r>
          </w:p>
        </w:tc>
        <w:tc>
          <w:tcPr>
            <w:tcW w:w="146" w:type="dxa"/>
            <w:tcBorders/>
            <w:shd w:fill="002668"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002668" w:val="clear"/>
            <w:tcMar>
              <w:top w:w="0" w:type="dxa"/>
              <w:left w:w="0" w:type="dxa"/>
              <w:bottom w:w="0" w:type="dxa"/>
              <w:right w:w="0" w:type="dxa"/>
            </w:tcMar>
            <w:vAlign w:val="center"/>
          </w:tcPr>
          <w:p>
            <w:pPr>
              <w:pStyle w:val="TableContents"/>
              <w:bidi w:val="0"/>
              <w:spacing w:before="0" w:after="283"/>
              <w:jc w:val="center"/>
              <w:rPr>
                <w:rFonts w:ascii="Arial" w:hAnsi="Arial"/>
                <w:b/>
                <w:color w:val="FFFFFF"/>
                <w:sz w:val="14"/>
              </w:rPr>
            </w:pPr>
            <w:r>
              <w:rPr>
                <w:rFonts w:ascii="Arial" w:hAnsi="Arial"/>
                <w:b/>
                <w:color w:val="FFFFFF"/>
                <w:sz w:val="14"/>
              </w:rPr>
              <w:t>Rights That</w:t>
            </w:r>
          </w:p>
        </w:tc>
        <w:tc>
          <w:tcPr>
            <w:tcW w:w="146" w:type="dxa"/>
            <w:tcBorders/>
            <w:shd w:fill="002668"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266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002668"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gridSpan w:val="5"/>
            <w:tcBorders/>
            <w:shd w:fill="002668" w:val="clear"/>
            <w:tcMar>
              <w:top w:w="0" w:type="dxa"/>
              <w:left w:w="0" w:type="dxa"/>
              <w:bottom w:w="0" w:type="dxa"/>
              <w:right w:w="0" w:type="dxa"/>
            </w:tcMar>
            <w:vAlign w:val="center"/>
          </w:tcPr>
          <w:p>
            <w:pPr>
              <w:pStyle w:val="TableContents"/>
              <w:bidi w:val="0"/>
              <w:spacing w:before="0" w:after="283"/>
              <w:jc w:val="center"/>
              <w:rPr>
                <w:rFonts w:ascii="Arial" w:hAnsi="Arial"/>
                <w:b/>
                <w:color w:val="FFFFFF"/>
                <w:sz w:val="14"/>
              </w:rPr>
            </w:pPr>
            <w:r>
              <w:rPr>
                <w:rFonts w:ascii="Arial" w:hAnsi="Arial"/>
                <w:b/>
                <w:color w:val="FFFFFF"/>
                <w:sz w:val="14"/>
              </w:rPr>
              <w:t>Other Rights</w:t>
            </w:r>
          </w:p>
        </w:tc>
      </w:tr>
      <w:tr>
        <w:trPr/>
        <w:tc>
          <w:tcPr>
            <w:tcW w:w="1411" w:type="dxa"/>
            <w:tcBorders/>
            <w:shd w:fill="002668"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002668" w:val="clear"/>
            <w:tcMar>
              <w:top w:w="0" w:type="dxa"/>
              <w:left w:w="0" w:type="dxa"/>
              <w:bottom w:w="0" w:type="dxa"/>
              <w:right w:w="0" w:type="dxa"/>
            </w:tcMar>
            <w:vAlign w:val="center"/>
          </w:tcPr>
          <w:p>
            <w:pPr>
              <w:pStyle w:val="TableContents"/>
              <w:bidi w:val="0"/>
              <w:spacing w:before="0" w:after="283"/>
              <w:jc w:val="center"/>
              <w:rPr>
                <w:rFonts w:ascii="Arial" w:hAnsi="Arial"/>
                <w:b/>
                <w:color w:val="FFFFFF"/>
                <w:sz w:val="14"/>
              </w:rPr>
            </w:pPr>
            <w:r>
              <w:rPr>
                <w:rFonts w:ascii="Arial" w:hAnsi="Arial"/>
                <w:b/>
                <w:color w:val="FFFFFF"/>
                <w:sz w:val="14"/>
              </w:rPr>
              <w:t>Grant</w:t>
            </w:r>
          </w:p>
        </w:tc>
        <w:tc>
          <w:tcPr>
            <w:tcW w:w="146" w:type="dxa"/>
            <w:tcBorders/>
            <w:shd w:fill="002668"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002668" w:val="clear"/>
            <w:tcMar>
              <w:top w:w="0" w:type="dxa"/>
              <w:left w:w="0" w:type="dxa"/>
              <w:bottom w:w="0" w:type="dxa"/>
              <w:right w:w="0" w:type="dxa"/>
            </w:tcMar>
            <w:vAlign w:val="center"/>
          </w:tcPr>
          <w:p>
            <w:pPr>
              <w:pStyle w:val="TableContents"/>
              <w:bidi w:val="0"/>
              <w:spacing w:before="0" w:after="283"/>
              <w:jc w:val="center"/>
              <w:rPr>
                <w:rFonts w:ascii="Arial" w:hAnsi="Arial"/>
                <w:b/>
                <w:color w:val="FFFFFF"/>
                <w:sz w:val="14"/>
              </w:rPr>
            </w:pPr>
            <w:r>
              <w:rPr>
                <w:rFonts w:ascii="Arial" w:hAnsi="Arial"/>
                <w:b/>
                <w:color w:val="FFFFFF"/>
                <w:sz w:val="14"/>
              </w:rPr>
              <w:t>Not</w:t>
            </w:r>
          </w:p>
        </w:tc>
        <w:tc>
          <w:tcPr>
            <w:tcW w:w="146" w:type="dxa"/>
            <w:tcBorders/>
            <w:shd w:fill="002668"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266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002668" w:val="clear"/>
            <w:tcMar>
              <w:top w:w="0" w:type="dxa"/>
              <w:left w:w="0" w:type="dxa"/>
              <w:bottom w:w="0" w:type="dxa"/>
              <w:right w:w="0" w:type="dxa"/>
            </w:tcMar>
            <w:vAlign w:val="center"/>
          </w:tcPr>
          <w:p>
            <w:pPr>
              <w:pStyle w:val="TableContents"/>
              <w:bidi w:val="0"/>
              <w:spacing w:before="0" w:after="283"/>
              <w:jc w:val="left"/>
              <w:rPr/>
            </w:pPr>
            <w:r>
              <w:rPr/>
              <w:t> </w:t>
            </w:r>
          </w:p>
        </w:tc>
        <w:tc>
          <w:tcPr>
            <w:tcW w:w="1340" w:type="dxa"/>
            <w:gridSpan w:val="5"/>
            <w:tcBorders/>
            <w:shd w:fill="002668" w:val="clear"/>
            <w:tcMar>
              <w:top w:w="0" w:type="dxa"/>
              <w:left w:w="0" w:type="dxa"/>
              <w:bottom w:w="0" w:type="dxa"/>
              <w:right w:w="0" w:type="dxa"/>
            </w:tcMar>
            <w:vAlign w:val="center"/>
          </w:tcPr>
          <w:p>
            <w:pPr>
              <w:pStyle w:val="TableContents"/>
              <w:bidi w:val="0"/>
              <w:spacing w:before="0" w:after="283"/>
              <w:jc w:val="center"/>
              <w:rPr>
                <w:rFonts w:ascii="Arial" w:hAnsi="Arial"/>
                <w:b/>
                <w:color w:val="FFFFFF"/>
                <w:sz w:val="14"/>
              </w:rPr>
            </w:pPr>
            <w:r>
              <w:rPr>
                <w:rFonts w:ascii="Arial" w:hAnsi="Arial"/>
                <w:b/>
                <w:color w:val="FFFFFF"/>
                <w:sz w:val="14"/>
              </w:rPr>
              <w:t>Vested</w:t>
            </w:r>
          </w:p>
        </w:tc>
        <w:tc>
          <w:tcPr>
            <w:tcW w:w="146" w:type="dxa"/>
            <w:tcBorders/>
            <w:shd w:fill="002668"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002668" w:val="clear"/>
            <w:tcMar>
              <w:top w:w="0" w:type="dxa"/>
              <w:left w:w="0" w:type="dxa"/>
              <w:bottom w:w="0" w:type="dxa"/>
              <w:right w:w="0" w:type="dxa"/>
            </w:tcMar>
            <w:vAlign w:val="center"/>
          </w:tcPr>
          <w:p>
            <w:pPr>
              <w:pStyle w:val="TableContents"/>
              <w:bidi w:val="0"/>
              <w:spacing w:before="0" w:after="283"/>
              <w:jc w:val="center"/>
              <w:rPr>
                <w:rFonts w:ascii="Arial" w:hAnsi="Arial"/>
                <w:b/>
                <w:color w:val="FFFFFF"/>
                <w:sz w:val="14"/>
              </w:rPr>
            </w:pPr>
            <w:r>
              <w:rPr>
                <w:rFonts w:ascii="Arial" w:hAnsi="Arial"/>
                <w:b/>
                <w:color w:val="FFFFFF"/>
                <w:sz w:val="14"/>
              </w:rPr>
              <w:t>Have Not</w:t>
            </w:r>
          </w:p>
        </w:tc>
        <w:tc>
          <w:tcPr>
            <w:tcW w:w="146" w:type="dxa"/>
            <w:tcBorders/>
            <w:shd w:fill="002668"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266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002668"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gridSpan w:val="5"/>
            <w:tcBorders/>
            <w:shd w:fill="002668" w:val="clear"/>
            <w:tcMar>
              <w:top w:w="0" w:type="dxa"/>
              <w:left w:w="0" w:type="dxa"/>
              <w:bottom w:w="0" w:type="dxa"/>
              <w:right w:w="0" w:type="dxa"/>
            </w:tcMar>
            <w:vAlign w:val="center"/>
          </w:tcPr>
          <w:p>
            <w:pPr>
              <w:pStyle w:val="TableContents"/>
              <w:bidi w:val="0"/>
              <w:spacing w:before="0" w:after="283"/>
              <w:jc w:val="center"/>
              <w:rPr>
                <w:rFonts w:ascii="Arial" w:hAnsi="Arial"/>
                <w:b/>
                <w:color w:val="FFFFFF"/>
                <w:sz w:val="14"/>
              </w:rPr>
            </w:pPr>
            <w:r>
              <w:rPr>
                <w:rFonts w:ascii="Arial" w:hAnsi="Arial"/>
                <w:b/>
                <w:color w:val="FFFFFF"/>
                <w:sz w:val="14"/>
              </w:rPr>
              <w:t>That Have</w:t>
            </w:r>
          </w:p>
        </w:tc>
      </w:tr>
      <w:tr>
        <w:trPr/>
        <w:tc>
          <w:tcPr>
            <w:tcW w:w="1411"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left"/>
              <w:rPr>
                <w:rFonts w:ascii="Arial" w:hAnsi="Arial"/>
                <w:b/>
                <w:color w:val="FFFFFF"/>
                <w:sz w:val="14"/>
              </w:rPr>
            </w:pPr>
            <w:r>
              <w:rPr>
                <w:rFonts w:ascii="Arial" w:hAnsi="Arial"/>
                <w:b/>
                <w:color w:val="FFFFFF"/>
                <w:sz w:val="14"/>
              </w:rPr>
              <w:t>Name</w:t>
            </w:r>
          </w:p>
        </w:tc>
        <w:tc>
          <w:tcPr>
            <w:tcW w:w="721"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rFonts w:ascii="Arial" w:hAnsi="Arial"/>
                <w:b/>
                <w:color w:val="FFFFFF"/>
                <w:sz w:val="14"/>
              </w:rPr>
            </w:pPr>
            <w:r>
              <w:rPr>
                <w:rFonts w:ascii="Arial" w:hAnsi="Arial"/>
                <w:b/>
                <w:color w:val="FFFFFF"/>
                <w:sz w:val="14"/>
              </w:rPr>
              <w:t>Date (1)</w:t>
            </w:r>
          </w:p>
        </w:tc>
        <w:tc>
          <w:tcPr>
            <w:tcW w:w="14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rFonts w:ascii="Arial" w:hAnsi="Arial"/>
                <w:b/>
                <w:color w:val="FFFFFF"/>
                <w:sz w:val="14"/>
              </w:rPr>
            </w:pPr>
            <w:r>
              <w:rPr>
                <w:rFonts w:ascii="Arial" w:hAnsi="Arial"/>
                <w:b/>
                <w:color w:val="FFFFFF"/>
                <w:sz w:val="14"/>
              </w:rPr>
              <w:t>Vested</w:t>
            </w:r>
          </w:p>
        </w:tc>
        <w:tc>
          <w:tcPr>
            <w:tcW w:w="14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left"/>
              <w:rPr/>
            </w:pPr>
            <w:r>
              <w:rPr/>
              <w:t> </w:t>
            </w:r>
          </w:p>
        </w:tc>
        <w:tc>
          <w:tcPr>
            <w:tcW w:w="1340" w:type="dxa"/>
            <w:gridSpan w:val="5"/>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rFonts w:ascii="Arial" w:hAnsi="Arial"/>
                <w:b/>
                <w:color w:val="FFFFFF"/>
                <w:sz w:val="14"/>
              </w:rPr>
            </w:pPr>
            <w:r>
              <w:rPr>
                <w:rFonts w:ascii="Arial" w:hAnsi="Arial"/>
                <w:b/>
                <w:color w:val="FFFFFF"/>
                <w:sz w:val="14"/>
              </w:rPr>
              <w:t>(2)</w:t>
            </w:r>
          </w:p>
        </w:tc>
        <w:tc>
          <w:tcPr>
            <w:tcW w:w="14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left"/>
              <w:rPr/>
            </w:pPr>
            <w:r>
              <w:rPr/>
              <w:t> </w:t>
            </w:r>
          </w:p>
        </w:tc>
        <w:tc>
          <w:tcPr>
            <w:tcW w:w="975" w:type="dxa"/>
            <w:gridSpan w:val="2"/>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rFonts w:ascii="Arial" w:hAnsi="Arial"/>
                <w:b/>
                <w:color w:val="FFFFFF"/>
                <w:sz w:val="14"/>
              </w:rPr>
            </w:pPr>
            <w:r>
              <w:rPr>
                <w:rFonts w:ascii="Arial" w:hAnsi="Arial"/>
                <w:b/>
                <w:color w:val="FFFFFF"/>
                <w:sz w:val="14"/>
              </w:rPr>
              <w:t>Vested (3)</w:t>
            </w:r>
          </w:p>
        </w:tc>
        <w:tc>
          <w:tcPr>
            <w:tcW w:w="14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left"/>
              <w:rPr/>
            </w:pPr>
            <w:r>
              <w:rPr/>
              <w:t> </w:t>
            </w:r>
          </w:p>
        </w:tc>
        <w:tc>
          <w:tcPr>
            <w:tcW w:w="1385" w:type="dxa"/>
            <w:gridSpan w:val="5"/>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rFonts w:ascii="Arial" w:hAnsi="Arial"/>
                <w:b/>
                <w:color w:val="FFFFFF"/>
                <w:sz w:val="14"/>
              </w:rPr>
            </w:pPr>
            <w:r>
              <w:rPr>
                <w:rFonts w:ascii="Arial" w:hAnsi="Arial"/>
                <w:b/>
                <w:color w:val="FFFFFF"/>
                <w:sz w:val="14"/>
              </w:rPr>
              <w:t>Not Vested (2)</w:t>
            </w:r>
          </w:p>
        </w:tc>
      </w:tr>
      <w:tr>
        <w:trPr/>
        <w:tc>
          <w:tcPr>
            <w:tcW w:w="141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Mark P. Smith</w:t>
            </w:r>
          </w:p>
        </w:tc>
        <w:tc>
          <w:tcPr>
            <w:tcW w:w="721" w:type="dxa"/>
            <w:tcBorders/>
            <w:shd w:fill="D9D9D9"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4"/>
              </w:rPr>
            </w:pPr>
            <w:r>
              <w:rPr>
                <w:rFonts w:ascii="Arial" w:hAnsi="Arial"/>
                <w:color w:val="000000"/>
                <w:sz w:val="14"/>
              </w:rPr>
              <w:t>5/2/2022</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10,458</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162,517</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11"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shd w:fill="D9D9D9"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4"/>
              </w:rPr>
            </w:pPr>
            <w:r>
              <w:rPr>
                <w:rFonts w:ascii="Arial" w:hAnsi="Arial"/>
                <w:color w:val="000000"/>
                <w:sz w:val="14"/>
              </w:rPr>
              <w:t>5/1/2023</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34,336</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533,581</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206,016</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3,201,489</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11"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shd w:fill="D9D9D9"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4"/>
              </w:rPr>
            </w:pPr>
            <w:r>
              <w:rPr>
                <w:rFonts w:ascii="Arial" w:hAnsi="Arial"/>
                <w:color w:val="000000"/>
                <w:sz w:val="14"/>
              </w:rPr>
              <w:t>5/1/2024</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61,866</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961,398</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181,474</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2,820,100</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1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D9D9D9"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4"/>
              </w:rPr>
            </w:pPr>
            <w:r>
              <w:rPr>
                <w:rFonts w:ascii="Arial" w:hAnsi="Arial"/>
                <w:color w:val="000000"/>
                <w:sz w:val="14"/>
              </w:rPr>
              <w:t>5/1/2025</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147,898</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2,298,335</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325,373</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5,056,303</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Deana L. McPherson</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4"/>
              </w:rPr>
            </w:pPr>
            <w:r>
              <w:rPr>
                <w:rFonts w:ascii="Arial" w:hAnsi="Arial"/>
                <w:color w:val="000000"/>
                <w:sz w:val="14"/>
              </w:rPr>
              <w:t>5/2/2022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3,223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50,085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4"/>
              </w:rPr>
            </w:pPr>
            <w:r>
              <w:rPr>
                <w:rFonts w:ascii="Arial" w:hAnsi="Arial"/>
                <w:color w:val="000000"/>
                <w:sz w:val="14"/>
              </w:rPr>
              <w:t>5/1/2023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10,628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165,159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63,766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990,924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4"/>
              </w:rPr>
            </w:pPr>
            <w:r>
              <w:rPr>
                <w:rFonts w:ascii="Arial" w:hAnsi="Arial"/>
                <w:color w:val="000000"/>
                <w:sz w:val="14"/>
              </w:rPr>
              <w:t>5/1/2024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18,780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291,841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55,088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856,068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4"/>
              </w:rPr>
            </w:pPr>
            <w:r>
              <w:rPr>
                <w:rFonts w:ascii="Arial" w:hAnsi="Arial"/>
                <w:color w:val="000000"/>
                <w:sz w:val="14"/>
              </w:rPr>
              <w:t>5/1/2025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44,898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697,715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98,773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1,534,939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1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Kevin A. Maxwell</w:t>
            </w:r>
          </w:p>
        </w:tc>
        <w:tc>
          <w:tcPr>
            <w:tcW w:w="721" w:type="dxa"/>
            <w:tcBorders/>
            <w:shd w:fill="D9D9D9"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4"/>
              </w:rPr>
            </w:pPr>
            <w:r>
              <w:rPr>
                <w:rFonts w:ascii="Arial" w:hAnsi="Arial"/>
                <w:color w:val="000000"/>
                <w:sz w:val="14"/>
              </w:rPr>
              <w:t>5/2/2022</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2,220</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34,499</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1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D9D9D9"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4"/>
              </w:rPr>
            </w:pPr>
            <w:r>
              <w:rPr>
                <w:rFonts w:ascii="Arial" w:hAnsi="Arial"/>
                <w:color w:val="000000"/>
                <w:sz w:val="14"/>
              </w:rPr>
              <w:t>5/1/2023</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6,948</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107,972</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41,692</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647,894</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1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D9D9D9"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4"/>
              </w:rPr>
            </w:pPr>
            <w:r>
              <w:rPr>
                <w:rFonts w:ascii="Arial" w:hAnsi="Arial"/>
                <w:color w:val="000000"/>
                <w:sz w:val="14"/>
              </w:rPr>
              <w:t>5/1/2024</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13,257</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206,014</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38,885</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604,273</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1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D9D9D9"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4"/>
              </w:rPr>
            </w:pPr>
            <w:r>
              <w:rPr>
                <w:rFonts w:ascii="Arial" w:hAnsi="Arial"/>
                <w:color w:val="000000"/>
                <w:sz w:val="14"/>
              </w:rPr>
              <w:t>5/1/2025</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44,898</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697,715</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98,773</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1,534,939</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Kyle O. Tengwall</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4"/>
              </w:rPr>
            </w:pPr>
            <w:r>
              <w:rPr>
                <w:rFonts w:ascii="Arial" w:hAnsi="Arial"/>
                <w:color w:val="000000"/>
                <w:sz w:val="14"/>
              </w:rPr>
              <w:t>6/15/2022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5,333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82,875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4"/>
              </w:rPr>
            </w:pPr>
            <w:r>
              <w:rPr>
                <w:rFonts w:ascii="Arial" w:hAnsi="Arial"/>
                <w:color w:val="000000"/>
                <w:sz w:val="14"/>
              </w:rPr>
              <w:t>6/15/2023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12,788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198,726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4"/>
              </w:rPr>
            </w:pPr>
            <w:r>
              <w:rPr>
                <w:rFonts w:ascii="Arial" w:hAnsi="Arial"/>
                <w:color w:val="000000"/>
                <w:sz w:val="14"/>
              </w:rPr>
              <w:t>6/15/2024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23,437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364,211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4"/>
              </w:rPr>
            </w:pPr>
            <w:r>
              <w:rPr>
                <w:rFonts w:ascii="Arial" w:hAnsi="Arial"/>
                <w:color w:val="000000"/>
                <w:sz w:val="14"/>
              </w:rPr>
              <w:t>6/15/2025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35,680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554,467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11" w:type="dxa"/>
            <w:tcBorders>
              <w:bottom w:val="single" w:sz="18"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18" w:space="0" w:color="0071A2"/>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18" w:space="0" w:color="0071A2"/>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71A2"/>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18"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975" w:type="dxa"/>
            <w:gridSpan w:val="2"/>
            <w:tcBorders>
              <w:bottom w:val="single" w:sz="18"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18"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8" w:space="0" w:color="0071A2"/>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60" w:after="283"/>
        <w:jc w:val="both"/>
        <w:rPr>
          <w:rFonts w:ascii="Times New Roman" w:hAnsi="Times New Roman"/>
          <w:sz w:val="20"/>
        </w:rPr>
      </w:pPr>
      <w:r>
        <w:rPr>
          <w:rFonts w:ascii="Arial" w:hAnsi="Arial"/>
          <w:color w:val="000000"/>
          <w:sz w:val="16"/>
        </w:rPr>
        <w:t>(1) Generally, awards of RSUs prior to those made in fiscal 2026 vest one-fourth on May 1 following each of the first, second, third, and fourth anniversaries of the date of grant or on each of the first, second, third, and fourth anniversaries of the date of the grant. For fiscal 2026, RSUs vest one-third on May 1 following each of the first, second, and third anniversaries of the date of grant or on each of the first, second, and third anniversaries of the date of the grant. PSU awards vest, if at all, based on achievement of the performance conditions set forth in the applicable award agreements. For further information regarding the fiscal 2026 PSU awards, see “Compensation Matters — Compensation Discussion and Analysis — Compensation Elements — Stock-Based Compensation. See “Compensation Matters — Compensation Discussion and Analysis — Compensation Elements — Stock-Based Compensation.”</w:t>
      </w:r>
      <w:r>
        <w:rPr>
          <w:rFonts w:ascii="Times New Roman" w:hAnsi="Times New Roman"/>
          <w:color w:val="000000"/>
          <w:sz w:val="20"/>
        </w:rPr>
        <w:t xml:space="preserve"> </w:t>
      </w:r>
    </w:p>
    <w:p>
      <w:pPr>
        <w:pStyle w:val="TextBody"/>
        <w:bidi w:val="0"/>
        <w:spacing w:before="60" w:after="283"/>
        <w:jc w:val="both"/>
        <w:rPr>
          <w:rFonts w:ascii="Times New Roman" w:hAnsi="Times New Roman"/>
          <w:sz w:val="20"/>
        </w:rPr>
      </w:pPr>
      <w:r>
        <w:rPr>
          <w:rFonts w:ascii="Arial" w:hAnsi="Arial"/>
          <w:color w:val="000000"/>
          <w:sz w:val="16"/>
        </w:rPr>
        <w:t>(2) The market value of shares or units of stock that have not vested and unearned equity incentive plan awards is determined by multiplying the closing market price of our common stock at the end of our last completed fiscal year by the number of shares or units of stock or the amount of unearned equity incentive plan awards, as applicable.</w:t>
      </w:r>
      <w:r>
        <w:rPr>
          <w:rFonts w:ascii="Times New Roman" w:hAnsi="Times New Roman"/>
          <w:color w:val="000000"/>
          <w:sz w:val="20"/>
        </w:rPr>
        <w:t xml:space="preserve"> </w:t>
      </w:r>
    </w:p>
    <w:p>
      <w:pPr>
        <w:pStyle w:val="TextBody"/>
        <w:bidi w:val="0"/>
        <w:spacing w:before="60" w:after="283"/>
        <w:jc w:val="both"/>
        <w:rPr>
          <w:rFonts w:ascii="Arial" w:hAnsi="Arial"/>
          <w:color w:val="000000"/>
          <w:sz w:val="16"/>
        </w:rPr>
      </w:pPr>
      <w:r>
        <w:rPr>
          <w:rFonts w:ascii="Arial" w:hAnsi="Arial"/>
          <w:color w:val="000000"/>
          <w:sz w:val="16"/>
        </w:rPr>
        <w:t>(3) Notwithstanding the maximum amounts shown in this column, the maximum number of shares that can be delivered with respect to such PSU grants is limited to a dollar value, determined as of the vesting date, of 600% of the grant date value. Reference is also made to footnote 1 above. See also “Compensation Matters — Compensation Discussion and Analysis — Compensation Elements — Stock-Based Compensation.”</w:t>
      </w:r>
    </w:p>
    <w:p>
      <w:pPr>
        <w:pStyle w:val="TextBody"/>
        <w:bidi w:val="0"/>
        <w:jc w:val="left"/>
        <w:rPr/>
      </w:pPr>
      <w:r>
        <w:rPr/>
        <w:t> </w:t>
      </w:r>
    </w:p>
    <w:tbl>
      <w:tblPr>
        <w:tblW w:w="3702" w:type="dxa"/>
        <w:jc w:val="left"/>
        <w:tblInd w:w="0" w:type="dxa"/>
        <w:tblLayout w:type="fixed"/>
        <w:tblCellMar>
          <w:top w:w="28" w:type="dxa"/>
          <w:left w:w="28" w:type="dxa"/>
          <w:bottom w:w="28" w:type="dxa"/>
          <w:right w:w="28" w:type="dxa"/>
        </w:tblCellMar>
      </w:tblPr>
      <w:tblGrid>
        <w:gridCol w:w="2266"/>
        <w:gridCol w:w="1436"/>
      </w:tblGrid>
      <w:tr>
        <w:trPr/>
        <w:tc>
          <w:tcPr>
            <w:tcW w:w="2266"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2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91F2C"/>
                <w:sz w:val="18"/>
              </w:rPr>
              <w:t>33</w:t>
            </w:r>
            <w:r>
              <w:rPr>
                <w:rFonts w:ascii="Times New Roman" w:hAnsi="Times New Roman"/>
                <w:color w:val="091F2C"/>
                <w:sz w:val="18"/>
              </w:rPr>
              <w:t> </w:t>
            </w:r>
            <w:r>
              <w:rPr>
                <w:rFonts w:ascii="Arial" w:hAnsi="Arial"/>
                <w:color w:val="091F2C"/>
                <w:sz w:val="18"/>
              </w:rPr>
              <w:t>I 2026 Proxy Statement</w:t>
            </w:r>
          </w:p>
        </w:tc>
        <w:tc>
          <w:tcPr>
            <w:tcW w:w="143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828675" cy="190500"/>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828675" cy="190500"/>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2277" w:type="dxa"/>
        <w:jc w:val="left"/>
        <w:tblInd w:w="0" w:type="dxa"/>
        <w:tblLayout w:type="fixed"/>
        <w:tblCellMar>
          <w:top w:w="28" w:type="dxa"/>
          <w:left w:w="28" w:type="dxa"/>
          <w:bottom w:w="28" w:type="dxa"/>
          <w:right w:w="28" w:type="dxa"/>
        </w:tblCellMar>
      </w:tblPr>
      <w:tblGrid>
        <w:gridCol w:w="2086"/>
        <w:gridCol w:w="191"/>
      </w:tblGrid>
      <w:tr>
        <w:trPr/>
        <w:tc>
          <w:tcPr>
            <w:tcW w:w="20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86" w:type="dxa"/>
            <w:tcBorders/>
            <w:tcMar>
              <w:top w:w="0" w:type="dxa"/>
              <w:left w:w="0" w:type="dxa"/>
              <w:bottom w:w="0" w:type="dxa"/>
              <w:right w:w="0" w:type="dxa"/>
            </w:tcMar>
            <w:vAlign w:val="center"/>
          </w:tcPr>
          <w:p>
            <w:pPr>
              <w:pStyle w:val="TableContents"/>
              <w:bidi w:val="0"/>
              <w:spacing w:before="0" w:after="283"/>
              <w:jc w:val="left"/>
              <w:rPr>
                <w:rFonts w:ascii="Arial" w:hAnsi="Arial"/>
                <w:color w:val="002668"/>
                <w:sz w:val="20"/>
              </w:rPr>
            </w:pPr>
            <w:r>
              <w:rPr>
                <w:rFonts w:ascii="Arial" w:hAnsi="Arial"/>
                <w:color w:val="002668"/>
                <w:sz w:val="20"/>
              </w:rPr>
              <w:t>Compensation Matters</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bottom w:val="single" w:sz="8" w:space="0" w:color="002668"/>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1F497D"/>
          <w:sz w:val="24"/>
          <w:u w:val="single"/>
        </w:rPr>
        <w:t>Option Exercises and Stock Vested in Fiscal 2026</w:t>
      </w:r>
      <w:r>
        <w:rPr>
          <w:rFonts w:ascii="Times New Roman" w:hAnsi="Times New Roman"/>
          <w:color w:val="1F497D"/>
          <w:sz w:val="20"/>
        </w:rPr>
        <w:t xml:space="preserve"> </w:t>
      </w:r>
    </w:p>
    <w:p>
      <w:pPr>
        <w:pStyle w:val="TextBody"/>
        <w:bidi w:val="0"/>
        <w:jc w:val="both"/>
        <w:rPr>
          <w:rFonts w:ascii="Arial" w:hAnsi="Arial"/>
          <w:color w:val="000000"/>
          <w:sz w:val="20"/>
        </w:rPr>
      </w:pPr>
      <w:r>
        <w:rPr>
          <w:rFonts w:ascii="Arial" w:hAnsi="Arial"/>
          <w:color w:val="000000"/>
          <w:sz w:val="20"/>
        </w:rPr>
        <w:t>The following table describes, for the NEOs, the number of shares acquired and the value realized on the exercise of options and vesting of stock awards during fiscal 2026.</w:t>
      </w:r>
    </w:p>
    <w:p>
      <w:pPr>
        <w:pStyle w:val="TextBody"/>
        <w:bidi w:val="0"/>
        <w:jc w:val="both"/>
        <w:rPr/>
      </w:pPr>
      <w:r>
        <w:rPr/>
        <w:t> </w:t>
      </w:r>
    </w:p>
    <w:tbl>
      <w:tblPr>
        <w:tblW w:w="4464" w:type="dxa"/>
        <w:jc w:val="left"/>
        <w:tblInd w:w="0" w:type="dxa"/>
        <w:tblLayout w:type="fixed"/>
        <w:tblCellMar>
          <w:top w:w="28" w:type="dxa"/>
          <w:left w:w="28" w:type="dxa"/>
          <w:bottom w:w="28" w:type="dxa"/>
          <w:right w:w="28" w:type="dxa"/>
        </w:tblCellMar>
      </w:tblPr>
      <w:tblGrid>
        <w:gridCol w:w="1766"/>
        <w:gridCol w:w="211"/>
        <w:gridCol w:w="869"/>
        <w:gridCol w:w="146"/>
        <w:gridCol w:w="146"/>
        <w:gridCol w:w="228"/>
        <w:gridCol w:w="807"/>
        <w:gridCol w:w="291"/>
      </w:tblGrid>
      <w:tr>
        <w:trPr/>
        <w:tc>
          <w:tcPr>
            <w:tcW w:w="17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766" w:type="dxa"/>
            <w:tcBorders/>
            <w:shd w:fill="002668" w:val="clear"/>
            <w:tcMar>
              <w:top w:w="0" w:type="dxa"/>
              <w:left w:w="0" w:type="dxa"/>
              <w:bottom w:w="0" w:type="dxa"/>
              <w:right w:w="0" w:type="dxa"/>
            </w:tcMar>
            <w:vAlign w:val="center"/>
          </w:tcPr>
          <w:p>
            <w:pPr>
              <w:pStyle w:val="TableContents"/>
              <w:bidi w:val="0"/>
              <w:spacing w:before="0" w:after="283"/>
              <w:jc w:val="center"/>
              <w:rPr/>
            </w:pPr>
            <w:r>
              <w:rPr/>
              <w:t> </w:t>
            </w:r>
          </w:p>
        </w:tc>
        <w:tc>
          <w:tcPr>
            <w:tcW w:w="2407" w:type="dxa"/>
            <w:gridSpan w:val="6"/>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rFonts w:ascii="Arial" w:hAnsi="Arial"/>
                <w:b/>
                <w:color w:val="FFFFFF"/>
                <w:sz w:val="16"/>
              </w:rPr>
            </w:pPr>
            <w:r>
              <w:rPr>
                <w:rFonts w:ascii="Arial" w:hAnsi="Arial"/>
                <w:b/>
                <w:color w:val="FFFFFF"/>
                <w:sz w:val="16"/>
              </w:rPr>
              <w:t>Stock Awards</w:t>
            </w:r>
          </w:p>
        </w:tc>
        <w:tc>
          <w:tcPr>
            <w:tcW w:w="291"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pPr>
            <w:r>
              <w:rPr/>
              <w:t> </w:t>
            </w:r>
          </w:p>
        </w:tc>
      </w:tr>
      <w:tr>
        <w:trPr/>
        <w:tc>
          <w:tcPr>
            <w:tcW w:w="1766" w:type="dxa"/>
            <w:tcBorders/>
            <w:shd w:fill="002668" w:val="clear"/>
            <w:tcMar>
              <w:top w:w="0" w:type="dxa"/>
              <w:left w:w="0" w:type="dxa"/>
              <w:bottom w:w="0" w:type="dxa"/>
              <w:right w:w="0" w:type="dxa"/>
            </w:tcMar>
            <w:vAlign w:val="center"/>
          </w:tcPr>
          <w:p>
            <w:pPr>
              <w:pStyle w:val="TableContents"/>
              <w:bidi w:val="0"/>
              <w:spacing w:before="0" w:after="283"/>
              <w:jc w:val="center"/>
              <w:rPr/>
            </w:pPr>
            <w:r>
              <w:rPr/>
              <w:t> </w:t>
            </w:r>
          </w:p>
        </w:tc>
        <w:tc>
          <w:tcPr>
            <w:tcW w:w="1080" w:type="dxa"/>
            <w:gridSpan w:val="2"/>
            <w:tcBorders/>
            <w:shd w:fill="002668" w:val="clear"/>
            <w:tcMar>
              <w:top w:w="0" w:type="dxa"/>
              <w:left w:w="0" w:type="dxa"/>
              <w:bottom w:w="0" w:type="dxa"/>
              <w:right w:w="0" w:type="dxa"/>
            </w:tcMar>
            <w:vAlign w:val="center"/>
          </w:tcPr>
          <w:p>
            <w:pPr>
              <w:pStyle w:val="TableContents"/>
              <w:bidi w:val="0"/>
              <w:spacing w:before="0" w:after="283"/>
              <w:jc w:val="center"/>
              <w:rPr>
                <w:rFonts w:ascii="Arial" w:hAnsi="Arial"/>
                <w:b/>
                <w:color w:val="FFFFFF"/>
                <w:sz w:val="16"/>
              </w:rPr>
            </w:pPr>
            <w:r>
              <w:rPr>
                <w:rFonts w:ascii="Arial" w:hAnsi="Arial"/>
                <w:b/>
                <w:color w:val="FFFFFF"/>
                <w:sz w:val="16"/>
              </w:rPr>
              <w:t>Number</w:t>
              <w:br/>
              <w:t>of Shares</w:t>
            </w:r>
          </w:p>
        </w:tc>
        <w:tc>
          <w:tcPr>
            <w:tcW w:w="146" w:type="dxa"/>
            <w:tcBorders/>
            <w:shd w:fill="002668"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2668" w:val="clear"/>
            <w:tcMar>
              <w:top w:w="0" w:type="dxa"/>
              <w:left w:w="0" w:type="dxa"/>
              <w:bottom w:w="0" w:type="dxa"/>
              <w:right w:w="0" w:type="dxa"/>
            </w:tcMar>
            <w:vAlign w:val="center"/>
          </w:tcPr>
          <w:p>
            <w:pPr>
              <w:pStyle w:val="TableContents"/>
              <w:bidi w:val="0"/>
              <w:spacing w:before="0" w:after="283"/>
              <w:jc w:val="center"/>
              <w:rPr/>
            </w:pPr>
            <w:r>
              <w:rPr/>
              <w:t> </w:t>
            </w:r>
          </w:p>
        </w:tc>
        <w:tc>
          <w:tcPr>
            <w:tcW w:w="1035" w:type="dxa"/>
            <w:gridSpan w:val="2"/>
            <w:tcBorders/>
            <w:shd w:fill="002668" w:val="clear"/>
            <w:tcMar>
              <w:top w:w="0" w:type="dxa"/>
              <w:left w:w="0" w:type="dxa"/>
              <w:bottom w:w="0" w:type="dxa"/>
              <w:right w:w="0" w:type="dxa"/>
            </w:tcMar>
            <w:vAlign w:val="center"/>
          </w:tcPr>
          <w:p>
            <w:pPr>
              <w:pStyle w:val="TableContents"/>
              <w:bidi w:val="0"/>
              <w:spacing w:before="0" w:after="283"/>
              <w:jc w:val="center"/>
              <w:rPr>
                <w:rFonts w:ascii="Arial" w:hAnsi="Arial"/>
                <w:b/>
                <w:color w:val="FFFFFF"/>
                <w:sz w:val="16"/>
              </w:rPr>
            </w:pPr>
            <w:r>
              <w:rPr>
                <w:rFonts w:ascii="Arial" w:hAnsi="Arial"/>
                <w:b/>
                <w:color w:val="FFFFFF"/>
                <w:sz w:val="16"/>
              </w:rPr>
              <w:t>Value</w:t>
            </w:r>
          </w:p>
        </w:tc>
        <w:tc>
          <w:tcPr>
            <w:tcW w:w="291" w:type="dxa"/>
            <w:tcBorders/>
            <w:shd w:fill="002668"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1766" w:type="dxa"/>
            <w:tcBorders>
              <w:bottom w:val="single" w:sz="18" w:space="0" w:color="0071A2"/>
            </w:tcBorders>
            <w:shd w:fill="002668" w:val="clear"/>
            <w:tcMar>
              <w:top w:w="0" w:type="dxa"/>
              <w:left w:w="0" w:type="dxa"/>
              <w:right w:w="0" w:type="dxa"/>
            </w:tcMar>
            <w:vAlign w:val="center"/>
          </w:tcPr>
          <w:p>
            <w:pPr>
              <w:pStyle w:val="TableContents"/>
              <w:bidi w:val="0"/>
              <w:spacing w:before="0" w:after="283"/>
              <w:ind w:left="0" w:right="0" w:firstLine="100"/>
              <w:jc w:val="left"/>
              <w:rPr>
                <w:rFonts w:ascii="Arial" w:hAnsi="Arial"/>
                <w:b/>
                <w:color w:val="FFFFFF"/>
                <w:sz w:val="16"/>
              </w:rPr>
            </w:pPr>
            <w:r>
              <w:rPr>
                <w:rFonts w:ascii="Arial" w:hAnsi="Arial"/>
                <w:b/>
                <w:color w:val="FFFFFF"/>
                <w:sz w:val="16"/>
              </w:rPr>
              <w:t>Name</w:t>
            </w:r>
          </w:p>
        </w:tc>
        <w:tc>
          <w:tcPr>
            <w:tcW w:w="1080" w:type="dxa"/>
            <w:gridSpan w:val="2"/>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rFonts w:ascii="Arial" w:hAnsi="Arial"/>
                <w:b/>
                <w:color w:val="FFFFFF"/>
                <w:sz w:val="16"/>
              </w:rPr>
            </w:pPr>
            <w:r>
              <w:rPr>
                <w:rFonts w:ascii="Arial" w:hAnsi="Arial"/>
                <w:b/>
                <w:color w:val="FFFFFF"/>
                <w:sz w:val="16"/>
              </w:rPr>
              <w:t>Acquired on</w:t>
              <w:br/>
              <w:t>Vesting (1)</w:t>
            </w:r>
          </w:p>
        </w:tc>
        <w:tc>
          <w:tcPr>
            <w:tcW w:w="14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pPr>
            <w:r>
              <w:rPr/>
              <w:t> </w:t>
            </w:r>
          </w:p>
        </w:tc>
        <w:tc>
          <w:tcPr>
            <w:tcW w:w="1035" w:type="dxa"/>
            <w:gridSpan w:val="2"/>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rFonts w:ascii="Arial" w:hAnsi="Arial"/>
                <w:b/>
                <w:color w:val="FFFFFF"/>
                <w:sz w:val="16"/>
              </w:rPr>
            </w:pPr>
            <w:r>
              <w:rPr>
                <w:rFonts w:ascii="Arial" w:hAnsi="Arial"/>
                <w:b/>
                <w:color w:val="FFFFFF"/>
                <w:sz w:val="16"/>
              </w:rPr>
              <w:t>Realized on</w:t>
              <w:br/>
              <w:t>Vesting (2)</w:t>
            </w:r>
          </w:p>
        </w:tc>
        <w:tc>
          <w:tcPr>
            <w:tcW w:w="291" w:type="dxa"/>
            <w:tcBorders>
              <w:bottom w:val="single" w:sz="18" w:space="0" w:color="0071A2"/>
            </w:tcBorders>
            <w:shd w:fill="002668"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1766"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Mark P. Smith</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55,212</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0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510,763</w:t>
            </w:r>
          </w:p>
        </w:tc>
        <w:tc>
          <w:tcPr>
            <w:tcW w:w="291"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Deana L. McPherson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16,940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156,713</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66"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Kevin A. Maxwell</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14,175</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0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128,639</w:t>
            </w:r>
          </w:p>
        </w:tc>
        <w:tc>
          <w:tcPr>
            <w:tcW w:w="291"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Susan J. Cupero</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43,862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404,660</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66"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Kyle O. Tengwall</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22,588</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0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241,466</w:t>
            </w:r>
          </w:p>
        </w:tc>
        <w:tc>
          <w:tcPr>
            <w:tcW w:w="29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6" w:type="dxa"/>
            <w:tcBorders>
              <w:bottom w:val="single" w:sz="18"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1080" w:type="dxa"/>
            <w:gridSpan w:val="2"/>
            <w:tcBorders>
              <w:bottom w:val="single" w:sz="18"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1035" w:type="dxa"/>
            <w:gridSpan w:val="2"/>
            <w:tcBorders>
              <w:bottom w:val="single" w:sz="18"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18" w:space="0" w:color="0071A2"/>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60" w:after="283"/>
        <w:jc w:val="both"/>
        <w:rPr>
          <w:rFonts w:ascii="Times New Roman" w:hAnsi="Times New Roman"/>
          <w:sz w:val="20"/>
        </w:rPr>
      </w:pPr>
      <w:r>
        <w:rPr>
          <w:rFonts w:ascii="Arial" w:hAnsi="Arial"/>
          <w:color w:val="000000"/>
          <w:sz w:val="16"/>
        </w:rPr>
        <w:t>(1) Includes shares that have vested but are not yet deliverable.</w:t>
      </w:r>
      <w:r>
        <w:rPr>
          <w:rFonts w:ascii="Times New Roman" w:hAnsi="Times New Roman"/>
          <w:color w:val="000000"/>
          <w:sz w:val="20"/>
        </w:rPr>
        <w:t xml:space="preserve"> </w:t>
      </w:r>
    </w:p>
    <w:p>
      <w:pPr>
        <w:pStyle w:val="TextBody"/>
        <w:bidi w:val="0"/>
        <w:spacing w:before="60" w:after="283"/>
        <w:jc w:val="both"/>
        <w:rPr>
          <w:rFonts w:ascii="Arial" w:hAnsi="Arial"/>
          <w:color w:val="000000"/>
          <w:sz w:val="16"/>
        </w:rPr>
      </w:pPr>
      <w:r>
        <w:rPr>
          <w:rFonts w:ascii="Arial" w:hAnsi="Arial"/>
          <w:color w:val="000000"/>
          <w:sz w:val="16"/>
        </w:rPr>
        <w:t>(2) For stock awards, the value realized is computed as the market price on the later of the date the restrictions lapse or the delivery date multiplied by the number of shares vested. See “Compensation Matters — Compensation Discussion and Analysis —Compensation Elements — Stock-Based Compensation — 2023 PSU Payout."</w:t>
      </w:r>
    </w:p>
    <w:p>
      <w:pPr>
        <w:pStyle w:val="TextBody"/>
        <w:bidi w:val="0"/>
        <w:spacing w:before="240" w:after="283"/>
        <w:jc w:val="both"/>
        <w:rPr>
          <w:rFonts w:ascii="Arial" w:hAnsi="Arial"/>
          <w:b/>
          <w:color w:val="002668"/>
          <w:sz w:val="28"/>
        </w:rPr>
      </w:pPr>
      <w:r>
        <w:rPr>
          <w:rFonts w:ascii="Arial" w:hAnsi="Arial"/>
          <w:b/>
          <w:color w:val="002668"/>
          <w:sz w:val="28"/>
        </w:rPr>
        <w:t>EQUITY COMPENSATION PLAN INFORMATION</w:t>
      </w:r>
    </w:p>
    <w:p>
      <w:pPr>
        <w:pStyle w:val="TextBody"/>
        <w:bidi w:val="0"/>
        <w:jc w:val="both"/>
        <w:rPr>
          <w:rFonts w:ascii="Arial" w:hAnsi="Arial"/>
          <w:color w:val="000000"/>
          <w:sz w:val="20"/>
        </w:rPr>
      </w:pPr>
      <w:r>
        <w:rPr>
          <w:rFonts w:ascii="Arial" w:hAnsi="Arial"/>
          <w:color w:val="000000"/>
          <w:sz w:val="20"/>
        </w:rPr>
        <w:t>The following table sets forth information with respect to our common stock that may be issued upon the exercise of stock options or delivery of shares related to RSUs under our equity compensation plans as of April 30, 2026.</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612"/>
        <w:gridCol w:w="146"/>
        <w:gridCol w:w="268"/>
        <w:gridCol w:w="1523"/>
        <w:gridCol w:w="146"/>
        <w:gridCol w:w="146"/>
        <w:gridCol w:w="329"/>
        <w:gridCol w:w="782"/>
        <w:gridCol w:w="146"/>
        <w:gridCol w:w="146"/>
        <w:gridCol w:w="433"/>
        <w:gridCol w:w="767"/>
        <w:gridCol w:w="146"/>
        <w:gridCol w:w="146"/>
        <w:gridCol w:w="191"/>
        <w:gridCol w:w="1085"/>
        <w:gridCol w:w="193"/>
      </w:tblGrid>
      <w:tr>
        <w:trPr/>
        <w:tc>
          <w:tcPr>
            <w:tcW w:w="36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3612"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left"/>
              <w:rPr>
                <w:rFonts w:ascii="Arial" w:hAnsi="Arial"/>
                <w:b/>
                <w:color w:val="FFFFFF"/>
                <w:sz w:val="16"/>
              </w:rPr>
            </w:pPr>
            <w:r>
              <w:rPr>
                <w:rFonts w:ascii="Arial" w:hAnsi="Arial"/>
                <w:b/>
                <w:color w:val="FFFFFF"/>
                <w:sz w:val="16"/>
              </w:rPr>
              <w:t>Plan Category</w:t>
            </w:r>
          </w:p>
        </w:tc>
        <w:tc>
          <w:tcPr>
            <w:tcW w:w="14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left"/>
              <w:rPr/>
            </w:pPr>
            <w:r>
              <w:rPr/>
              <w:t> </w:t>
            </w:r>
          </w:p>
        </w:tc>
        <w:tc>
          <w:tcPr>
            <w:tcW w:w="1791" w:type="dxa"/>
            <w:gridSpan w:val="2"/>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rFonts w:ascii="Arial" w:hAnsi="Arial"/>
                <w:b/>
                <w:color w:val="FFFFFF"/>
                <w:sz w:val="16"/>
              </w:rPr>
            </w:pPr>
            <w:r>
              <w:rPr>
                <w:rFonts w:ascii="Arial" w:hAnsi="Arial"/>
                <w:b/>
                <w:color w:val="FFFFFF"/>
                <w:sz w:val="16"/>
              </w:rPr>
              <w:t>(a) Number</w:t>
              <w:br/>
              <w:t>of Securities</w:t>
              <w:br/>
              <w:t>to be Issued</w:t>
              <w:br/>
              <w:t>Upon</w:t>
              <w:br/>
              <w:t>Delivery of</w:t>
              <w:br/>
              <w:t>Shares for Stock Awards</w:t>
            </w:r>
          </w:p>
        </w:tc>
        <w:tc>
          <w:tcPr>
            <w:tcW w:w="14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left"/>
              <w:rPr/>
            </w:pPr>
            <w:r>
              <w:rPr/>
              <w:t> </w:t>
            </w:r>
          </w:p>
        </w:tc>
        <w:tc>
          <w:tcPr>
            <w:tcW w:w="1111" w:type="dxa"/>
            <w:gridSpan w:val="2"/>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rFonts w:ascii="Arial" w:hAnsi="Arial"/>
                <w:b/>
                <w:color w:val="FFFFFF"/>
                <w:sz w:val="16"/>
              </w:rPr>
            </w:pPr>
            <w:r>
              <w:rPr>
                <w:rFonts w:ascii="Arial" w:hAnsi="Arial"/>
                <w:b/>
                <w:color w:val="FFFFFF"/>
                <w:sz w:val="16"/>
              </w:rPr>
              <w:t>(b) Number</w:t>
              <w:br/>
              <w:t>of Securities</w:t>
              <w:br/>
              <w:t>to be Issued</w:t>
              <w:br/>
              <w:t>Upon</w:t>
              <w:br/>
              <w:t>Exercise of</w:t>
              <w:br/>
              <w:t>Outstanding</w:t>
              <w:br/>
              <w:t>Options</w:t>
            </w:r>
          </w:p>
        </w:tc>
        <w:tc>
          <w:tcPr>
            <w:tcW w:w="14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left"/>
              <w:rPr/>
            </w:pPr>
            <w:r>
              <w:rPr/>
              <w:t> </w:t>
            </w:r>
          </w:p>
        </w:tc>
        <w:tc>
          <w:tcPr>
            <w:tcW w:w="1200" w:type="dxa"/>
            <w:gridSpan w:val="2"/>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rFonts w:ascii="Arial" w:hAnsi="Arial"/>
                <w:b/>
                <w:color w:val="FFFFFF"/>
                <w:sz w:val="16"/>
              </w:rPr>
            </w:pPr>
            <w:r>
              <w:rPr>
                <w:rFonts w:ascii="Arial" w:hAnsi="Arial"/>
                <w:b/>
                <w:color w:val="FFFFFF"/>
                <w:sz w:val="16"/>
              </w:rPr>
              <w:t>(c) Weighted</w:t>
              <w:br/>
              <w:t>Average</w:t>
              <w:br/>
              <w:t>Exercise</w:t>
              <w:br/>
              <w:t>Price of</w:t>
              <w:br/>
              <w:t>Outstanding</w:t>
              <w:br/>
              <w:t>Options,</w:t>
              <w:br/>
              <w:t>Warrants,</w:t>
              <w:br/>
              <w:t>and Rights (1)</w:t>
            </w:r>
          </w:p>
        </w:tc>
        <w:tc>
          <w:tcPr>
            <w:tcW w:w="14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left"/>
              <w:rPr/>
            </w:pPr>
            <w:r>
              <w:rPr/>
              <w:t> </w:t>
            </w:r>
          </w:p>
        </w:tc>
        <w:tc>
          <w:tcPr>
            <w:tcW w:w="1276" w:type="dxa"/>
            <w:gridSpan w:val="2"/>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rFonts w:ascii="Arial" w:hAnsi="Arial"/>
                <w:b/>
                <w:color w:val="FFFFFF"/>
                <w:sz w:val="16"/>
              </w:rPr>
            </w:pPr>
            <w:r>
              <w:rPr>
                <w:rFonts w:ascii="Arial" w:hAnsi="Arial"/>
                <w:b/>
                <w:color w:val="FFFFFF"/>
                <w:sz w:val="16"/>
              </w:rPr>
              <w:t>(d) Number</w:t>
              <w:br/>
              <w:t>of Securities</w:t>
              <w:br/>
              <w:t>Remaining</w:t>
              <w:br/>
              <w:t>Available</w:t>
              <w:br/>
              <w:t>for Future</w:t>
              <w:br/>
              <w:t>Issuance</w:t>
              <w:br/>
              <w:t>Under</w:t>
              <w:br/>
              <w:t>Equity</w:t>
              <w:br/>
              <w:t>Compensation</w:t>
              <w:br/>
              <w:t>Plans</w:t>
              <w:br/>
              <w:t>(Excluding</w:t>
              <w:br/>
              <w:t>Securities</w:t>
              <w:br/>
              <w:t>Reflected in</w:t>
              <w:br/>
              <w:t>Column</w:t>
              <w:br/>
              <w:t>(a))(2)</w:t>
            </w:r>
          </w:p>
        </w:tc>
        <w:tc>
          <w:tcPr>
            <w:tcW w:w="193"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pPr>
            <w:r>
              <w:rPr/>
              <w:t> </w:t>
            </w:r>
          </w:p>
        </w:tc>
      </w:tr>
      <w:tr>
        <w:trPr/>
        <w:tc>
          <w:tcPr>
            <w:tcW w:w="3612"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Equity Compensation Plans Approved by Stockholders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523"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1,481,702</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67"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6,724,218</w:t>
            </w:r>
          </w:p>
        </w:tc>
        <w:tc>
          <w:tcPr>
            <w:tcW w:w="19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Equity Compensation Plans Not Approved by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12"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Total</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523"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1,481,702</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67"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6,724,218</w:t>
            </w:r>
          </w:p>
        </w:tc>
        <w:tc>
          <w:tcPr>
            <w:tcW w:w="19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2" w:type="dxa"/>
            <w:tcBorders>
              <w:bottom w:val="single" w:sz="18"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1791" w:type="dxa"/>
            <w:gridSpan w:val="2"/>
            <w:tcBorders>
              <w:bottom w:val="single" w:sz="18"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1111" w:type="dxa"/>
            <w:gridSpan w:val="2"/>
            <w:tcBorders>
              <w:bottom w:val="single" w:sz="18"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1200" w:type="dxa"/>
            <w:gridSpan w:val="2"/>
            <w:tcBorders>
              <w:bottom w:val="single" w:sz="18"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1276" w:type="dxa"/>
            <w:gridSpan w:val="2"/>
            <w:tcBorders>
              <w:bottom w:val="single" w:sz="18"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18" w:space="0" w:color="0071A2"/>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16"/>
        </w:rPr>
        <w:t>(1) The weighted average exercise price does not take into account the shares issuable upon vesting of outstanding RSUs, which have no exercise price.</w:t>
      </w:r>
      <w:r>
        <w:rPr>
          <w:rFonts w:ascii="Times New Roman" w:hAnsi="Times New Roman"/>
          <w:color w:val="000000"/>
          <w:sz w:val="20"/>
        </w:rPr>
        <w:t xml:space="preserve"> </w:t>
      </w:r>
    </w:p>
    <w:p>
      <w:pPr>
        <w:pStyle w:val="TextBody"/>
        <w:bidi w:val="0"/>
        <w:spacing w:before="60" w:after="283"/>
        <w:jc w:val="both"/>
        <w:rPr>
          <w:rFonts w:ascii="Arial" w:hAnsi="Arial"/>
          <w:color w:val="000000"/>
          <w:sz w:val="16"/>
        </w:rPr>
      </w:pPr>
      <w:r>
        <w:rPr>
          <w:rFonts w:ascii="Arial" w:hAnsi="Arial"/>
          <w:color w:val="000000"/>
          <w:sz w:val="16"/>
        </w:rPr>
        <w:t>(2) Under our 2022 Incentive Stock Plan, an aggregate of 5,312,247 shares of our common stock were authorized for issuance pursuant to awards granted under such plan, of which 1,000,000 were authorized under the 2022 plan and 4,312,247 were carried over from the 2013 plan. The number of available shares will be increased by the number of shares with respect to which awards previously granted under such plan are terminated without being exercised, expire, are forfeited or cancelled, do not vest, or are surrendered in payment of any awards or any tax withholding with respect thereto. As of April 30, 2026, the aggregate number of shares of our common stock available for issuance pursuant to awards under the 2022 Incentive Stock Plan was 4,424,315. Our 2021 Employee Stock Purchase Plan authorizes the sale of up to 3,000,000 shares of our common stock to employees. As of April 30, 2026, there were 2,299,903 shares of common stock reserved for issuance under our 2021 Employee Stock Purchase Plan.</w:t>
      </w:r>
    </w:p>
    <w:p>
      <w:pPr>
        <w:pStyle w:val="TextBody"/>
        <w:bidi w:val="0"/>
        <w:jc w:val="left"/>
        <w:rPr/>
      </w:pPr>
      <w:r>
        <w:rPr/>
        <w:t> </w:t>
      </w:r>
    </w:p>
    <w:tbl>
      <w:tblPr>
        <w:tblW w:w="3702" w:type="dxa"/>
        <w:jc w:val="left"/>
        <w:tblInd w:w="0" w:type="dxa"/>
        <w:tblLayout w:type="fixed"/>
        <w:tblCellMar>
          <w:top w:w="28" w:type="dxa"/>
          <w:left w:w="28" w:type="dxa"/>
          <w:bottom w:w="28" w:type="dxa"/>
          <w:right w:w="28" w:type="dxa"/>
        </w:tblCellMar>
      </w:tblPr>
      <w:tblGrid>
        <w:gridCol w:w="2266"/>
        <w:gridCol w:w="1436"/>
      </w:tblGrid>
      <w:tr>
        <w:trPr/>
        <w:tc>
          <w:tcPr>
            <w:tcW w:w="2266"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2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91F2C"/>
                <w:sz w:val="18"/>
              </w:rPr>
              <w:t>34</w:t>
            </w:r>
            <w:r>
              <w:rPr>
                <w:rFonts w:ascii="Times New Roman" w:hAnsi="Times New Roman"/>
                <w:color w:val="091F2C"/>
                <w:sz w:val="18"/>
              </w:rPr>
              <w:t> </w:t>
            </w:r>
            <w:r>
              <w:rPr>
                <w:rFonts w:ascii="Arial" w:hAnsi="Arial"/>
                <w:color w:val="091F2C"/>
                <w:sz w:val="18"/>
              </w:rPr>
              <w:t>I 2026 Proxy Statement</w:t>
            </w:r>
          </w:p>
        </w:tc>
        <w:tc>
          <w:tcPr>
            <w:tcW w:w="143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828675" cy="190500"/>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828675" cy="190500"/>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2277" w:type="dxa"/>
        <w:jc w:val="left"/>
        <w:tblInd w:w="0" w:type="dxa"/>
        <w:tblLayout w:type="fixed"/>
        <w:tblCellMar>
          <w:top w:w="28" w:type="dxa"/>
          <w:left w:w="28" w:type="dxa"/>
          <w:bottom w:w="28" w:type="dxa"/>
          <w:right w:w="28" w:type="dxa"/>
        </w:tblCellMar>
      </w:tblPr>
      <w:tblGrid>
        <w:gridCol w:w="2086"/>
        <w:gridCol w:w="191"/>
      </w:tblGrid>
      <w:tr>
        <w:trPr/>
        <w:tc>
          <w:tcPr>
            <w:tcW w:w="20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86" w:type="dxa"/>
            <w:tcBorders/>
            <w:tcMar>
              <w:top w:w="0" w:type="dxa"/>
              <w:left w:w="0" w:type="dxa"/>
              <w:bottom w:w="0" w:type="dxa"/>
              <w:right w:w="0" w:type="dxa"/>
            </w:tcMar>
            <w:vAlign w:val="center"/>
          </w:tcPr>
          <w:p>
            <w:pPr>
              <w:pStyle w:val="TableContents"/>
              <w:bidi w:val="0"/>
              <w:spacing w:before="0" w:after="283"/>
              <w:jc w:val="left"/>
              <w:rPr>
                <w:rFonts w:ascii="Arial" w:hAnsi="Arial"/>
                <w:color w:val="002668"/>
                <w:sz w:val="20"/>
              </w:rPr>
            </w:pPr>
            <w:r>
              <w:rPr>
                <w:rFonts w:ascii="Arial" w:hAnsi="Arial"/>
                <w:color w:val="002668"/>
                <w:sz w:val="20"/>
              </w:rPr>
              <w:t>Compensation Matters</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bottom w:val="single" w:sz="8" w:space="0" w:color="002668"/>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both"/>
        <w:rPr>
          <w:rFonts w:ascii="Arial" w:hAnsi="Arial"/>
          <w:b/>
          <w:color w:val="002668"/>
          <w:sz w:val="28"/>
        </w:rPr>
      </w:pPr>
      <w:r>
        <w:rPr>
          <w:rFonts w:ascii="Arial" w:hAnsi="Arial"/>
          <w:b/>
          <w:color w:val="002668"/>
          <w:sz w:val="28"/>
        </w:rPr>
        <w:t>RETIREMENT PLANS</w:t>
      </w:r>
    </w:p>
    <w:p>
      <w:pPr>
        <w:pStyle w:val="TextBody"/>
        <w:bidi w:val="0"/>
        <w:jc w:val="both"/>
        <w:rPr>
          <w:rFonts w:ascii="Times New Roman" w:hAnsi="Times New Roman"/>
          <w:sz w:val="20"/>
        </w:rPr>
      </w:pPr>
      <w:r>
        <w:rPr>
          <w:rFonts w:ascii="Arial" w:hAnsi="Arial"/>
          <w:color w:val="000000"/>
          <w:sz w:val="20"/>
        </w:rPr>
        <w:t>We maintain our Profit Sharing and Investment Plan (the “401(k) Plan”), a retirement plan intended to be tax-qualified under Section 401(a) of the Code and under which 401(k), Roth, matching, and discretionary profit-sharing contributions are authorized. All profit-sharing contributions vest immediately and all matching contributions vest 50% after one year and 100% after two years. The plan covers substantially all of our employees, including our NEOs, subject to meeting applicable eligibility requirements.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Employees become eligible to make 401(k) and Roth contributions and to receive matching contributions on the first day of the month after their date of hire. Subject to certain Code limitations, the plan permits non-highly compensated employees to make 401(k) and Roth contributions of up to 100% of their eligible compensation. Subject to certain Code limitations, we make discretionary matching contributions with respect to our employees’ 401(k) and Roth contributions. For the plan years ended April 30, 2026, 2025, and 2024, we made matching contributions equal to 50% of participants’ 401(k) and Roth contributions, up to 6% of their eligible compensation.</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Employees become eligible to receive profit sharing contributions on the first day of the plan year subsequent to when they complete one year of eligible service and must be employed on the last day of the plan year, in order to receive a profit-sharing contribution, if any, for that plan year. For fiscal 2026, we made profit sharing contributions equal to approximately 15.0% of income from operations, excluding profit sharing (as defined under the plan). Profit sharing contributions are allocated to eligible participants in proportion to their eligible compensation (subject to certain Code limitations).</w:t>
      </w:r>
    </w:p>
    <w:p>
      <w:pPr>
        <w:pStyle w:val="TextBody"/>
        <w:bidi w:val="0"/>
        <w:spacing w:before="240" w:after="283"/>
        <w:jc w:val="both"/>
        <w:rPr>
          <w:rFonts w:ascii="Times New Roman" w:hAnsi="Times New Roman"/>
          <w:sz w:val="20"/>
        </w:rPr>
      </w:pPr>
      <w:r>
        <w:rPr>
          <w:rFonts w:ascii="Arial" w:hAnsi="Arial"/>
          <w:color w:val="000000"/>
          <w:sz w:val="20"/>
        </w:rPr>
        <w:t>We do not offer any defined benefit pension plan to any of our executive officers.</w:t>
      </w:r>
      <w:r>
        <w:rPr>
          <w:rFonts w:ascii="Times New Roman" w:hAnsi="Times New Roman"/>
          <w:color w:val="000000"/>
          <w:sz w:val="20"/>
        </w:rPr>
        <w:t xml:space="preserve"> </w:t>
      </w:r>
    </w:p>
    <w:p>
      <w:pPr>
        <w:pStyle w:val="TextBody"/>
        <w:bidi w:val="0"/>
        <w:spacing w:before="240" w:after="283"/>
        <w:jc w:val="both"/>
        <w:rPr>
          <w:rFonts w:ascii="Arial" w:hAnsi="Arial"/>
          <w:b/>
          <w:color w:val="002668"/>
          <w:sz w:val="28"/>
        </w:rPr>
      </w:pPr>
      <w:r>
        <w:rPr>
          <w:rFonts w:ascii="Arial" w:hAnsi="Arial"/>
          <w:b/>
          <w:color w:val="002668"/>
          <w:sz w:val="28"/>
        </w:rPr>
        <w:t>NONQUALIFIED DEFERRED COMPENSATION</w:t>
      </w:r>
    </w:p>
    <w:p>
      <w:pPr>
        <w:pStyle w:val="TextBody"/>
        <w:bidi w:val="0"/>
        <w:jc w:val="both"/>
        <w:rPr>
          <w:rFonts w:ascii="Times New Roman" w:hAnsi="Times New Roman"/>
          <w:sz w:val="20"/>
        </w:rPr>
      </w:pPr>
      <w:r>
        <w:rPr>
          <w:rFonts w:ascii="Arial" w:hAnsi="Arial"/>
          <w:color w:val="000000"/>
          <w:sz w:val="20"/>
        </w:rPr>
        <w:t>We offer a Nonqualified Supplemental Deferred Compensation Plan, which is an unfunded deferred compensation plan that is intended to comply with the requirements of Section 409A of the Code and the regulations thereunder (the “Deferred Compensation Plan”). The Deferred Compensation Plan provides deferred compensation benefits to a select group of management or highly compensated employees, as selected (in each case) by us.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Deferred Compensation Plan allows participants to prospectively elect to defer up to 50% of base salary and up to 100% of certain cash bonuses. In the event that salary deferred into the 401(k) Plan must be returned to a participant under the Code’s 401(k) rules, a comparable amount of salary may be deferred into the plan by the participant if the participant has made such an election. In addition, we make non-elective contributions to the extent necessary to compensate participants for the amount of their “profit sharing” contribution that cannot be made to the 401(k) Plan due to the limitations of Section 415 of the Code. Additional discretionary non-elective contributions may also be made. Participant deferrals and non-elective contributions are, at all times, 100% vested.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Deferrals and non-elective contributions are credited to a deferred compensation account and held in a “rabbi trust” until the occurrence of an applicable distributable event. Distributable amounts are paid in the form of a lump sum cash payment or, for certain distributions, in a fixed number of cash installment payments, as elected by the participant.</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The following table sets forth, for our NEOs, earnings, distributions and year-end account balances with respect to the Deferred Compensation Plan.</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116"/>
        <w:gridCol w:w="146"/>
        <w:gridCol w:w="239"/>
        <w:gridCol w:w="847"/>
        <w:gridCol w:w="146"/>
        <w:gridCol w:w="146"/>
        <w:gridCol w:w="487"/>
        <w:gridCol w:w="862"/>
        <w:gridCol w:w="146"/>
        <w:gridCol w:w="146"/>
        <w:gridCol w:w="486"/>
        <w:gridCol w:w="860"/>
        <w:gridCol w:w="146"/>
        <w:gridCol w:w="146"/>
        <w:gridCol w:w="231"/>
        <w:gridCol w:w="819"/>
        <w:gridCol w:w="146"/>
        <w:gridCol w:w="146"/>
        <w:gridCol w:w="354"/>
        <w:gridCol w:w="924"/>
        <w:gridCol w:w="146"/>
        <w:gridCol w:w="146"/>
        <w:gridCol w:w="237"/>
        <w:gridCol w:w="840"/>
        <w:gridCol w:w="297"/>
      </w:tblGrid>
      <w:tr>
        <w:trPr/>
        <w:tc>
          <w:tcPr>
            <w:tcW w:w="1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1116" w:type="dxa"/>
            <w:tcBorders>
              <w:bottom w:val="single" w:sz="18" w:space="0" w:color="0070A2"/>
            </w:tcBorders>
            <w:shd w:fill="002668" w:val="clear"/>
            <w:tcMar>
              <w:top w:w="0" w:type="dxa"/>
              <w:left w:w="0" w:type="dxa"/>
              <w:right w:w="0" w:type="dxa"/>
            </w:tcMar>
            <w:vAlign w:val="center"/>
          </w:tcPr>
          <w:p>
            <w:pPr>
              <w:pStyle w:val="TableContents"/>
              <w:bidi w:val="0"/>
              <w:spacing w:before="0" w:after="283"/>
              <w:jc w:val="left"/>
              <w:rPr>
                <w:rFonts w:ascii="Arial" w:hAnsi="Arial"/>
                <w:b/>
                <w:color w:val="FFFFFF"/>
                <w:sz w:val="16"/>
              </w:rPr>
            </w:pPr>
            <w:r>
              <w:rPr>
                <w:rFonts w:ascii="Arial" w:hAnsi="Arial"/>
                <w:b/>
                <w:color w:val="FFFFFF"/>
                <w:sz w:val="16"/>
              </w:rPr>
              <w:t>Name</w:t>
            </w:r>
          </w:p>
        </w:tc>
        <w:tc>
          <w:tcPr>
            <w:tcW w:w="146" w:type="dxa"/>
            <w:tcBorders>
              <w:bottom w:val="single" w:sz="18" w:space="0" w:color="0070A2"/>
            </w:tcBorders>
            <w:shd w:fill="002668" w:val="clear"/>
            <w:tcMar>
              <w:top w:w="0" w:type="dxa"/>
              <w:left w:w="0" w:type="dxa"/>
              <w:right w:w="0" w:type="dxa"/>
            </w:tcMar>
            <w:vAlign w:val="center"/>
          </w:tcPr>
          <w:p>
            <w:pPr>
              <w:pStyle w:val="TableContents"/>
              <w:bidi w:val="0"/>
              <w:spacing w:before="0" w:after="283"/>
              <w:jc w:val="left"/>
              <w:rPr/>
            </w:pPr>
            <w:r>
              <w:rPr/>
              <w:t> </w:t>
            </w:r>
          </w:p>
        </w:tc>
        <w:tc>
          <w:tcPr>
            <w:tcW w:w="1086" w:type="dxa"/>
            <w:gridSpan w:val="2"/>
            <w:tcBorders>
              <w:bottom w:val="single" w:sz="18" w:space="0" w:color="0070A2"/>
            </w:tcBorders>
            <w:shd w:fill="002668" w:val="clear"/>
            <w:tcMar>
              <w:top w:w="0" w:type="dxa"/>
              <w:left w:w="0" w:type="dxa"/>
              <w:right w:w="0" w:type="dxa"/>
            </w:tcMar>
            <w:vAlign w:val="center"/>
          </w:tcPr>
          <w:p>
            <w:pPr>
              <w:pStyle w:val="TableContents"/>
              <w:bidi w:val="0"/>
              <w:spacing w:before="0" w:after="283"/>
              <w:jc w:val="center"/>
              <w:rPr>
                <w:rFonts w:ascii="Arial" w:hAnsi="Arial"/>
                <w:b/>
                <w:color w:val="FFFFFF"/>
                <w:sz w:val="16"/>
              </w:rPr>
            </w:pPr>
            <w:r>
              <w:rPr>
                <w:rFonts w:ascii="Arial" w:hAnsi="Arial"/>
                <w:b/>
                <w:color w:val="FFFFFF"/>
                <w:sz w:val="16"/>
              </w:rPr>
              <w:t>Aggregate Balance at Beginning FY</w:t>
            </w:r>
          </w:p>
        </w:tc>
        <w:tc>
          <w:tcPr>
            <w:tcW w:w="146" w:type="dxa"/>
            <w:tcBorders>
              <w:bottom w:val="single" w:sz="18" w:space="0" w:color="0070A2"/>
            </w:tcBorders>
            <w:shd w:fill="002668"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70A2"/>
            </w:tcBorders>
            <w:shd w:fill="002668" w:val="clear"/>
            <w:tcMar>
              <w:top w:w="0" w:type="dxa"/>
              <w:left w:w="0" w:type="dxa"/>
              <w:right w:w="0" w:type="dxa"/>
            </w:tcMar>
            <w:vAlign w:val="center"/>
          </w:tcPr>
          <w:p>
            <w:pPr>
              <w:pStyle w:val="TableContents"/>
              <w:bidi w:val="0"/>
              <w:spacing w:before="0" w:after="283"/>
              <w:jc w:val="left"/>
              <w:rPr/>
            </w:pPr>
            <w:r>
              <w:rPr/>
              <w:t> </w:t>
            </w:r>
          </w:p>
        </w:tc>
        <w:tc>
          <w:tcPr>
            <w:tcW w:w="1349" w:type="dxa"/>
            <w:gridSpan w:val="2"/>
            <w:tcBorders>
              <w:bottom w:val="single" w:sz="18" w:space="0" w:color="0070A2"/>
            </w:tcBorders>
            <w:shd w:fill="002668" w:val="clear"/>
            <w:tcMar>
              <w:top w:w="0" w:type="dxa"/>
              <w:left w:w="0" w:type="dxa"/>
              <w:right w:w="0" w:type="dxa"/>
            </w:tcMar>
            <w:vAlign w:val="center"/>
          </w:tcPr>
          <w:p>
            <w:pPr>
              <w:pStyle w:val="TableContents"/>
              <w:bidi w:val="0"/>
              <w:spacing w:before="0" w:after="283"/>
              <w:jc w:val="center"/>
              <w:rPr>
                <w:rFonts w:ascii="Arial" w:hAnsi="Arial"/>
                <w:b/>
                <w:color w:val="FFFFFF"/>
                <w:sz w:val="16"/>
              </w:rPr>
            </w:pPr>
            <w:r>
              <w:rPr>
                <w:rFonts w:ascii="Arial" w:hAnsi="Arial"/>
                <w:b/>
                <w:color w:val="FFFFFF"/>
                <w:sz w:val="16"/>
              </w:rPr>
              <w:t>Registrant Contributions in Last FY</w:t>
            </w:r>
          </w:p>
        </w:tc>
        <w:tc>
          <w:tcPr>
            <w:tcW w:w="146" w:type="dxa"/>
            <w:tcBorders>
              <w:bottom w:val="single" w:sz="18" w:space="0" w:color="0070A2"/>
            </w:tcBorders>
            <w:shd w:fill="002668"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002668" w:val="clear"/>
            <w:tcMar>
              <w:top w:w="0" w:type="dxa"/>
              <w:left w:w="0" w:type="dxa"/>
              <w:right w:w="0" w:type="dxa"/>
            </w:tcMar>
            <w:vAlign w:val="center"/>
          </w:tcPr>
          <w:p>
            <w:pPr>
              <w:pStyle w:val="TableContents"/>
              <w:bidi w:val="0"/>
              <w:spacing w:before="0" w:after="283"/>
              <w:jc w:val="left"/>
              <w:rPr/>
            </w:pPr>
            <w:r>
              <w:rPr/>
              <w:t> </w:t>
            </w:r>
          </w:p>
        </w:tc>
        <w:tc>
          <w:tcPr>
            <w:tcW w:w="1346" w:type="dxa"/>
            <w:gridSpan w:val="2"/>
            <w:tcBorders>
              <w:bottom w:val="single" w:sz="18" w:space="0" w:color="0070A2"/>
            </w:tcBorders>
            <w:shd w:fill="002668" w:val="clear"/>
            <w:tcMar>
              <w:top w:w="0" w:type="dxa"/>
              <w:left w:w="0" w:type="dxa"/>
              <w:right w:w="0" w:type="dxa"/>
            </w:tcMar>
            <w:vAlign w:val="center"/>
          </w:tcPr>
          <w:p>
            <w:pPr>
              <w:pStyle w:val="TableContents"/>
              <w:bidi w:val="0"/>
              <w:spacing w:before="0" w:after="283"/>
              <w:jc w:val="center"/>
              <w:rPr>
                <w:rFonts w:ascii="Arial" w:hAnsi="Arial"/>
                <w:b/>
                <w:color w:val="FFFFFF"/>
                <w:sz w:val="16"/>
              </w:rPr>
            </w:pPr>
            <w:r>
              <w:rPr>
                <w:rFonts w:ascii="Arial" w:hAnsi="Arial"/>
                <w:b/>
                <w:color w:val="FFFFFF"/>
                <w:sz w:val="16"/>
              </w:rPr>
              <w:t>Employee Contributions in Last FY</w:t>
            </w:r>
          </w:p>
        </w:tc>
        <w:tc>
          <w:tcPr>
            <w:tcW w:w="146" w:type="dxa"/>
            <w:tcBorders>
              <w:bottom w:val="single" w:sz="18" w:space="0" w:color="0070A2"/>
            </w:tcBorders>
            <w:shd w:fill="002668"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002668" w:val="clear"/>
            <w:tcMar>
              <w:top w:w="0" w:type="dxa"/>
              <w:left w:w="0" w:type="dxa"/>
              <w:right w:w="0" w:type="dxa"/>
            </w:tcMar>
            <w:vAlign w:val="center"/>
          </w:tcPr>
          <w:p>
            <w:pPr>
              <w:pStyle w:val="TableContents"/>
              <w:bidi w:val="0"/>
              <w:spacing w:before="0" w:after="283"/>
              <w:jc w:val="left"/>
              <w:rPr/>
            </w:pPr>
            <w:r>
              <w:rPr/>
              <w:t> </w:t>
            </w:r>
          </w:p>
        </w:tc>
        <w:tc>
          <w:tcPr>
            <w:tcW w:w="1050" w:type="dxa"/>
            <w:gridSpan w:val="2"/>
            <w:tcBorders>
              <w:bottom w:val="single" w:sz="18" w:space="0" w:color="0070A2"/>
            </w:tcBorders>
            <w:shd w:fill="002668" w:val="clear"/>
            <w:tcMar>
              <w:top w:w="0" w:type="dxa"/>
              <w:left w:w="0" w:type="dxa"/>
              <w:right w:w="0" w:type="dxa"/>
            </w:tcMar>
            <w:vAlign w:val="center"/>
          </w:tcPr>
          <w:p>
            <w:pPr>
              <w:pStyle w:val="TableContents"/>
              <w:bidi w:val="0"/>
              <w:spacing w:before="0" w:after="283"/>
              <w:jc w:val="center"/>
              <w:rPr>
                <w:rFonts w:ascii="Arial" w:hAnsi="Arial"/>
                <w:b/>
                <w:color w:val="FFFFFF"/>
                <w:sz w:val="16"/>
              </w:rPr>
            </w:pPr>
            <w:r>
              <w:rPr>
                <w:rFonts w:ascii="Arial" w:hAnsi="Arial"/>
                <w:b/>
                <w:color w:val="FFFFFF"/>
                <w:sz w:val="16"/>
              </w:rPr>
              <w:t>Aggregate Earnings in last FY</w:t>
            </w:r>
          </w:p>
        </w:tc>
        <w:tc>
          <w:tcPr>
            <w:tcW w:w="146" w:type="dxa"/>
            <w:tcBorders>
              <w:bottom w:val="single" w:sz="18" w:space="0" w:color="0070A2"/>
            </w:tcBorders>
            <w:shd w:fill="002668"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70A2"/>
            </w:tcBorders>
            <w:shd w:fill="002668" w:val="clear"/>
            <w:tcMar>
              <w:top w:w="0" w:type="dxa"/>
              <w:left w:w="0" w:type="dxa"/>
              <w:right w:w="0" w:type="dxa"/>
            </w:tcMar>
            <w:vAlign w:val="center"/>
          </w:tcPr>
          <w:p>
            <w:pPr>
              <w:pStyle w:val="TableContents"/>
              <w:bidi w:val="0"/>
              <w:spacing w:before="0" w:after="283"/>
              <w:jc w:val="left"/>
              <w:rPr/>
            </w:pPr>
            <w:r>
              <w:rPr/>
              <w:t> </w:t>
            </w:r>
          </w:p>
        </w:tc>
        <w:tc>
          <w:tcPr>
            <w:tcW w:w="1278" w:type="dxa"/>
            <w:gridSpan w:val="2"/>
            <w:tcBorders>
              <w:bottom w:val="single" w:sz="18" w:space="0" w:color="0070A2"/>
            </w:tcBorders>
            <w:shd w:fill="002668" w:val="clear"/>
            <w:tcMar>
              <w:top w:w="0" w:type="dxa"/>
              <w:left w:w="0" w:type="dxa"/>
              <w:right w:w="0" w:type="dxa"/>
            </w:tcMar>
            <w:vAlign w:val="center"/>
          </w:tcPr>
          <w:p>
            <w:pPr>
              <w:pStyle w:val="TableContents"/>
              <w:bidi w:val="0"/>
              <w:spacing w:before="0" w:after="283"/>
              <w:jc w:val="center"/>
              <w:rPr>
                <w:rFonts w:ascii="Arial" w:hAnsi="Arial"/>
                <w:b/>
                <w:color w:val="FFFFFF"/>
                <w:sz w:val="16"/>
              </w:rPr>
            </w:pPr>
            <w:r>
              <w:rPr>
                <w:rFonts w:ascii="Arial" w:hAnsi="Arial"/>
                <w:b/>
                <w:color w:val="FFFFFF"/>
                <w:sz w:val="16"/>
              </w:rPr>
              <w:t>Aggregate Withdrawals/ Distributions</w:t>
            </w:r>
          </w:p>
        </w:tc>
        <w:tc>
          <w:tcPr>
            <w:tcW w:w="146" w:type="dxa"/>
            <w:tcBorders>
              <w:bottom w:val="single" w:sz="18" w:space="0" w:color="0070A2"/>
            </w:tcBorders>
            <w:shd w:fill="002668"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002668" w:val="clear"/>
            <w:tcMar>
              <w:top w:w="0" w:type="dxa"/>
              <w:left w:w="0" w:type="dxa"/>
              <w:right w:w="0" w:type="dxa"/>
            </w:tcMar>
            <w:vAlign w:val="center"/>
          </w:tcPr>
          <w:p>
            <w:pPr>
              <w:pStyle w:val="TableContents"/>
              <w:bidi w:val="0"/>
              <w:spacing w:before="0" w:after="283"/>
              <w:jc w:val="left"/>
              <w:rPr/>
            </w:pPr>
            <w:r>
              <w:rPr/>
              <w:t> </w:t>
            </w:r>
          </w:p>
        </w:tc>
        <w:tc>
          <w:tcPr>
            <w:tcW w:w="1077" w:type="dxa"/>
            <w:gridSpan w:val="2"/>
            <w:tcBorders>
              <w:bottom w:val="single" w:sz="18" w:space="0" w:color="0070A2"/>
            </w:tcBorders>
            <w:shd w:fill="002668" w:val="clear"/>
            <w:tcMar>
              <w:top w:w="0" w:type="dxa"/>
              <w:left w:w="0" w:type="dxa"/>
              <w:right w:w="0" w:type="dxa"/>
            </w:tcMar>
            <w:vAlign w:val="center"/>
          </w:tcPr>
          <w:p>
            <w:pPr>
              <w:pStyle w:val="TableContents"/>
              <w:bidi w:val="0"/>
              <w:spacing w:before="0" w:after="283"/>
              <w:jc w:val="center"/>
              <w:rPr>
                <w:rFonts w:ascii="Arial" w:hAnsi="Arial"/>
                <w:b/>
                <w:color w:val="FFFFFF"/>
                <w:sz w:val="16"/>
              </w:rPr>
            </w:pPr>
            <w:r>
              <w:rPr>
                <w:rFonts w:ascii="Arial" w:hAnsi="Arial"/>
                <w:b/>
                <w:color w:val="FFFFFF"/>
                <w:sz w:val="16"/>
              </w:rPr>
              <w:t>Aggregate Balance at Last FYE (1)</w:t>
            </w:r>
          </w:p>
        </w:tc>
        <w:tc>
          <w:tcPr>
            <w:tcW w:w="297" w:type="dxa"/>
            <w:tcBorders>
              <w:bottom w:val="single" w:sz="18" w:space="0" w:color="0070A2"/>
            </w:tcBorders>
            <w:shd w:fill="002668"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1116"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Mark P. Smith</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4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68,097</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62"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60"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19"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17,253</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24"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40"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85,350</w:t>
            </w:r>
          </w:p>
        </w:tc>
        <w:tc>
          <w:tcPr>
            <w:tcW w:w="297"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1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Deana L. McPherson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517,330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118,695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636,025</w:t>
            </w:r>
          </w:p>
        </w:tc>
        <w:tc>
          <w:tcPr>
            <w:tcW w:w="29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116"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Kevin A. Maxwell</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47"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62"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60"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19"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24"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40"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7"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1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Kyle O. Tengwall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116"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Susan J. Cupero</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4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8,029</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62"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60"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19"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1,009</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24"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5,635</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40"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3,403</w:t>
            </w:r>
          </w:p>
        </w:tc>
        <w:tc>
          <w:tcPr>
            <w:tcW w:w="29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16" w:type="dxa"/>
            <w:tcBorders>
              <w:bottom w:val="single" w:sz="4"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1086" w:type="dxa"/>
            <w:gridSpan w:val="2"/>
            <w:tcBorders>
              <w:bottom w:val="single" w:sz="4"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1349" w:type="dxa"/>
            <w:gridSpan w:val="2"/>
            <w:tcBorders>
              <w:bottom w:val="single" w:sz="4"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1346" w:type="dxa"/>
            <w:gridSpan w:val="2"/>
            <w:tcBorders>
              <w:bottom w:val="single" w:sz="4"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1050" w:type="dxa"/>
            <w:gridSpan w:val="2"/>
            <w:tcBorders>
              <w:bottom w:val="single" w:sz="4"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1278" w:type="dxa"/>
            <w:gridSpan w:val="2"/>
            <w:tcBorders>
              <w:bottom w:val="single" w:sz="4"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297" w:type="dxa"/>
            <w:tcBorders>
              <w:bottom w:val="single" w:sz="4" w:space="0" w:color="0071A2"/>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Times New Roman" w:hAnsi="Times New Roman"/>
          <w:sz w:val="20"/>
        </w:rPr>
      </w:pPr>
      <w:r>
        <w:rPr>
          <w:rFonts w:ascii="Arial" w:hAnsi="Arial"/>
          <w:color w:val="000000"/>
          <w:sz w:val="16"/>
        </w:rPr>
        <w:t>(1) Earnings reported in the aggregate balance at last fiscal year end were not reported as compensation to the NEO in the Summary Compensation Table for previous years because no above-market or preferential earnings on any nonqualified deferred compensation were paid to our NEOs.</w:t>
      </w:r>
      <w:r>
        <w:rPr>
          <w:rFonts w:ascii="Times New Roman" w:hAnsi="Times New Roman"/>
          <w:color w:val="000000"/>
          <w:sz w:val="20"/>
        </w:rPr>
        <w:t xml:space="preserve"> </w:t>
      </w:r>
    </w:p>
    <w:p>
      <w:pPr>
        <w:pStyle w:val="TextBody"/>
        <w:bidi w:val="0"/>
        <w:jc w:val="left"/>
        <w:rPr/>
      </w:pPr>
      <w:r>
        <w:rPr/>
        <w:t> </w:t>
      </w:r>
    </w:p>
    <w:tbl>
      <w:tblPr>
        <w:tblW w:w="3702" w:type="dxa"/>
        <w:jc w:val="left"/>
        <w:tblInd w:w="0" w:type="dxa"/>
        <w:tblLayout w:type="fixed"/>
        <w:tblCellMar>
          <w:top w:w="28" w:type="dxa"/>
          <w:left w:w="28" w:type="dxa"/>
          <w:bottom w:w="28" w:type="dxa"/>
          <w:right w:w="28" w:type="dxa"/>
        </w:tblCellMar>
      </w:tblPr>
      <w:tblGrid>
        <w:gridCol w:w="2266"/>
        <w:gridCol w:w="1436"/>
      </w:tblGrid>
      <w:tr>
        <w:trPr/>
        <w:tc>
          <w:tcPr>
            <w:tcW w:w="2266"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2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91F2C"/>
                <w:sz w:val="18"/>
              </w:rPr>
              <w:t>35</w:t>
            </w:r>
            <w:r>
              <w:rPr>
                <w:rFonts w:ascii="Times New Roman" w:hAnsi="Times New Roman"/>
                <w:color w:val="091F2C"/>
                <w:sz w:val="18"/>
              </w:rPr>
              <w:t> </w:t>
            </w:r>
            <w:r>
              <w:rPr>
                <w:rFonts w:ascii="Arial" w:hAnsi="Arial"/>
                <w:color w:val="091F2C"/>
                <w:sz w:val="18"/>
              </w:rPr>
              <w:t>I 2026 Proxy Statement</w:t>
            </w:r>
          </w:p>
        </w:tc>
        <w:tc>
          <w:tcPr>
            <w:tcW w:w="143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828675" cy="190500"/>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828675" cy="190500"/>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2277" w:type="dxa"/>
        <w:jc w:val="left"/>
        <w:tblInd w:w="0" w:type="dxa"/>
        <w:tblLayout w:type="fixed"/>
        <w:tblCellMar>
          <w:top w:w="28" w:type="dxa"/>
          <w:left w:w="28" w:type="dxa"/>
          <w:bottom w:w="28" w:type="dxa"/>
          <w:right w:w="28" w:type="dxa"/>
        </w:tblCellMar>
      </w:tblPr>
      <w:tblGrid>
        <w:gridCol w:w="2086"/>
        <w:gridCol w:w="191"/>
      </w:tblGrid>
      <w:tr>
        <w:trPr/>
        <w:tc>
          <w:tcPr>
            <w:tcW w:w="20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86" w:type="dxa"/>
            <w:tcBorders/>
            <w:tcMar>
              <w:top w:w="0" w:type="dxa"/>
              <w:left w:w="0" w:type="dxa"/>
              <w:bottom w:w="0" w:type="dxa"/>
              <w:right w:w="0" w:type="dxa"/>
            </w:tcMar>
            <w:vAlign w:val="center"/>
          </w:tcPr>
          <w:p>
            <w:pPr>
              <w:pStyle w:val="TableContents"/>
              <w:bidi w:val="0"/>
              <w:spacing w:before="0" w:after="283"/>
              <w:jc w:val="left"/>
              <w:rPr>
                <w:rFonts w:ascii="Arial" w:hAnsi="Arial"/>
                <w:color w:val="002668"/>
                <w:sz w:val="20"/>
              </w:rPr>
            </w:pPr>
            <w:r>
              <w:rPr>
                <w:rFonts w:ascii="Arial" w:hAnsi="Arial"/>
                <w:color w:val="002668"/>
                <w:sz w:val="20"/>
              </w:rPr>
              <w:t>Compensation Matters</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bottom w:val="single" w:sz="8" w:space="0" w:color="002668"/>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b/>
          <w:color w:val="002668"/>
          <w:sz w:val="28"/>
        </w:rPr>
        <w:t>POTENTIAL PAYMENTS UPON TERMINATION OR CHANGE IN CONTROL</w:t>
      </w:r>
      <w:r>
        <w:rPr>
          <w:rFonts w:ascii="Times New Roman" w:hAnsi="Times New Roman"/>
          <w:color w:val="002668"/>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146"/>
        <w:gridCol w:w="1481"/>
        <w:gridCol w:w="146"/>
        <w:gridCol w:w="232"/>
        <w:gridCol w:w="927"/>
        <w:gridCol w:w="146"/>
        <w:gridCol w:w="251"/>
        <w:gridCol w:w="288"/>
        <w:gridCol w:w="1148"/>
        <w:gridCol w:w="146"/>
        <w:gridCol w:w="326"/>
        <w:gridCol w:w="299"/>
        <w:gridCol w:w="572"/>
        <w:gridCol w:w="146"/>
        <w:gridCol w:w="146"/>
        <w:gridCol w:w="181"/>
        <w:gridCol w:w="721"/>
        <w:gridCol w:w="146"/>
        <w:gridCol w:w="251"/>
        <w:gridCol w:w="181"/>
        <w:gridCol w:w="721"/>
        <w:gridCol w:w="146"/>
        <w:gridCol w:w="302"/>
      </w:tblGrid>
      <w:tr>
        <w:trPr/>
        <w:tc>
          <w:tcPr>
            <w:tcW w:w="1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r>
      <w:tr>
        <w:trPr/>
        <w:tc>
          <w:tcPr>
            <w:tcW w:w="115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rFonts w:ascii="Arial" w:hAnsi="Arial"/>
                <w:b/>
                <w:color w:val="FFFFFF"/>
                <w:sz w:val="14"/>
              </w:rPr>
            </w:pPr>
            <w:r>
              <w:rPr>
                <w:rFonts w:ascii="Arial" w:hAnsi="Arial"/>
                <w:b/>
                <w:color w:val="FFFFFF"/>
                <w:sz w:val="14"/>
              </w:rPr>
              <w:t>Name</w:t>
            </w:r>
          </w:p>
        </w:tc>
        <w:tc>
          <w:tcPr>
            <w:tcW w:w="14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pPr>
            <w:r>
              <w:rPr/>
              <w:t> </w:t>
            </w:r>
          </w:p>
        </w:tc>
        <w:tc>
          <w:tcPr>
            <w:tcW w:w="1481"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rFonts w:ascii="Arial" w:hAnsi="Arial"/>
                <w:b/>
                <w:color w:val="FFFFFF"/>
                <w:sz w:val="14"/>
              </w:rPr>
            </w:pPr>
            <w:r>
              <w:rPr>
                <w:rFonts w:ascii="Arial" w:hAnsi="Arial"/>
                <w:b/>
                <w:color w:val="FFFFFF"/>
                <w:sz w:val="14"/>
              </w:rPr>
              <w:t>Executive Benefits and</w:t>
              <w:br/>
              <w:t>Payments Upon Separation</w:t>
            </w:r>
          </w:p>
        </w:tc>
        <w:tc>
          <w:tcPr>
            <w:tcW w:w="14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pPr>
            <w:r>
              <w:rPr/>
              <w:t> </w:t>
            </w:r>
          </w:p>
        </w:tc>
        <w:tc>
          <w:tcPr>
            <w:tcW w:w="1159" w:type="dxa"/>
            <w:gridSpan w:val="2"/>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rFonts w:ascii="Arial" w:hAnsi="Arial"/>
                <w:b/>
                <w:color w:val="FFFFFF"/>
                <w:sz w:val="14"/>
              </w:rPr>
            </w:pPr>
            <w:r>
              <w:rPr>
                <w:rFonts w:ascii="Arial" w:hAnsi="Arial"/>
                <w:b/>
                <w:color w:val="FFFFFF"/>
                <w:sz w:val="14"/>
              </w:rPr>
              <w:t>Termination Not for</w:t>
              <w:br/>
              <w:t>Cause, or for</w:t>
              <w:br/>
              <w:t>Good Reason - No</w:t>
              <w:br/>
              <w:t>Change of Control</w:t>
            </w:r>
          </w:p>
        </w:tc>
        <w:tc>
          <w:tcPr>
            <w:tcW w:w="14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pPr>
            <w:r>
              <w:rPr/>
              <w:t> </w:t>
            </w:r>
          </w:p>
        </w:tc>
        <w:tc>
          <w:tcPr>
            <w:tcW w:w="251"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pPr>
            <w:r>
              <w:rPr/>
              <w:t> </w:t>
            </w:r>
          </w:p>
        </w:tc>
        <w:tc>
          <w:tcPr>
            <w:tcW w:w="1436" w:type="dxa"/>
            <w:gridSpan w:val="2"/>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rFonts w:ascii="Arial" w:hAnsi="Arial"/>
                <w:b/>
                <w:color w:val="FFFFFF"/>
                <w:sz w:val="14"/>
              </w:rPr>
            </w:pPr>
            <w:r>
              <w:rPr>
                <w:rFonts w:ascii="Arial" w:hAnsi="Arial"/>
                <w:b/>
                <w:color w:val="FFFFFF"/>
                <w:sz w:val="14"/>
              </w:rPr>
              <w:t>Termination Not for Cause,</w:t>
              <w:br/>
              <w:t xml:space="preserve">or Upon Resignation - </w:t>
              <w:br/>
              <w:t>Change of Control</w:t>
            </w:r>
          </w:p>
        </w:tc>
        <w:tc>
          <w:tcPr>
            <w:tcW w:w="14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pPr>
            <w:r>
              <w:rPr/>
              <w:t> </w:t>
            </w:r>
          </w:p>
        </w:tc>
        <w:tc>
          <w:tcPr>
            <w:tcW w:w="32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rFonts w:ascii="Arial" w:hAnsi="Arial"/>
                <w:b/>
                <w:color w:val="FFFFFF"/>
                <w:sz w:val="14"/>
              </w:rPr>
            </w:pPr>
            <w:r>
              <w:rPr>
                <w:rFonts w:ascii="Arial" w:hAnsi="Arial"/>
                <w:b/>
                <w:color w:val="FFFFFF"/>
                <w:sz w:val="14"/>
              </w:rPr>
              <w:t>Voluntary</w:t>
              <w:br/>
              <w:t>Termination</w:t>
            </w:r>
          </w:p>
        </w:tc>
        <w:tc>
          <w:tcPr>
            <w:tcW w:w="14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pPr>
            <w:r>
              <w:rPr/>
              <w:t> </w:t>
            </w:r>
          </w:p>
        </w:tc>
        <w:tc>
          <w:tcPr>
            <w:tcW w:w="902" w:type="dxa"/>
            <w:gridSpan w:val="2"/>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rFonts w:ascii="Arial" w:hAnsi="Arial"/>
                <w:b/>
                <w:color w:val="FFFFFF"/>
                <w:sz w:val="14"/>
              </w:rPr>
            </w:pPr>
            <w:r>
              <w:rPr>
                <w:rFonts w:ascii="Arial" w:hAnsi="Arial"/>
                <w:b/>
                <w:color w:val="FFFFFF"/>
                <w:sz w:val="14"/>
              </w:rPr>
              <w:t>Death</w:t>
            </w:r>
          </w:p>
        </w:tc>
        <w:tc>
          <w:tcPr>
            <w:tcW w:w="14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pPr>
            <w:r>
              <w:rPr/>
              <w:t> </w:t>
            </w:r>
          </w:p>
        </w:tc>
        <w:tc>
          <w:tcPr>
            <w:tcW w:w="251"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pPr>
            <w:r>
              <w:rPr/>
              <w:t> </w:t>
            </w:r>
          </w:p>
        </w:tc>
        <w:tc>
          <w:tcPr>
            <w:tcW w:w="902" w:type="dxa"/>
            <w:gridSpan w:val="2"/>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rFonts w:ascii="Arial" w:hAnsi="Arial"/>
                <w:b/>
                <w:color w:val="FFFFFF"/>
                <w:sz w:val="14"/>
              </w:rPr>
            </w:pPr>
            <w:r>
              <w:rPr>
                <w:rFonts w:ascii="Arial" w:hAnsi="Arial"/>
                <w:b/>
                <w:color w:val="FFFFFF"/>
                <w:sz w:val="14"/>
              </w:rPr>
              <w:t>Disability</w:t>
            </w:r>
          </w:p>
        </w:tc>
        <w:tc>
          <w:tcPr>
            <w:tcW w:w="14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pPr>
            <w:r>
              <w:rPr/>
              <w:t> </w:t>
            </w:r>
          </w:p>
        </w:tc>
        <w:tc>
          <w:tcPr>
            <w:tcW w:w="302"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pPr>
            <w:r>
              <w:rPr/>
              <w:t> </w:t>
            </w:r>
          </w:p>
        </w:tc>
      </w:tr>
      <w:tr>
        <w:trPr/>
        <w:tc>
          <w:tcPr>
            <w:tcW w:w="1156"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Mark P. Smith</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8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Compensation:</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gridSpan w:val="2"/>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36" w:type="dxa"/>
            <w:gridSpan w:val="2"/>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5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8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Cash severance</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92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1,275,000</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(1)</w:t>
            </w:r>
          </w:p>
        </w:tc>
        <w:tc>
          <w:tcPr>
            <w:tcW w:w="288"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148"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1,700,000</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D9D9D9"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4"/>
              </w:rPr>
            </w:pPr>
            <w:r>
              <w:rPr>
                <w:rFonts w:ascii="Arial" w:hAnsi="Arial"/>
                <w:color w:val="000000"/>
                <w:sz w:val="14"/>
              </w:rPr>
              <w:t>(2)</w:t>
            </w:r>
          </w:p>
        </w:tc>
        <w:tc>
          <w:tcPr>
            <w:tcW w:w="299"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72"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5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8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Bonus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92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1,035,549</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(3)</w:t>
            </w:r>
          </w:p>
        </w:tc>
        <w:tc>
          <w:tcPr>
            <w:tcW w:w="288"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148"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1,700,000</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D9D9D9"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4"/>
              </w:rPr>
            </w:pPr>
            <w:r>
              <w:rPr>
                <w:rFonts w:ascii="Arial" w:hAnsi="Arial"/>
                <w:color w:val="000000"/>
                <w:sz w:val="14"/>
              </w:rPr>
              <w:t>(4)</w:t>
            </w:r>
          </w:p>
        </w:tc>
        <w:tc>
          <w:tcPr>
            <w:tcW w:w="299"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72"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1,035,549</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(3)</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1,035,549</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(3)</w:t>
            </w:r>
          </w:p>
        </w:tc>
      </w:tr>
      <w:tr>
        <w:trPr/>
        <w:tc>
          <w:tcPr>
            <w:tcW w:w="115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8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Equity Awards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92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1,511,298</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(5)</w:t>
            </w:r>
          </w:p>
        </w:tc>
        <w:tc>
          <w:tcPr>
            <w:tcW w:w="288"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148"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9,058,699</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D9D9D9"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4"/>
              </w:rPr>
            </w:pPr>
            <w:r>
              <w:rPr>
                <w:rFonts w:ascii="Arial" w:hAnsi="Arial"/>
                <w:color w:val="000000"/>
                <w:sz w:val="14"/>
              </w:rPr>
              <w:t>(6)</w:t>
            </w:r>
          </w:p>
        </w:tc>
        <w:tc>
          <w:tcPr>
            <w:tcW w:w="299"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72"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5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8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Benefits and Perquisites: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gridSpan w:val="2"/>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36" w:type="dxa"/>
            <w:gridSpan w:val="2"/>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5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8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Health and welfare benefits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92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55,152</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(7)</w:t>
            </w:r>
          </w:p>
        </w:tc>
        <w:tc>
          <w:tcPr>
            <w:tcW w:w="288"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148"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73,536</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D9D9D9"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4"/>
              </w:rPr>
            </w:pPr>
            <w:r>
              <w:rPr>
                <w:rFonts w:ascii="Arial" w:hAnsi="Arial"/>
                <w:color w:val="000000"/>
                <w:sz w:val="14"/>
              </w:rPr>
              <w:t>(8)</w:t>
            </w:r>
          </w:p>
        </w:tc>
        <w:tc>
          <w:tcPr>
            <w:tcW w:w="299"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72"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5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8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Other</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92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27,000</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(9)</w:t>
            </w:r>
          </w:p>
        </w:tc>
        <w:tc>
          <w:tcPr>
            <w:tcW w:w="288"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148"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36,000</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D9D9D9"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4"/>
              </w:rPr>
            </w:pPr>
            <w:r>
              <w:rPr>
                <w:rFonts w:ascii="Arial" w:hAnsi="Arial"/>
                <w:color w:val="000000"/>
                <w:sz w:val="14"/>
              </w:rPr>
              <w:t>(10)</w:t>
            </w:r>
          </w:p>
        </w:tc>
        <w:tc>
          <w:tcPr>
            <w:tcW w:w="299"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72"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5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8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gridSpan w:val="2"/>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36" w:type="dxa"/>
            <w:gridSpan w:val="2"/>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Deana L. McPherson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Cash severance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712,500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(1)</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1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950,000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4"/>
              </w:rPr>
            </w:pPr>
            <w:r>
              <w:rPr>
                <w:rFonts w:ascii="Arial" w:hAnsi="Arial"/>
                <w:color w:val="000000"/>
                <w:sz w:val="14"/>
              </w:rPr>
              <w:t>(2)</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Bonus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434,017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(3)</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1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712,500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4"/>
              </w:rPr>
            </w:pPr>
            <w:r>
              <w:rPr>
                <w:rFonts w:ascii="Arial" w:hAnsi="Arial"/>
                <w:color w:val="000000"/>
                <w:sz w:val="14"/>
              </w:rPr>
              <w:t>(4)</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Equity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1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2,753,867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4"/>
              </w:rPr>
            </w:pPr>
            <w:r>
              <w:rPr>
                <w:rFonts w:ascii="Arial" w:hAnsi="Arial"/>
                <w:color w:val="000000"/>
                <w:sz w:val="14"/>
              </w:rPr>
              <w:t>(6)</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Benefits and Perquisites: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Health and welfare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55,152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(7)</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1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73,536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4"/>
              </w:rPr>
            </w:pPr>
            <w:r>
              <w:rPr>
                <w:rFonts w:ascii="Arial" w:hAnsi="Arial"/>
                <w:color w:val="000000"/>
                <w:sz w:val="14"/>
              </w:rPr>
              <w:t>(8)</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1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56"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Kevin A. Maxwell</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8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Compensation:</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gridSpan w:val="2"/>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36" w:type="dxa"/>
            <w:gridSpan w:val="2"/>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5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8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Cash severance</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92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622,500</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(1)</w:t>
            </w:r>
          </w:p>
        </w:tc>
        <w:tc>
          <w:tcPr>
            <w:tcW w:w="288"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148"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830,000</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D9D9D9"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4"/>
              </w:rPr>
            </w:pPr>
            <w:r>
              <w:rPr>
                <w:rFonts w:ascii="Arial" w:hAnsi="Arial"/>
                <w:color w:val="000000"/>
                <w:sz w:val="14"/>
              </w:rPr>
              <w:t>(2)</w:t>
            </w:r>
          </w:p>
        </w:tc>
        <w:tc>
          <w:tcPr>
            <w:tcW w:w="299"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72"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5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8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Bonus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92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379,194</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(3)</w:t>
            </w:r>
          </w:p>
        </w:tc>
        <w:tc>
          <w:tcPr>
            <w:tcW w:w="288"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148"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622,500</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D9D9D9"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4"/>
              </w:rPr>
            </w:pPr>
            <w:r>
              <w:rPr>
                <w:rFonts w:ascii="Arial" w:hAnsi="Arial"/>
                <w:color w:val="000000"/>
                <w:sz w:val="14"/>
              </w:rPr>
              <w:t>(4)</w:t>
            </w:r>
          </w:p>
        </w:tc>
        <w:tc>
          <w:tcPr>
            <w:tcW w:w="299"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72"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5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8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Equity Awards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927"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148"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2,523,390</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D9D9D9"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4"/>
              </w:rPr>
            </w:pPr>
            <w:r>
              <w:rPr>
                <w:rFonts w:ascii="Arial" w:hAnsi="Arial"/>
                <w:color w:val="000000"/>
                <w:sz w:val="14"/>
              </w:rPr>
              <w:t>(6)</w:t>
            </w:r>
          </w:p>
        </w:tc>
        <w:tc>
          <w:tcPr>
            <w:tcW w:w="299"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72"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5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8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Benefits and Perquisites: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gridSpan w:val="2"/>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36" w:type="dxa"/>
            <w:gridSpan w:val="2"/>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5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8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Health and welfare benefits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92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55,152</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(7)</w:t>
            </w:r>
          </w:p>
        </w:tc>
        <w:tc>
          <w:tcPr>
            <w:tcW w:w="288"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148"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73,536</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D9D9D9"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4"/>
              </w:rPr>
            </w:pPr>
            <w:r>
              <w:rPr>
                <w:rFonts w:ascii="Arial" w:hAnsi="Arial"/>
                <w:color w:val="000000"/>
                <w:sz w:val="14"/>
              </w:rPr>
              <w:t>(8)</w:t>
            </w:r>
          </w:p>
        </w:tc>
        <w:tc>
          <w:tcPr>
            <w:tcW w:w="299"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72"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5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8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Other</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927"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148"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99"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72"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5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8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gridSpan w:val="2"/>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36" w:type="dxa"/>
            <w:gridSpan w:val="2"/>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Kyle O. Tengwall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Cash severance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490,308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(1)</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1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653,744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4"/>
              </w:rPr>
            </w:pPr>
            <w:r>
              <w:rPr>
                <w:rFonts w:ascii="Arial" w:hAnsi="Arial"/>
                <w:color w:val="000000"/>
                <w:sz w:val="14"/>
              </w:rPr>
              <w:t>(2)</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Bonus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259,946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(3)</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1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424,934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4"/>
              </w:rPr>
            </w:pPr>
            <w:r>
              <w:rPr>
                <w:rFonts w:ascii="Arial" w:hAnsi="Arial"/>
                <w:color w:val="000000"/>
                <w:sz w:val="14"/>
              </w:rPr>
              <w:t>(4)</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Equity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1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1,200,279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4"/>
              </w:rPr>
            </w:pPr>
            <w:r>
              <w:rPr>
                <w:rFonts w:ascii="Arial" w:hAnsi="Arial"/>
                <w:color w:val="000000"/>
                <w:sz w:val="14"/>
              </w:rPr>
              <w:t>(6)</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Benefits and Perquisites: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Health and welfare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55,152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(7)</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1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73,536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4"/>
              </w:rPr>
            </w:pPr>
            <w:r>
              <w:rPr>
                <w:rFonts w:ascii="Arial" w:hAnsi="Arial"/>
                <w:color w:val="000000"/>
                <w:sz w:val="14"/>
              </w:rPr>
              <w:t>(8)</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1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56" w:type="dxa"/>
            <w:tcBorders>
              <w:bottom w:val="single" w:sz="18"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1481" w:type="dxa"/>
            <w:tcBorders>
              <w:bottom w:val="single" w:sz="18"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1159" w:type="dxa"/>
            <w:gridSpan w:val="2"/>
            <w:tcBorders>
              <w:bottom w:val="single" w:sz="18"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18"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1436" w:type="dxa"/>
            <w:gridSpan w:val="2"/>
            <w:tcBorders>
              <w:bottom w:val="single" w:sz="18"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326" w:type="dxa"/>
            <w:tcBorders>
              <w:bottom w:val="single" w:sz="18"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18"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18"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18"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18"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302" w:type="dxa"/>
            <w:tcBorders>
              <w:bottom w:val="single" w:sz="18" w:space="0" w:color="0071A2"/>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0"/>
        <w:jc w:val="both"/>
        <w:rPr>
          <w:rFonts w:ascii="Arial" w:hAnsi="Arial"/>
          <w:color w:val="000000"/>
          <w:sz w:val="16"/>
        </w:rPr>
      </w:pPr>
      <w:r>
        <w:rPr>
          <w:rFonts w:ascii="Arial" w:hAnsi="Arial"/>
          <w:color w:val="000000"/>
          <w:sz w:val="16"/>
        </w:rPr>
        <w:t>(1)</w:t>
      </w:r>
    </w:p>
    <w:p>
      <w:pPr>
        <w:pStyle w:val="TextBody"/>
        <w:bidi w:val="0"/>
        <w:spacing w:before="0" w:after="0"/>
        <w:jc w:val="both"/>
        <w:rPr>
          <w:rFonts w:ascii="Arial" w:hAnsi="Arial"/>
          <w:color w:val="000000"/>
          <w:sz w:val="16"/>
        </w:rPr>
      </w:pPr>
      <w:r>
        <w:rPr>
          <w:rFonts w:ascii="Arial" w:hAnsi="Arial"/>
          <w:color w:val="000000"/>
          <w:sz w:val="16"/>
        </w:rPr>
        <w:t>Includes continuation of base salary paid out over 18 months.</w:t>
      </w:r>
    </w:p>
    <w:p>
      <w:pPr>
        <w:pStyle w:val="TextBody"/>
        <w:bidi w:val="0"/>
        <w:spacing w:before="0" w:after="0"/>
        <w:jc w:val="both"/>
        <w:rPr>
          <w:rFonts w:ascii="Arial" w:hAnsi="Arial"/>
          <w:color w:val="000000"/>
          <w:sz w:val="16"/>
        </w:rPr>
      </w:pPr>
      <w:r>
        <w:rPr>
          <w:rFonts w:ascii="Arial" w:hAnsi="Arial"/>
          <w:color w:val="000000"/>
          <w:sz w:val="16"/>
        </w:rPr>
        <w:t>(2)</w:t>
      </w:r>
    </w:p>
    <w:p>
      <w:pPr>
        <w:pStyle w:val="TextBody"/>
        <w:bidi w:val="0"/>
        <w:spacing w:before="0" w:after="0"/>
        <w:jc w:val="both"/>
        <w:rPr>
          <w:rFonts w:ascii="Arial" w:hAnsi="Arial"/>
          <w:color w:val="000000"/>
          <w:sz w:val="16"/>
        </w:rPr>
      </w:pPr>
      <w:r>
        <w:rPr>
          <w:rFonts w:ascii="Arial" w:hAnsi="Arial"/>
          <w:color w:val="000000"/>
          <w:sz w:val="16"/>
        </w:rPr>
        <w:t>Includes continuation of base salary paid out over 24 months</w:t>
      </w:r>
    </w:p>
    <w:p>
      <w:pPr>
        <w:pStyle w:val="TextBody"/>
        <w:bidi w:val="0"/>
        <w:spacing w:before="60" w:after="283"/>
        <w:jc w:val="both"/>
        <w:rPr>
          <w:rFonts w:ascii="Arial" w:hAnsi="Arial"/>
          <w:color w:val="000000"/>
          <w:sz w:val="16"/>
        </w:rPr>
      </w:pPr>
      <w:r>
        <w:rPr>
          <w:rFonts w:ascii="Arial" w:hAnsi="Arial"/>
          <w:color w:val="000000"/>
          <w:sz w:val="16"/>
        </w:rPr>
        <w:t>(3)</w:t>
      </w:r>
    </w:p>
    <w:p>
      <w:pPr>
        <w:pStyle w:val="TextBody"/>
        <w:bidi w:val="0"/>
        <w:spacing w:before="60" w:after="283"/>
        <w:jc w:val="both"/>
        <w:rPr>
          <w:rFonts w:ascii="Arial" w:hAnsi="Arial"/>
          <w:color w:val="000000"/>
          <w:sz w:val="16"/>
        </w:rPr>
      </w:pPr>
      <w:r>
        <w:rPr>
          <w:rFonts w:ascii="Arial" w:hAnsi="Arial"/>
          <w:color w:val="000000"/>
          <w:sz w:val="16"/>
        </w:rPr>
        <w:t>Equal to the pro-rata portion of his or her cash bonus earned in the year of termination.</w:t>
      </w:r>
    </w:p>
    <w:p>
      <w:pPr>
        <w:pStyle w:val="TextBody"/>
        <w:bidi w:val="0"/>
        <w:spacing w:before="60" w:after="283"/>
        <w:jc w:val="both"/>
        <w:rPr>
          <w:rFonts w:ascii="Arial" w:hAnsi="Arial"/>
          <w:color w:val="000000"/>
          <w:sz w:val="16"/>
        </w:rPr>
      </w:pPr>
      <w:r>
        <w:rPr>
          <w:rFonts w:ascii="Arial" w:hAnsi="Arial"/>
          <w:color w:val="000000"/>
          <w:sz w:val="16"/>
        </w:rPr>
        <w:t>(4)</w:t>
      </w:r>
    </w:p>
    <w:p>
      <w:pPr>
        <w:pStyle w:val="TextBody"/>
        <w:bidi w:val="0"/>
        <w:spacing w:before="60" w:after="283"/>
        <w:jc w:val="both"/>
        <w:rPr>
          <w:rFonts w:ascii="Arial" w:hAnsi="Arial"/>
          <w:color w:val="000000"/>
          <w:sz w:val="16"/>
        </w:rPr>
      </w:pPr>
      <w:r>
        <w:rPr>
          <w:rFonts w:ascii="Arial" w:hAnsi="Arial"/>
          <w:color w:val="000000"/>
          <w:sz w:val="16"/>
        </w:rPr>
        <w:t>Equal to 200% of his or her annual cash bonus, deemed payable at target, in the year of termination.</w:t>
      </w:r>
    </w:p>
    <w:p>
      <w:pPr>
        <w:pStyle w:val="TextBody"/>
        <w:bidi w:val="0"/>
        <w:spacing w:before="60" w:after="283"/>
        <w:jc w:val="both"/>
        <w:rPr>
          <w:rFonts w:ascii="Arial" w:hAnsi="Arial"/>
          <w:color w:val="000000"/>
          <w:sz w:val="16"/>
        </w:rPr>
      </w:pPr>
      <w:r>
        <w:rPr>
          <w:rFonts w:ascii="Arial" w:hAnsi="Arial"/>
          <w:color w:val="000000"/>
          <w:sz w:val="16"/>
        </w:rPr>
        <w:t>(5)</w:t>
      </w:r>
    </w:p>
    <w:p>
      <w:pPr>
        <w:pStyle w:val="TextBody"/>
        <w:bidi w:val="0"/>
        <w:spacing w:before="60" w:after="283"/>
        <w:jc w:val="both"/>
        <w:rPr>
          <w:rFonts w:ascii="Arial" w:hAnsi="Arial"/>
          <w:color w:val="000000"/>
          <w:sz w:val="16"/>
        </w:rPr>
      </w:pPr>
      <w:r>
        <w:rPr>
          <w:rFonts w:ascii="Arial" w:hAnsi="Arial"/>
          <w:color w:val="000000"/>
          <w:sz w:val="16"/>
        </w:rPr>
        <w:t>Equal to the pro-rata portion of stock-based compensation that would have vested in the year of termination.</w:t>
      </w:r>
    </w:p>
    <w:p>
      <w:pPr>
        <w:pStyle w:val="TextBody"/>
        <w:bidi w:val="0"/>
        <w:spacing w:before="60" w:after="283"/>
        <w:jc w:val="both"/>
        <w:rPr>
          <w:rFonts w:ascii="Arial" w:hAnsi="Arial"/>
          <w:color w:val="000000"/>
          <w:sz w:val="16"/>
        </w:rPr>
      </w:pPr>
      <w:r>
        <w:rPr>
          <w:rFonts w:ascii="Arial" w:hAnsi="Arial"/>
          <w:color w:val="000000"/>
          <w:sz w:val="16"/>
        </w:rPr>
        <w:t>(6)</w:t>
      </w:r>
    </w:p>
    <w:p>
      <w:pPr>
        <w:pStyle w:val="TextBody"/>
        <w:bidi w:val="0"/>
        <w:spacing w:before="60" w:after="283"/>
        <w:jc w:val="both"/>
        <w:rPr>
          <w:rFonts w:ascii="Arial" w:hAnsi="Arial"/>
          <w:color w:val="000000"/>
          <w:sz w:val="16"/>
        </w:rPr>
      </w:pPr>
      <w:r>
        <w:rPr>
          <w:rFonts w:ascii="Arial" w:hAnsi="Arial"/>
          <w:color w:val="000000"/>
          <w:sz w:val="16"/>
        </w:rPr>
        <w:t>Includes the accelerated vesting of all RSUs and PSUs on the effective date of termination.</w:t>
      </w:r>
    </w:p>
    <w:p>
      <w:pPr>
        <w:pStyle w:val="TextBody"/>
        <w:bidi w:val="0"/>
        <w:spacing w:before="60" w:after="283"/>
        <w:jc w:val="both"/>
        <w:rPr>
          <w:rFonts w:ascii="Arial" w:hAnsi="Arial"/>
          <w:color w:val="000000"/>
          <w:sz w:val="16"/>
        </w:rPr>
      </w:pPr>
      <w:r>
        <w:rPr>
          <w:rFonts w:ascii="Arial" w:hAnsi="Arial"/>
          <w:color w:val="000000"/>
          <w:sz w:val="16"/>
        </w:rPr>
        <w:t>(7)</w:t>
      </w:r>
    </w:p>
    <w:p>
      <w:pPr>
        <w:pStyle w:val="TextBody"/>
        <w:bidi w:val="0"/>
        <w:spacing w:before="60" w:after="283"/>
        <w:jc w:val="both"/>
        <w:rPr>
          <w:rFonts w:ascii="Arial" w:hAnsi="Arial"/>
          <w:color w:val="000000"/>
          <w:sz w:val="16"/>
        </w:rPr>
      </w:pPr>
      <w:r>
        <w:rPr>
          <w:rFonts w:ascii="Arial" w:hAnsi="Arial"/>
          <w:color w:val="000000"/>
          <w:sz w:val="16"/>
        </w:rPr>
        <w:t>Includes reimbursement of the cost of continuation coverage pursuant to COBRA for a period of 18 months, for the executive and his eligible dependents.</w:t>
      </w:r>
    </w:p>
    <w:p>
      <w:pPr>
        <w:pStyle w:val="TextBody"/>
        <w:bidi w:val="0"/>
        <w:spacing w:before="60" w:after="283"/>
        <w:jc w:val="both"/>
        <w:rPr>
          <w:rFonts w:ascii="Arial" w:hAnsi="Arial"/>
          <w:color w:val="000000"/>
          <w:sz w:val="16"/>
        </w:rPr>
      </w:pPr>
      <w:r>
        <w:rPr>
          <w:rFonts w:ascii="Arial" w:hAnsi="Arial"/>
          <w:color w:val="000000"/>
          <w:sz w:val="16"/>
        </w:rPr>
        <w:t>(8)</w:t>
      </w:r>
    </w:p>
    <w:p>
      <w:pPr>
        <w:pStyle w:val="TextBody"/>
        <w:bidi w:val="0"/>
        <w:spacing w:before="60" w:after="283"/>
        <w:jc w:val="both"/>
        <w:rPr>
          <w:rFonts w:ascii="Arial" w:hAnsi="Arial"/>
          <w:color w:val="000000"/>
          <w:sz w:val="16"/>
        </w:rPr>
      </w:pPr>
      <w:r>
        <w:rPr>
          <w:rFonts w:ascii="Arial" w:hAnsi="Arial"/>
          <w:color w:val="000000"/>
          <w:sz w:val="16"/>
        </w:rPr>
        <w:t>Includes reimbursement of the cost of continuation coverage pursuant to COBRA for a period of 24 months, for the executive and his eligible dependents.</w:t>
      </w:r>
    </w:p>
    <w:p>
      <w:pPr>
        <w:pStyle w:val="TextBody"/>
        <w:bidi w:val="0"/>
        <w:spacing w:before="60" w:after="283"/>
        <w:jc w:val="both"/>
        <w:rPr>
          <w:rFonts w:ascii="Arial" w:hAnsi="Arial"/>
          <w:color w:val="000000"/>
          <w:sz w:val="16"/>
        </w:rPr>
      </w:pPr>
      <w:r>
        <w:rPr>
          <w:rFonts w:ascii="Arial" w:hAnsi="Arial"/>
          <w:color w:val="000000"/>
          <w:sz w:val="16"/>
        </w:rPr>
        <w:t>(9)</w:t>
      </w:r>
    </w:p>
    <w:p>
      <w:pPr>
        <w:pStyle w:val="TextBody"/>
        <w:bidi w:val="0"/>
        <w:spacing w:before="60" w:after="283"/>
        <w:jc w:val="both"/>
        <w:rPr>
          <w:rFonts w:ascii="Arial" w:hAnsi="Arial"/>
          <w:color w:val="000000"/>
          <w:sz w:val="16"/>
        </w:rPr>
      </w:pPr>
      <w:r>
        <w:rPr>
          <w:rFonts w:ascii="Arial" w:hAnsi="Arial"/>
          <w:color w:val="000000"/>
          <w:sz w:val="16"/>
        </w:rPr>
        <w:t>Includes a $1,500 per month car allowance for 18 months.</w:t>
      </w:r>
    </w:p>
    <w:p>
      <w:pPr>
        <w:pStyle w:val="TextBody"/>
        <w:bidi w:val="0"/>
        <w:spacing w:before="60" w:after="283"/>
        <w:jc w:val="both"/>
        <w:rPr>
          <w:rFonts w:ascii="Arial" w:hAnsi="Arial"/>
          <w:color w:val="000000"/>
          <w:sz w:val="16"/>
        </w:rPr>
      </w:pPr>
      <w:r>
        <w:rPr>
          <w:rFonts w:ascii="Arial" w:hAnsi="Arial"/>
          <w:color w:val="000000"/>
          <w:sz w:val="16"/>
        </w:rPr>
        <w:t>(10)</w:t>
      </w:r>
    </w:p>
    <w:p>
      <w:pPr>
        <w:pStyle w:val="TextBody"/>
        <w:bidi w:val="0"/>
        <w:spacing w:before="60" w:after="283"/>
        <w:jc w:val="both"/>
        <w:rPr>
          <w:rFonts w:ascii="Arial" w:hAnsi="Arial"/>
          <w:color w:val="000000"/>
          <w:sz w:val="16"/>
        </w:rPr>
      </w:pPr>
      <w:r>
        <w:rPr>
          <w:rFonts w:ascii="Arial" w:hAnsi="Arial"/>
          <w:color w:val="000000"/>
          <w:sz w:val="16"/>
        </w:rPr>
        <w:t>Includes a $1,500 per month car allowance for 24 months.</w:t>
      </w:r>
    </w:p>
    <w:p>
      <w:pPr>
        <w:pStyle w:val="TextBody"/>
        <w:bidi w:val="0"/>
        <w:jc w:val="left"/>
        <w:rPr/>
      </w:pPr>
      <w:r>
        <w:rPr/>
        <w:t> </w:t>
      </w:r>
    </w:p>
    <w:tbl>
      <w:tblPr>
        <w:tblW w:w="3702" w:type="dxa"/>
        <w:jc w:val="left"/>
        <w:tblInd w:w="0" w:type="dxa"/>
        <w:tblLayout w:type="fixed"/>
        <w:tblCellMar>
          <w:top w:w="28" w:type="dxa"/>
          <w:left w:w="28" w:type="dxa"/>
          <w:bottom w:w="28" w:type="dxa"/>
          <w:right w:w="28" w:type="dxa"/>
        </w:tblCellMar>
      </w:tblPr>
      <w:tblGrid>
        <w:gridCol w:w="2266"/>
        <w:gridCol w:w="1436"/>
      </w:tblGrid>
      <w:tr>
        <w:trPr/>
        <w:tc>
          <w:tcPr>
            <w:tcW w:w="2266"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2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91F2C"/>
                <w:sz w:val="18"/>
              </w:rPr>
              <w:t>36</w:t>
            </w:r>
            <w:r>
              <w:rPr>
                <w:rFonts w:ascii="Times New Roman" w:hAnsi="Times New Roman"/>
                <w:color w:val="091F2C"/>
                <w:sz w:val="18"/>
              </w:rPr>
              <w:t> </w:t>
            </w:r>
            <w:r>
              <w:rPr>
                <w:rFonts w:ascii="Arial" w:hAnsi="Arial"/>
                <w:color w:val="091F2C"/>
                <w:sz w:val="18"/>
              </w:rPr>
              <w:t>I 2026 Proxy Statement</w:t>
            </w:r>
          </w:p>
        </w:tc>
        <w:tc>
          <w:tcPr>
            <w:tcW w:w="143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828675" cy="190500"/>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828675" cy="190500"/>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2277" w:type="dxa"/>
        <w:jc w:val="left"/>
        <w:tblInd w:w="0" w:type="dxa"/>
        <w:tblLayout w:type="fixed"/>
        <w:tblCellMar>
          <w:top w:w="28" w:type="dxa"/>
          <w:left w:w="28" w:type="dxa"/>
          <w:bottom w:w="28" w:type="dxa"/>
          <w:right w:w="28" w:type="dxa"/>
        </w:tblCellMar>
      </w:tblPr>
      <w:tblGrid>
        <w:gridCol w:w="2086"/>
        <w:gridCol w:w="191"/>
      </w:tblGrid>
      <w:tr>
        <w:trPr/>
        <w:tc>
          <w:tcPr>
            <w:tcW w:w="20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86" w:type="dxa"/>
            <w:tcBorders/>
            <w:tcMar>
              <w:top w:w="0" w:type="dxa"/>
              <w:left w:w="0" w:type="dxa"/>
              <w:bottom w:w="0" w:type="dxa"/>
              <w:right w:w="0" w:type="dxa"/>
            </w:tcMar>
            <w:vAlign w:val="center"/>
          </w:tcPr>
          <w:p>
            <w:pPr>
              <w:pStyle w:val="TableContents"/>
              <w:bidi w:val="0"/>
              <w:spacing w:before="0" w:after="283"/>
              <w:jc w:val="left"/>
              <w:rPr>
                <w:rFonts w:ascii="Arial" w:hAnsi="Arial"/>
                <w:color w:val="002668"/>
                <w:sz w:val="20"/>
              </w:rPr>
            </w:pPr>
            <w:r>
              <w:rPr>
                <w:rFonts w:ascii="Arial" w:hAnsi="Arial"/>
                <w:color w:val="002668"/>
                <w:sz w:val="20"/>
              </w:rPr>
              <w:t>Compensation Matters</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bottom w:val="single" w:sz="8" w:space="0" w:color="002668"/>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both"/>
        <w:rPr>
          <w:rFonts w:ascii="Arial" w:hAnsi="Arial"/>
          <w:b/>
          <w:color w:val="002668"/>
          <w:sz w:val="28"/>
        </w:rPr>
      </w:pPr>
      <w:r>
        <w:rPr>
          <w:rFonts w:ascii="Arial" w:hAnsi="Arial"/>
          <w:b/>
          <w:color w:val="002668"/>
          <w:sz w:val="28"/>
        </w:rPr>
        <w:t>CEO PAY RATIO</w:t>
      </w:r>
    </w:p>
    <w:p>
      <w:pPr>
        <w:pStyle w:val="TextBody"/>
        <w:bidi w:val="0"/>
        <w:jc w:val="both"/>
        <w:rPr/>
      </w:pPr>
      <w:r>
        <w:rPr/>
        <w:t> </w:t>
      </w:r>
    </w:p>
    <w:tbl>
      <w:tblPr>
        <w:tblW w:w="6677" w:type="dxa"/>
        <w:jc w:val="left"/>
        <w:tblInd w:w="0" w:type="dxa"/>
        <w:tblLayout w:type="fixed"/>
        <w:tblCellMar>
          <w:top w:w="28" w:type="dxa"/>
          <w:left w:w="28" w:type="dxa"/>
          <w:bottom w:w="28" w:type="dxa"/>
          <w:right w:w="28" w:type="dxa"/>
        </w:tblCellMar>
      </w:tblPr>
      <w:tblGrid>
        <w:gridCol w:w="976"/>
        <w:gridCol w:w="146"/>
        <w:gridCol w:w="346"/>
        <w:gridCol w:w="1064"/>
        <w:gridCol w:w="146"/>
        <w:gridCol w:w="146"/>
        <w:gridCol w:w="313"/>
        <w:gridCol w:w="963"/>
        <w:gridCol w:w="146"/>
        <w:gridCol w:w="146"/>
        <w:gridCol w:w="244"/>
        <w:gridCol w:w="1032"/>
        <w:gridCol w:w="146"/>
        <w:gridCol w:w="146"/>
        <w:gridCol w:w="177"/>
        <w:gridCol w:w="349"/>
        <w:gridCol w:w="191"/>
      </w:tblGrid>
      <w:tr>
        <w:trPr/>
        <w:tc>
          <w:tcPr>
            <w:tcW w:w="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97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rFonts w:ascii="Arial" w:hAnsi="Arial"/>
                <w:b/>
                <w:color w:val="FFFFFF"/>
                <w:sz w:val="16"/>
              </w:rPr>
            </w:pPr>
            <w:r>
              <w:rPr>
                <w:rFonts w:ascii="Arial" w:hAnsi="Arial"/>
                <w:b/>
                <w:color w:val="FFFFFF"/>
                <w:sz w:val="16"/>
              </w:rPr>
              <w:t>Fiscal Year</w:t>
            </w:r>
          </w:p>
        </w:tc>
        <w:tc>
          <w:tcPr>
            <w:tcW w:w="14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pPr>
            <w:r>
              <w:rPr/>
              <w:t> </w:t>
            </w:r>
          </w:p>
        </w:tc>
        <w:tc>
          <w:tcPr>
            <w:tcW w:w="1410" w:type="dxa"/>
            <w:gridSpan w:val="2"/>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rFonts w:ascii="Arial" w:hAnsi="Arial"/>
                <w:b/>
                <w:color w:val="FFFFFF"/>
                <w:sz w:val="16"/>
              </w:rPr>
            </w:pPr>
            <w:r>
              <w:rPr>
                <w:rFonts w:ascii="Arial" w:hAnsi="Arial"/>
                <w:b/>
                <w:color w:val="FFFFFF"/>
                <w:sz w:val="16"/>
              </w:rPr>
              <w:t xml:space="preserve">Identification of </w:t>
              <w:br/>
              <w:t xml:space="preserve">Median </w:t>
              <w:br/>
              <w:t>Salary</w:t>
              <w:br/>
              <w:t>($)</w:t>
            </w:r>
          </w:p>
        </w:tc>
        <w:tc>
          <w:tcPr>
            <w:tcW w:w="14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pPr>
            <w:r>
              <w:rPr/>
              <w:t> </w:t>
            </w:r>
          </w:p>
        </w:tc>
        <w:tc>
          <w:tcPr>
            <w:tcW w:w="1276" w:type="dxa"/>
            <w:gridSpan w:val="2"/>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rFonts w:ascii="Arial" w:hAnsi="Arial"/>
                <w:b/>
                <w:color w:val="FFFFFF"/>
                <w:sz w:val="16"/>
              </w:rPr>
            </w:pPr>
            <w:r>
              <w:rPr>
                <w:rFonts w:ascii="Arial" w:hAnsi="Arial"/>
                <w:b/>
                <w:color w:val="FFFFFF"/>
                <w:sz w:val="16"/>
              </w:rPr>
              <w:t>Median</w:t>
              <w:br/>
              <w:t>Employee</w:t>
              <w:br/>
              <w:t>Compensation</w:t>
              <w:br/>
              <w:t>($)</w:t>
            </w:r>
          </w:p>
        </w:tc>
        <w:tc>
          <w:tcPr>
            <w:tcW w:w="14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pPr>
            <w:r>
              <w:rPr/>
              <w:t> </w:t>
            </w:r>
          </w:p>
        </w:tc>
        <w:tc>
          <w:tcPr>
            <w:tcW w:w="1276" w:type="dxa"/>
            <w:gridSpan w:val="2"/>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rFonts w:ascii="Arial" w:hAnsi="Arial"/>
                <w:b/>
                <w:color w:val="FFFFFF"/>
                <w:sz w:val="16"/>
              </w:rPr>
            </w:pPr>
            <w:r>
              <w:rPr>
                <w:rFonts w:ascii="Arial" w:hAnsi="Arial"/>
                <w:b/>
                <w:color w:val="FFFFFF"/>
                <w:sz w:val="16"/>
              </w:rPr>
              <w:t>CEO</w:t>
              <w:br/>
              <w:t>Compensation</w:t>
              <w:br/>
              <w:t>($) (1)</w:t>
            </w:r>
          </w:p>
        </w:tc>
        <w:tc>
          <w:tcPr>
            <w:tcW w:w="14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pPr>
            <w:r>
              <w:rPr/>
              <w:t> </w:t>
            </w:r>
          </w:p>
        </w:tc>
        <w:tc>
          <w:tcPr>
            <w:tcW w:w="526" w:type="dxa"/>
            <w:gridSpan w:val="2"/>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rFonts w:ascii="Arial" w:hAnsi="Arial"/>
                <w:b/>
                <w:color w:val="FFFFFF"/>
                <w:sz w:val="16"/>
              </w:rPr>
            </w:pPr>
            <w:r>
              <w:rPr>
                <w:rFonts w:ascii="Arial" w:hAnsi="Arial"/>
                <w:b/>
                <w:color w:val="FFFFFF"/>
                <w:sz w:val="16"/>
              </w:rPr>
              <w:t>Ratio</w:t>
            </w:r>
          </w:p>
        </w:tc>
        <w:tc>
          <w:tcPr>
            <w:tcW w:w="191"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pPr>
            <w:r>
              <w:rPr/>
              <w:t> </w:t>
            </w:r>
          </w:p>
        </w:tc>
      </w:tr>
      <w:tr>
        <w:trPr/>
        <w:tc>
          <w:tcPr>
            <w:tcW w:w="976" w:type="dxa"/>
            <w:tcBorders/>
            <w:shd w:fill="DCDDDE"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2026</w:t>
            </w:r>
          </w:p>
        </w:tc>
        <w:tc>
          <w:tcPr>
            <w:tcW w:w="146" w:type="dxa"/>
            <w:tcBorders/>
            <w:shd w:fill="DCDDDE"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64"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52,288</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CDDDE" w:val="clear"/>
            <w:tcMar>
              <w:top w:w="0" w:type="dxa"/>
              <w:left w:w="0" w:type="dxa"/>
              <w:bottom w:w="0" w:type="dxa"/>
              <w:right w:w="0" w:type="dxa"/>
            </w:tcMar>
            <w:vAlign w:val="center"/>
          </w:tcPr>
          <w:p>
            <w:pPr>
              <w:pStyle w:val="TableContents"/>
              <w:bidi w:val="0"/>
              <w:spacing w:before="0" w:after="283"/>
              <w:jc w:val="center"/>
              <w:rPr/>
            </w:pPr>
            <w:r>
              <w:rPr/>
              <w:t> </w:t>
            </w:r>
          </w:p>
        </w:tc>
        <w:tc>
          <w:tcPr>
            <w:tcW w:w="313"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63"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61,087</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CDDDE" w:val="clear"/>
            <w:tcMar>
              <w:top w:w="0" w:type="dxa"/>
              <w:left w:w="0" w:type="dxa"/>
              <w:bottom w:w="0" w:type="dxa"/>
              <w:right w:w="0" w:type="dxa"/>
            </w:tcMar>
            <w:vAlign w:val="center"/>
          </w:tcPr>
          <w:p>
            <w:pPr>
              <w:pStyle w:val="TableContents"/>
              <w:bidi w:val="0"/>
              <w:spacing w:before="0" w:after="283"/>
              <w:jc w:val="center"/>
              <w:rPr/>
            </w:pPr>
            <w:r>
              <w:rPr/>
              <w:t> </w:t>
            </w:r>
          </w:p>
        </w:tc>
        <w:tc>
          <w:tcPr>
            <w:tcW w:w="244"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32"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4,671,940</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CDDDE" w:val="clear"/>
            <w:tcMar>
              <w:top w:w="0" w:type="dxa"/>
              <w:left w:w="0" w:type="dxa"/>
              <w:bottom w:w="0" w:type="dxa"/>
              <w:right w:w="0" w:type="dxa"/>
            </w:tcMar>
            <w:vAlign w:val="center"/>
          </w:tcPr>
          <w:p>
            <w:pPr>
              <w:pStyle w:val="TableContents"/>
              <w:bidi w:val="0"/>
              <w:spacing w:before="0" w:after="283"/>
              <w:jc w:val="center"/>
              <w:rPr/>
            </w:pPr>
            <w:r>
              <w:rPr/>
              <w:t> </w:t>
            </w:r>
          </w:p>
        </w:tc>
        <w:tc>
          <w:tcPr>
            <w:tcW w:w="177" w:type="dxa"/>
            <w:tcBorders/>
            <w:shd w:fill="DCDDDE"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DCDDDE"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76</w:t>
            </w:r>
          </w:p>
        </w:tc>
        <w:tc>
          <w:tcPr>
            <w:tcW w:w="191" w:type="dxa"/>
            <w:tcBorders/>
            <w:shd w:fill="DCDDDE"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76" w:type="dxa"/>
            <w:tcBorders>
              <w:bottom w:val="single" w:sz="18"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1410" w:type="dxa"/>
            <w:gridSpan w:val="2"/>
            <w:tcBorders>
              <w:bottom w:val="single" w:sz="18"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1276" w:type="dxa"/>
            <w:gridSpan w:val="2"/>
            <w:tcBorders>
              <w:bottom w:val="single" w:sz="18"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1276" w:type="dxa"/>
            <w:gridSpan w:val="2"/>
            <w:tcBorders>
              <w:bottom w:val="single" w:sz="18"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gridSpan w:val="2"/>
            <w:tcBorders>
              <w:bottom w:val="single" w:sz="18"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8" w:space="0" w:color="0071A2"/>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200"/>
        <w:jc w:val="both"/>
        <w:rPr>
          <w:rFonts w:ascii="Arial" w:hAnsi="Arial"/>
          <w:color w:val="000000"/>
          <w:sz w:val="16"/>
        </w:rPr>
      </w:pPr>
      <w:r>
        <w:rPr>
          <w:rFonts w:ascii="Arial" w:hAnsi="Arial"/>
          <w:color w:val="000000"/>
          <w:sz w:val="16"/>
        </w:rPr>
        <w:t>(1)</w:t>
      </w:r>
    </w:p>
    <w:p>
      <w:pPr>
        <w:pStyle w:val="TextBody"/>
        <w:bidi w:val="0"/>
        <w:spacing w:before="0" w:after="200"/>
        <w:jc w:val="both"/>
        <w:rPr>
          <w:rFonts w:ascii="Arial" w:hAnsi="Arial"/>
          <w:color w:val="000000"/>
          <w:sz w:val="16"/>
        </w:rPr>
      </w:pPr>
      <w:r>
        <w:rPr>
          <w:rFonts w:ascii="Arial" w:hAnsi="Arial"/>
          <w:color w:val="000000"/>
          <w:sz w:val="16"/>
        </w:rPr>
        <w:t xml:space="preserve">As reported in the Summary Compensation Table of this Proxy Statement. </w:t>
      </w:r>
    </w:p>
    <w:p>
      <w:pPr>
        <w:pStyle w:val="TextBody"/>
        <w:bidi w:val="0"/>
        <w:spacing w:before="40" w:after="283"/>
        <w:jc w:val="both"/>
        <w:rPr>
          <w:rFonts w:ascii="Arial" w:hAnsi="Arial"/>
          <w:color w:val="000000"/>
          <w:sz w:val="20"/>
        </w:rPr>
      </w:pPr>
      <w:r>
        <w:rPr>
          <w:rFonts w:ascii="Arial" w:hAnsi="Arial"/>
          <w:color w:val="000000"/>
          <w:sz w:val="20"/>
        </w:rPr>
        <w:t>The pay ratio disclosure presented above is a reasonable estimate. Because SEC rules for identifying the median employee and calculating the pay ratio allow companies to use different methodologies, exemptions, estimates, and assumptions, our CEO pay ratio disclosure may not be comparable to the pay ratio reported by other companies.</w:t>
      </w:r>
    </w:p>
    <w:p>
      <w:pPr>
        <w:pStyle w:val="TextBody"/>
        <w:bidi w:val="0"/>
        <w:spacing w:before="240" w:after="283"/>
        <w:jc w:val="both"/>
        <w:rPr>
          <w:rFonts w:ascii="Arial" w:hAnsi="Arial"/>
          <w:color w:val="000000"/>
          <w:sz w:val="20"/>
        </w:rPr>
      </w:pPr>
      <w:r>
        <w:rPr>
          <w:rFonts w:ascii="Arial" w:hAnsi="Arial"/>
          <w:color w:val="000000"/>
          <w:sz w:val="20"/>
        </w:rPr>
        <w:t>We selected March 31, 2026, the end of the closest calendar quarter to our April 30, 2026 fiscal year end, as the date on which we identified the median employee because it enabled us to make such identification in a reasonably efficient and economical manner. To identify the “median employee,” we considered the prior trailing 12 months of W-2 wages as of March 31, for our consistently applied compensation measure because we believe that this measure reasonably reflects the annual compensation of our employees. Using this measure, we identified a “median employee” who is a full-time, hourly employee located in Maryville, Tennessee. Once we identified this median employee, we totaled all of the elements of the employee’s compensation for the relevant fiscal year in accordance with the requirements of the applicable SEC rules, and consistent with the calculation of total compensation of our CEO in the Summary Compensation Table above.</w:t>
      </w:r>
    </w:p>
    <w:p>
      <w:pPr>
        <w:pStyle w:val="TextBody"/>
        <w:bidi w:val="0"/>
        <w:spacing w:before="240" w:after="240"/>
        <w:jc w:val="both"/>
        <w:rPr>
          <w:rFonts w:ascii="Arial" w:hAnsi="Arial"/>
          <w:b/>
          <w:color w:val="002668"/>
          <w:sz w:val="28"/>
        </w:rPr>
      </w:pPr>
      <w:r>
        <w:rPr>
          <w:rFonts w:ascii="Arial" w:hAnsi="Arial"/>
          <w:b/>
          <w:color w:val="002668"/>
          <w:sz w:val="28"/>
        </w:rPr>
        <w:t>PAY VERSUS PERFORMANCE</w:t>
      </w:r>
    </w:p>
    <w:p>
      <w:pPr>
        <w:pStyle w:val="TextBody"/>
        <w:bidi w:val="0"/>
        <w:spacing w:before="0" w:after="240"/>
        <w:jc w:val="both"/>
        <w:rPr>
          <w:rFonts w:ascii="Times New Roman" w:hAnsi="Times New Roman"/>
          <w:sz w:val="20"/>
        </w:rPr>
      </w:pPr>
      <w:r>
        <w:rPr>
          <w:rFonts w:ascii="Arial" w:hAnsi="Arial"/>
          <w:color w:val="000000"/>
          <w:sz w:val="20"/>
        </w:rPr>
        <w:t>In accordance with rules adopted by the SEC, we provide the following disclosure regarding executive compensation for our principal executive officer (“PEO”), who is our CEO, and Non-PEO NEOs and our performance for the fiscal years listed below. The Compensation Committee did not consider the pay versus performance disclosure below in making its pay decisions for any of the years shown</w:t>
      </w:r>
      <w:r>
        <w:rPr>
          <w:rFonts w:ascii="Times New Roman" w:hAnsi="Times New Roman"/>
          <w:color w:val="000000"/>
          <w:sz w:val="24"/>
        </w:rPr>
        <w:t>.</w:t>
      </w:r>
    </w:p>
    <w:tbl>
      <w:tblPr>
        <w:tblW w:w="10205" w:type="dxa"/>
        <w:jc w:val="left"/>
        <w:tblInd w:w="0" w:type="dxa"/>
        <w:tblLayout w:type="fixed"/>
        <w:tblCellMar>
          <w:top w:w="28" w:type="dxa"/>
          <w:left w:w="28" w:type="dxa"/>
          <w:bottom w:w="28" w:type="dxa"/>
          <w:right w:w="28" w:type="dxa"/>
        </w:tblCellMar>
      </w:tblPr>
      <w:tblGrid>
        <w:gridCol w:w="161"/>
        <w:gridCol w:w="406"/>
        <w:gridCol w:w="146"/>
        <w:gridCol w:w="259"/>
        <w:gridCol w:w="1039"/>
        <w:gridCol w:w="146"/>
        <w:gridCol w:w="239"/>
        <w:gridCol w:w="1013"/>
        <w:gridCol w:w="151"/>
        <w:gridCol w:w="273"/>
        <w:gridCol w:w="1094"/>
        <w:gridCol w:w="146"/>
        <w:gridCol w:w="264"/>
        <w:gridCol w:w="1057"/>
        <w:gridCol w:w="151"/>
        <w:gridCol w:w="219"/>
        <w:gridCol w:w="402"/>
        <w:gridCol w:w="177"/>
        <w:gridCol w:w="272"/>
        <w:gridCol w:w="310"/>
        <w:gridCol w:w="146"/>
        <w:gridCol w:w="219"/>
        <w:gridCol w:w="731"/>
        <w:gridCol w:w="146"/>
        <w:gridCol w:w="239"/>
        <w:gridCol w:w="600"/>
        <w:gridCol w:w="199"/>
      </w:tblGrid>
      <w:tr>
        <w:trPr/>
        <w:tc>
          <w:tcPr>
            <w:tcW w:w="16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567" w:type="dxa"/>
            <w:gridSpan w:val="2"/>
            <w:vMerge w:val="restart"/>
            <w:tcBorders>
              <w:bottom w:val="single" w:sz="18" w:space="0" w:color="0070A2"/>
            </w:tcBorders>
            <w:shd w:fill="002668" w:val="clear"/>
            <w:tcMar>
              <w:top w:w="0" w:type="dxa"/>
              <w:left w:w="0" w:type="dxa"/>
              <w:right w:w="0" w:type="dxa"/>
            </w:tcMar>
            <w:vAlign w:val="center"/>
          </w:tcPr>
          <w:p>
            <w:pPr>
              <w:pStyle w:val="TableContents"/>
              <w:bidi w:val="0"/>
              <w:spacing w:before="0" w:after="283"/>
              <w:jc w:val="center"/>
              <w:rPr>
                <w:rFonts w:ascii="Arial" w:hAnsi="Arial"/>
                <w:b/>
                <w:color w:val="FFFFFF"/>
                <w:sz w:val="14"/>
              </w:rPr>
            </w:pPr>
            <w:r>
              <w:rPr>
                <w:rFonts w:ascii="Arial" w:hAnsi="Arial"/>
                <w:b/>
                <w:color w:val="FFFFFF"/>
                <w:sz w:val="14"/>
              </w:rPr>
              <w:t>Year</w:t>
            </w:r>
          </w:p>
        </w:tc>
        <w:tc>
          <w:tcPr>
            <w:tcW w:w="146" w:type="dxa"/>
            <w:vMerge w:val="restart"/>
            <w:tcBorders>
              <w:bottom w:val="single" w:sz="18" w:space="0" w:color="0070A2"/>
            </w:tcBorders>
            <w:shd w:fill="002668" w:val="clear"/>
            <w:tcMar>
              <w:top w:w="0" w:type="dxa"/>
              <w:left w:w="0" w:type="dxa"/>
              <w:right w:w="0" w:type="dxa"/>
            </w:tcMar>
            <w:vAlign w:val="center"/>
          </w:tcPr>
          <w:p>
            <w:pPr>
              <w:pStyle w:val="TableContents"/>
              <w:bidi w:val="0"/>
              <w:spacing w:before="0" w:after="283"/>
              <w:jc w:val="center"/>
              <w:rPr/>
            </w:pPr>
            <w:r>
              <w:rPr/>
              <w:t> </w:t>
            </w:r>
          </w:p>
        </w:tc>
        <w:tc>
          <w:tcPr>
            <w:tcW w:w="1298" w:type="dxa"/>
            <w:gridSpan w:val="2"/>
            <w:vMerge w:val="restart"/>
            <w:tcBorders>
              <w:bottom w:val="single" w:sz="18" w:space="0" w:color="0070A2"/>
            </w:tcBorders>
            <w:shd w:fill="002668"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Arial" w:hAnsi="Arial"/>
                <w:b/>
                <w:color w:val="FFFFFF"/>
                <w:sz w:val="14"/>
              </w:rPr>
              <w:t>Summary Compensation Table Total for Mark P. Smith</w:t>
            </w:r>
            <w:r>
              <w:rPr>
                <w:rFonts w:ascii="Arial" w:hAnsi="Arial"/>
                <w:b/>
                <w:color w:val="FFFFFF"/>
                <w:sz w:val="9"/>
              </w:rPr>
              <w:t>1</w:t>
            </w:r>
            <w:r>
              <w:rPr>
                <w:rFonts w:ascii="Times New Roman" w:hAnsi="Times New Roman"/>
                <w:color w:val="FFFFFF"/>
                <w:sz w:val="14"/>
              </w:rPr>
              <w:t> </w:t>
            </w:r>
            <w:r>
              <w:rPr>
                <w:rFonts w:ascii="Arial" w:hAnsi="Arial"/>
                <w:b/>
                <w:color w:val="FFFFFF"/>
                <w:sz w:val="14"/>
              </w:rPr>
              <w:br/>
              <w:t>($)</w:t>
            </w:r>
          </w:p>
        </w:tc>
        <w:tc>
          <w:tcPr>
            <w:tcW w:w="146" w:type="dxa"/>
            <w:vMerge w:val="restart"/>
            <w:tcBorders>
              <w:bottom w:val="single" w:sz="18" w:space="0" w:color="0070A2"/>
            </w:tcBorders>
            <w:shd w:fill="002668" w:val="clear"/>
            <w:tcMar>
              <w:top w:w="0" w:type="dxa"/>
              <w:left w:w="0" w:type="dxa"/>
              <w:right w:w="0" w:type="dxa"/>
            </w:tcMar>
            <w:vAlign w:val="center"/>
          </w:tcPr>
          <w:p>
            <w:pPr>
              <w:pStyle w:val="TableContents"/>
              <w:bidi w:val="0"/>
              <w:spacing w:before="0" w:after="283"/>
              <w:jc w:val="center"/>
              <w:rPr/>
            </w:pPr>
            <w:r>
              <w:rPr/>
              <w:t> </w:t>
            </w:r>
          </w:p>
        </w:tc>
        <w:tc>
          <w:tcPr>
            <w:tcW w:w="1252" w:type="dxa"/>
            <w:gridSpan w:val="2"/>
            <w:vMerge w:val="restart"/>
            <w:tcBorders>
              <w:bottom w:val="single" w:sz="18" w:space="0" w:color="0070A2"/>
            </w:tcBorders>
            <w:shd w:fill="002668"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Arial" w:hAnsi="Arial"/>
                <w:b/>
                <w:color w:val="FFFFFF"/>
                <w:sz w:val="14"/>
              </w:rPr>
              <w:t>Compensation Actually Paid to Mark P. Smith</w:t>
            </w:r>
            <w:r>
              <w:rPr>
                <w:rFonts w:ascii="Arial" w:hAnsi="Arial"/>
                <w:b/>
                <w:color w:val="FFFFFF"/>
                <w:sz w:val="9"/>
              </w:rPr>
              <w:t xml:space="preserve">1,2,3 </w:t>
              <w:br/>
            </w:r>
            <w:r>
              <w:rPr>
                <w:rFonts w:ascii="Arial" w:hAnsi="Arial"/>
                <w:b/>
                <w:color w:val="FFFFFF"/>
                <w:sz w:val="14"/>
              </w:rPr>
              <w:t>($)</w:t>
            </w:r>
          </w:p>
        </w:tc>
        <w:tc>
          <w:tcPr>
            <w:tcW w:w="151" w:type="dxa"/>
            <w:vMerge w:val="restart"/>
            <w:tcBorders>
              <w:bottom w:val="single" w:sz="18" w:space="0" w:color="0070A2"/>
            </w:tcBorders>
            <w:shd w:fill="002668" w:val="clear"/>
            <w:tcMar>
              <w:top w:w="0" w:type="dxa"/>
              <w:left w:w="0" w:type="dxa"/>
              <w:right w:w="0" w:type="dxa"/>
            </w:tcMar>
            <w:vAlign w:val="center"/>
          </w:tcPr>
          <w:p>
            <w:pPr>
              <w:pStyle w:val="TableContents"/>
              <w:bidi w:val="0"/>
              <w:spacing w:before="0" w:after="283"/>
              <w:jc w:val="center"/>
              <w:rPr/>
            </w:pPr>
            <w:r>
              <w:rPr/>
              <w:t> </w:t>
            </w:r>
          </w:p>
        </w:tc>
        <w:tc>
          <w:tcPr>
            <w:tcW w:w="1367" w:type="dxa"/>
            <w:gridSpan w:val="2"/>
            <w:vMerge w:val="restart"/>
            <w:tcBorders>
              <w:bottom w:val="single" w:sz="18" w:space="0" w:color="0070A2"/>
            </w:tcBorders>
            <w:shd w:fill="002668"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Arial" w:hAnsi="Arial"/>
                <w:b/>
                <w:color w:val="FFFFFF"/>
                <w:sz w:val="14"/>
              </w:rPr>
              <w:t>Average Summary Compensation Table Total for Non-PEO NEOs</w:t>
            </w:r>
            <w:r>
              <w:rPr>
                <w:rFonts w:ascii="Arial" w:hAnsi="Arial"/>
                <w:b/>
                <w:color w:val="FFFFFF"/>
                <w:sz w:val="9"/>
              </w:rPr>
              <w:t>1</w:t>
            </w:r>
            <w:r>
              <w:rPr>
                <w:rFonts w:ascii="Times New Roman" w:hAnsi="Times New Roman"/>
                <w:color w:val="FFFFFF"/>
                <w:sz w:val="14"/>
              </w:rPr>
              <w:t> </w:t>
            </w:r>
            <w:r>
              <w:rPr>
                <w:rFonts w:ascii="Arial" w:hAnsi="Arial"/>
                <w:b/>
                <w:color w:val="FFFFFF"/>
                <w:sz w:val="14"/>
              </w:rPr>
              <w:br/>
              <w:t>($)</w:t>
            </w:r>
          </w:p>
        </w:tc>
        <w:tc>
          <w:tcPr>
            <w:tcW w:w="146" w:type="dxa"/>
            <w:vMerge w:val="restart"/>
            <w:tcBorders>
              <w:bottom w:val="single" w:sz="18" w:space="0" w:color="0070A2"/>
            </w:tcBorders>
            <w:shd w:fill="002668" w:val="clear"/>
            <w:tcMar>
              <w:top w:w="0" w:type="dxa"/>
              <w:left w:w="0" w:type="dxa"/>
              <w:right w:w="0" w:type="dxa"/>
            </w:tcMar>
            <w:vAlign w:val="center"/>
          </w:tcPr>
          <w:p>
            <w:pPr>
              <w:pStyle w:val="TableContents"/>
              <w:bidi w:val="0"/>
              <w:spacing w:before="0" w:after="283"/>
              <w:jc w:val="center"/>
              <w:rPr/>
            </w:pPr>
            <w:r>
              <w:rPr/>
              <w:t> </w:t>
            </w:r>
          </w:p>
        </w:tc>
        <w:tc>
          <w:tcPr>
            <w:tcW w:w="1321" w:type="dxa"/>
            <w:gridSpan w:val="2"/>
            <w:vMerge w:val="restart"/>
            <w:tcBorders>
              <w:bottom w:val="single" w:sz="18" w:space="0" w:color="0070A2"/>
            </w:tcBorders>
            <w:shd w:fill="002668"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Arial" w:hAnsi="Arial"/>
                <w:b/>
                <w:color w:val="FFFFFF"/>
                <w:sz w:val="14"/>
              </w:rPr>
              <w:t>Average Compensation Actually Paid to Non-PEO NEOs</w:t>
            </w:r>
            <w:r>
              <w:rPr>
                <w:rFonts w:ascii="Arial" w:hAnsi="Arial"/>
                <w:b/>
                <w:color w:val="FFFFFF"/>
                <w:sz w:val="9"/>
              </w:rPr>
              <w:t xml:space="preserve">1,2,3 </w:t>
              <w:br/>
            </w:r>
            <w:r>
              <w:rPr>
                <w:rFonts w:ascii="Arial" w:hAnsi="Arial"/>
                <w:b/>
                <w:color w:val="FFFFFF"/>
                <w:sz w:val="14"/>
              </w:rPr>
              <w:t>($)</w:t>
            </w:r>
          </w:p>
        </w:tc>
        <w:tc>
          <w:tcPr>
            <w:tcW w:w="151" w:type="dxa"/>
            <w:vMerge w:val="restart"/>
            <w:tcBorders>
              <w:bottom w:val="single" w:sz="18" w:space="0" w:color="0070A2"/>
            </w:tcBorders>
            <w:shd w:fill="002668" w:val="clear"/>
            <w:tcMar>
              <w:top w:w="0" w:type="dxa"/>
              <w:left w:w="0" w:type="dxa"/>
              <w:right w:w="0" w:type="dxa"/>
            </w:tcMar>
            <w:vAlign w:val="center"/>
          </w:tcPr>
          <w:p>
            <w:pPr>
              <w:pStyle w:val="TableContents"/>
              <w:bidi w:val="0"/>
              <w:spacing w:before="0" w:after="283"/>
              <w:jc w:val="center"/>
              <w:rPr/>
            </w:pPr>
            <w:r>
              <w:rPr/>
              <w:t> </w:t>
            </w:r>
          </w:p>
        </w:tc>
        <w:tc>
          <w:tcPr>
            <w:tcW w:w="1380" w:type="dxa"/>
            <w:gridSpan w:val="5"/>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Arial" w:hAnsi="Arial"/>
                <w:b/>
                <w:color w:val="FFFFFF"/>
                <w:sz w:val="14"/>
              </w:rPr>
              <w:t>Value of Initial Fixed $100 Investment based on:</w:t>
            </w:r>
            <w:r>
              <w:rPr>
                <w:rFonts w:ascii="Arial" w:hAnsi="Arial"/>
                <w:b/>
                <w:color w:val="FFFFFF"/>
                <w:sz w:val="9"/>
              </w:rPr>
              <w:t>4</w:t>
            </w:r>
          </w:p>
        </w:tc>
        <w:tc>
          <w:tcPr>
            <w:tcW w:w="14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pPr>
            <w:r>
              <w:rPr/>
              <w:t> </w:t>
            </w:r>
          </w:p>
        </w:tc>
        <w:tc>
          <w:tcPr>
            <w:tcW w:w="950" w:type="dxa"/>
            <w:gridSpan w:val="2"/>
            <w:vMerge w:val="restart"/>
            <w:tcBorders>
              <w:bottom w:val="single" w:sz="18" w:space="0" w:color="0070A2"/>
            </w:tcBorders>
            <w:shd w:fill="002668" w:val="clear"/>
            <w:tcMar>
              <w:top w:w="0" w:type="dxa"/>
              <w:left w:w="0" w:type="dxa"/>
              <w:right w:w="0" w:type="dxa"/>
            </w:tcMar>
            <w:vAlign w:val="center"/>
          </w:tcPr>
          <w:p>
            <w:pPr>
              <w:pStyle w:val="TableContents"/>
              <w:bidi w:val="0"/>
              <w:spacing w:before="0" w:after="283"/>
              <w:jc w:val="center"/>
              <w:rPr>
                <w:rFonts w:ascii="Arial" w:hAnsi="Arial"/>
                <w:b/>
                <w:color w:val="FFFFFF"/>
                <w:sz w:val="14"/>
              </w:rPr>
            </w:pPr>
            <w:r>
              <w:rPr>
                <w:rFonts w:ascii="Arial" w:hAnsi="Arial"/>
                <w:b/>
                <w:color w:val="FFFFFF"/>
                <w:sz w:val="14"/>
              </w:rPr>
              <w:t xml:space="preserve">Net Income </w:t>
              <w:br/>
              <w:t>($ Thousands)</w:t>
            </w:r>
          </w:p>
        </w:tc>
        <w:tc>
          <w:tcPr>
            <w:tcW w:w="146" w:type="dxa"/>
            <w:vMerge w:val="restart"/>
            <w:tcBorders>
              <w:bottom w:val="single" w:sz="18" w:space="0" w:color="0070A2"/>
            </w:tcBorders>
            <w:shd w:fill="002668" w:val="clear"/>
            <w:tcMar>
              <w:top w:w="0" w:type="dxa"/>
              <w:left w:w="0" w:type="dxa"/>
              <w:right w:w="0" w:type="dxa"/>
            </w:tcMar>
            <w:vAlign w:val="center"/>
          </w:tcPr>
          <w:p>
            <w:pPr>
              <w:pStyle w:val="TableContents"/>
              <w:bidi w:val="0"/>
              <w:spacing w:before="0" w:after="283"/>
              <w:jc w:val="center"/>
              <w:rPr/>
            </w:pPr>
            <w:r>
              <w:rPr/>
              <w:t> </w:t>
            </w:r>
          </w:p>
        </w:tc>
        <w:tc>
          <w:tcPr>
            <w:tcW w:w="839" w:type="dxa"/>
            <w:gridSpan w:val="2"/>
            <w:vMerge w:val="restart"/>
            <w:tcBorders>
              <w:bottom w:val="single" w:sz="18" w:space="0" w:color="0070A2"/>
            </w:tcBorders>
            <w:shd w:fill="002668" w:val="clear"/>
            <w:tcMar>
              <w:top w:w="0" w:type="dxa"/>
              <w:left w:w="0" w:type="dxa"/>
              <w:right w:w="0" w:type="dxa"/>
            </w:tcMar>
            <w:vAlign w:val="center"/>
          </w:tcPr>
          <w:p>
            <w:pPr>
              <w:pStyle w:val="TableContents"/>
              <w:bidi w:val="0"/>
              <w:spacing w:before="0" w:after="283"/>
              <w:jc w:val="center"/>
              <w:rPr>
                <w:rFonts w:ascii="Arial" w:hAnsi="Arial"/>
                <w:b/>
                <w:color w:val="FFFFFF"/>
                <w:sz w:val="14"/>
              </w:rPr>
            </w:pPr>
            <w:r>
              <w:rPr>
                <w:rFonts w:ascii="Arial" w:hAnsi="Arial"/>
                <w:b/>
                <w:color w:val="FFFFFF"/>
                <w:sz w:val="14"/>
              </w:rPr>
              <w:t xml:space="preserve">Adjusted EBITDAS </w:t>
              <w:br/>
              <w:t>($ Millions)⁵</w:t>
            </w:r>
          </w:p>
        </w:tc>
        <w:tc>
          <w:tcPr>
            <w:tcW w:w="199" w:type="dxa"/>
            <w:vMerge w:val="restart"/>
            <w:tcBorders>
              <w:bottom w:val="single" w:sz="18" w:space="0" w:color="0070A2"/>
            </w:tcBorders>
            <w:shd w:fill="002668" w:val="clear"/>
            <w:tcMar>
              <w:top w:w="0" w:type="dxa"/>
              <w:left w:w="0" w:type="dxa"/>
              <w:right w:w="0" w:type="dxa"/>
            </w:tcMar>
            <w:vAlign w:val="center"/>
          </w:tcPr>
          <w:p>
            <w:pPr>
              <w:pStyle w:val="TableContents"/>
              <w:bidi w:val="0"/>
              <w:spacing w:before="0" w:after="283"/>
              <w:jc w:val="center"/>
              <w:rPr/>
            </w:pPr>
            <w:r>
              <w:rPr/>
              <w:t> </w:t>
            </w:r>
          </w:p>
        </w:tc>
      </w:tr>
      <w:tr>
        <w:trPr/>
        <w:tc>
          <w:tcPr>
            <w:tcW w:w="567" w:type="dxa"/>
            <w:gridSpan w:val="2"/>
            <w:vMerge w:val="continue"/>
            <w:tcBorders>
              <w:bottom w:val="single" w:sz="18" w:space="0" w:color="0070A2"/>
            </w:tcBorders>
            <w:shd w:fill="002668" w:val="clear"/>
            <w:tcMar>
              <w:top w:w="0" w:type="dxa"/>
              <w:left w:w="0" w:type="dxa"/>
              <w:right w:w="0" w:type="dxa"/>
            </w:tcMar>
            <w:vAlign w:val="center"/>
          </w:tcPr>
          <w:p>
            <w:pPr>
              <w:pStyle w:val="Normal"/>
              <w:bidi w:val="0"/>
              <w:jc w:val="left"/>
              <w:rPr/>
            </w:pPr>
            <w:r>
              <w:rPr/>
            </w:r>
          </w:p>
        </w:tc>
        <w:tc>
          <w:tcPr>
            <w:tcW w:w="146" w:type="dxa"/>
            <w:vMerge w:val="continue"/>
            <w:tcBorders>
              <w:bottom w:val="single" w:sz="18" w:space="0" w:color="0070A2"/>
            </w:tcBorders>
            <w:shd w:fill="002668" w:val="clear"/>
            <w:tcMar>
              <w:top w:w="0" w:type="dxa"/>
              <w:left w:w="0" w:type="dxa"/>
              <w:right w:w="0" w:type="dxa"/>
            </w:tcMar>
            <w:vAlign w:val="center"/>
          </w:tcPr>
          <w:p>
            <w:pPr>
              <w:pStyle w:val="Normal"/>
              <w:bidi w:val="0"/>
              <w:jc w:val="left"/>
              <w:rPr/>
            </w:pPr>
            <w:r>
              <w:rPr/>
            </w:r>
          </w:p>
        </w:tc>
        <w:tc>
          <w:tcPr>
            <w:tcW w:w="1298" w:type="dxa"/>
            <w:gridSpan w:val="2"/>
            <w:vMerge w:val="continue"/>
            <w:tcBorders>
              <w:bottom w:val="single" w:sz="18" w:space="0" w:color="0070A2"/>
            </w:tcBorders>
            <w:shd w:fill="002668" w:val="clear"/>
            <w:tcMar>
              <w:top w:w="0" w:type="dxa"/>
              <w:left w:w="0" w:type="dxa"/>
              <w:right w:w="0" w:type="dxa"/>
            </w:tcMar>
            <w:vAlign w:val="center"/>
          </w:tcPr>
          <w:p>
            <w:pPr>
              <w:pStyle w:val="Normal"/>
              <w:bidi w:val="0"/>
              <w:jc w:val="left"/>
              <w:rPr/>
            </w:pPr>
            <w:r>
              <w:rPr/>
            </w:r>
          </w:p>
        </w:tc>
        <w:tc>
          <w:tcPr>
            <w:tcW w:w="146" w:type="dxa"/>
            <w:vMerge w:val="continue"/>
            <w:tcBorders>
              <w:bottom w:val="single" w:sz="18" w:space="0" w:color="0070A2"/>
            </w:tcBorders>
            <w:shd w:fill="002668" w:val="clear"/>
            <w:tcMar>
              <w:top w:w="0" w:type="dxa"/>
              <w:left w:w="0" w:type="dxa"/>
              <w:right w:w="0" w:type="dxa"/>
            </w:tcMar>
            <w:vAlign w:val="center"/>
          </w:tcPr>
          <w:p>
            <w:pPr>
              <w:pStyle w:val="Normal"/>
              <w:bidi w:val="0"/>
              <w:jc w:val="left"/>
              <w:rPr/>
            </w:pPr>
            <w:r>
              <w:rPr/>
            </w:r>
          </w:p>
        </w:tc>
        <w:tc>
          <w:tcPr>
            <w:tcW w:w="1252" w:type="dxa"/>
            <w:gridSpan w:val="2"/>
            <w:vMerge w:val="continue"/>
            <w:tcBorders>
              <w:bottom w:val="single" w:sz="18" w:space="0" w:color="0070A2"/>
            </w:tcBorders>
            <w:shd w:fill="002668" w:val="clear"/>
            <w:tcMar>
              <w:top w:w="0" w:type="dxa"/>
              <w:left w:w="0" w:type="dxa"/>
              <w:right w:w="0" w:type="dxa"/>
            </w:tcMar>
            <w:vAlign w:val="center"/>
          </w:tcPr>
          <w:p>
            <w:pPr>
              <w:pStyle w:val="Normal"/>
              <w:bidi w:val="0"/>
              <w:jc w:val="left"/>
              <w:rPr/>
            </w:pPr>
            <w:r>
              <w:rPr/>
            </w:r>
          </w:p>
        </w:tc>
        <w:tc>
          <w:tcPr>
            <w:tcW w:w="151" w:type="dxa"/>
            <w:vMerge w:val="continue"/>
            <w:tcBorders>
              <w:bottom w:val="single" w:sz="18" w:space="0" w:color="0070A2"/>
            </w:tcBorders>
            <w:shd w:fill="002668" w:val="clear"/>
            <w:tcMar>
              <w:top w:w="0" w:type="dxa"/>
              <w:left w:w="0" w:type="dxa"/>
              <w:right w:w="0" w:type="dxa"/>
            </w:tcMar>
            <w:vAlign w:val="center"/>
          </w:tcPr>
          <w:p>
            <w:pPr>
              <w:pStyle w:val="Normal"/>
              <w:bidi w:val="0"/>
              <w:jc w:val="left"/>
              <w:rPr/>
            </w:pPr>
            <w:r>
              <w:rPr/>
            </w:r>
          </w:p>
        </w:tc>
        <w:tc>
          <w:tcPr>
            <w:tcW w:w="1367" w:type="dxa"/>
            <w:gridSpan w:val="2"/>
            <w:vMerge w:val="continue"/>
            <w:tcBorders>
              <w:bottom w:val="single" w:sz="18" w:space="0" w:color="0070A2"/>
            </w:tcBorders>
            <w:shd w:fill="002668" w:val="clear"/>
            <w:tcMar>
              <w:top w:w="0" w:type="dxa"/>
              <w:left w:w="0" w:type="dxa"/>
              <w:right w:w="0" w:type="dxa"/>
            </w:tcMar>
            <w:vAlign w:val="center"/>
          </w:tcPr>
          <w:p>
            <w:pPr>
              <w:pStyle w:val="Normal"/>
              <w:bidi w:val="0"/>
              <w:jc w:val="left"/>
              <w:rPr/>
            </w:pPr>
            <w:r>
              <w:rPr/>
            </w:r>
          </w:p>
        </w:tc>
        <w:tc>
          <w:tcPr>
            <w:tcW w:w="146" w:type="dxa"/>
            <w:vMerge w:val="continue"/>
            <w:tcBorders>
              <w:bottom w:val="single" w:sz="18" w:space="0" w:color="0070A2"/>
            </w:tcBorders>
            <w:shd w:fill="002668" w:val="clear"/>
            <w:tcMar>
              <w:top w:w="0" w:type="dxa"/>
              <w:left w:w="0" w:type="dxa"/>
              <w:right w:w="0" w:type="dxa"/>
            </w:tcMar>
            <w:vAlign w:val="center"/>
          </w:tcPr>
          <w:p>
            <w:pPr>
              <w:pStyle w:val="Normal"/>
              <w:bidi w:val="0"/>
              <w:jc w:val="left"/>
              <w:rPr/>
            </w:pPr>
            <w:r>
              <w:rPr/>
            </w:r>
          </w:p>
        </w:tc>
        <w:tc>
          <w:tcPr>
            <w:tcW w:w="1321" w:type="dxa"/>
            <w:gridSpan w:val="2"/>
            <w:vMerge w:val="continue"/>
            <w:tcBorders>
              <w:bottom w:val="single" w:sz="18" w:space="0" w:color="0070A2"/>
            </w:tcBorders>
            <w:shd w:fill="002668" w:val="clear"/>
            <w:tcMar>
              <w:top w:w="0" w:type="dxa"/>
              <w:left w:w="0" w:type="dxa"/>
              <w:right w:w="0" w:type="dxa"/>
            </w:tcMar>
            <w:vAlign w:val="center"/>
          </w:tcPr>
          <w:p>
            <w:pPr>
              <w:pStyle w:val="Normal"/>
              <w:bidi w:val="0"/>
              <w:jc w:val="left"/>
              <w:rPr/>
            </w:pPr>
            <w:r>
              <w:rPr/>
            </w:r>
          </w:p>
        </w:tc>
        <w:tc>
          <w:tcPr>
            <w:tcW w:w="151" w:type="dxa"/>
            <w:vMerge w:val="continue"/>
            <w:tcBorders>
              <w:bottom w:val="single" w:sz="18" w:space="0" w:color="0070A2"/>
            </w:tcBorders>
            <w:shd w:fill="002668" w:val="clear"/>
            <w:tcMar>
              <w:top w:w="0" w:type="dxa"/>
              <w:left w:w="0" w:type="dxa"/>
              <w:right w:w="0" w:type="dxa"/>
            </w:tcMar>
            <w:vAlign w:val="center"/>
          </w:tcPr>
          <w:p>
            <w:pPr>
              <w:pStyle w:val="Normal"/>
              <w:bidi w:val="0"/>
              <w:jc w:val="left"/>
              <w:rPr/>
            </w:pPr>
            <w:r>
              <w:rPr/>
            </w:r>
          </w:p>
        </w:tc>
        <w:tc>
          <w:tcPr>
            <w:tcW w:w="621" w:type="dxa"/>
            <w:gridSpan w:val="2"/>
            <w:tcBorders>
              <w:bottom w:val="single" w:sz="18" w:space="0" w:color="0070A2"/>
            </w:tcBorders>
            <w:shd w:fill="002668" w:val="clear"/>
            <w:tcMar>
              <w:top w:w="0" w:type="dxa"/>
              <w:left w:w="0" w:type="dxa"/>
              <w:right w:w="0" w:type="dxa"/>
            </w:tcMar>
            <w:vAlign w:val="center"/>
          </w:tcPr>
          <w:p>
            <w:pPr>
              <w:pStyle w:val="TableContents"/>
              <w:bidi w:val="0"/>
              <w:spacing w:before="0" w:after="283"/>
              <w:jc w:val="center"/>
              <w:rPr>
                <w:rFonts w:ascii="Arial" w:hAnsi="Arial"/>
                <w:b/>
                <w:color w:val="FFFFFF"/>
                <w:sz w:val="14"/>
              </w:rPr>
            </w:pPr>
            <w:r>
              <w:rPr>
                <w:rFonts w:ascii="Arial" w:hAnsi="Arial"/>
                <w:b/>
                <w:color w:val="FFFFFF"/>
                <w:sz w:val="14"/>
              </w:rPr>
              <w:t xml:space="preserve">TSR </w:t>
              <w:br/>
              <w:t>($)</w:t>
            </w:r>
          </w:p>
        </w:tc>
        <w:tc>
          <w:tcPr>
            <w:tcW w:w="177" w:type="dxa"/>
            <w:tcBorders>
              <w:bottom w:val="single" w:sz="18" w:space="0" w:color="0070A2"/>
            </w:tcBorders>
            <w:shd w:fill="002668" w:val="clear"/>
            <w:tcMar>
              <w:top w:w="0" w:type="dxa"/>
              <w:left w:w="0" w:type="dxa"/>
              <w:right w:w="0" w:type="dxa"/>
            </w:tcMar>
            <w:vAlign w:val="center"/>
          </w:tcPr>
          <w:p>
            <w:pPr>
              <w:pStyle w:val="TableContents"/>
              <w:bidi w:val="0"/>
              <w:spacing w:before="0" w:after="283"/>
              <w:jc w:val="center"/>
              <w:rPr/>
            </w:pPr>
            <w:r>
              <w:rPr/>
              <w:t> </w:t>
            </w:r>
          </w:p>
        </w:tc>
        <w:tc>
          <w:tcPr>
            <w:tcW w:w="582" w:type="dxa"/>
            <w:gridSpan w:val="2"/>
            <w:tcBorders>
              <w:bottom w:val="single" w:sz="18" w:space="0" w:color="0070A2"/>
            </w:tcBorders>
            <w:shd w:fill="002668" w:val="clear"/>
            <w:tcMar>
              <w:top w:w="0" w:type="dxa"/>
              <w:left w:w="0" w:type="dxa"/>
              <w:right w:w="0" w:type="dxa"/>
            </w:tcMar>
            <w:vAlign w:val="center"/>
          </w:tcPr>
          <w:p>
            <w:pPr>
              <w:pStyle w:val="TableContents"/>
              <w:bidi w:val="0"/>
              <w:spacing w:before="0" w:after="283"/>
              <w:jc w:val="center"/>
              <w:rPr>
                <w:rFonts w:ascii="Arial" w:hAnsi="Arial"/>
                <w:b/>
                <w:color w:val="FFFFFF"/>
                <w:sz w:val="14"/>
              </w:rPr>
            </w:pPr>
            <w:r>
              <w:rPr>
                <w:rFonts w:ascii="Arial" w:hAnsi="Arial"/>
                <w:b/>
                <w:color w:val="FFFFFF"/>
                <w:sz w:val="14"/>
              </w:rPr>
              <w:t xml:space="preserve">Peer Group TSR </w:t>
              <w:br/>
              <w:t>($)</w:t>
            </w:r>
          </w:p>
        </w:tc>
        <w:tc>
          <w:tcPr>
            <w:tcW w:w="146" w:type="dxa"/>
            <w:tcBorders>
              <w:bottom w:val="single" w:sz="18" w:space="0" w:color="0070A2"/>
            </w:tcBorders>
            <w:shd w:fill="002668" w:val="clear"/>
            <w:tcMar>
              <w:top w:w="0" w:type="dxa"/>
              <w:left w:w="0" w:type="dxa"/>
              <w:right w:w="0" w:type="dxa"/>
            </w:tcMar>
            <w:vAlign w:val="center"/>
          </w:tcPr>
          <w:p>
            <w:pPr>
              <w:pStyle w:val="TableContents"/>
              <w:bidi w:val="0"/>
              <w:spacing w:before="0" w:after="283"/>
              <w:jc w:val="center"/>
              <w:rPr/>
            </w:pPr>
            <w:r>
              <w:rPr/>
              <w:t> </w:t>
            </w:r>
          </w:p>
        </w:tc>
        <w:tc>
          <w:tcPr>
            <w:tcW w:w="950" w:type="dxa"/>
            <w:gridSpan w:val="2"/>
            <w:vMerge w:val="continue"/>
            <w:tcBorders>
              <w:bottom w:val="single" w:sz="18" w:space="0" w:color="0070A2"/>
            </w:tcBorders>
            <w:shd w:fill="002668" w:val="clear"/>
            <w:tcMar>
              <w:top w:w="0" w:type="dxa"/>
              <w:left w:w="0" w:type="dxa"/>
              <w:right w:w="0" w:type="dxa"/>
            </w:tcMar>
            <w:vAlign w:val="center"/>
          </w:tcPr>
          <w:p>
            <w:pPr>
              <w:pStyle w:val="Normal"/>
              <w:bidi w:val="0"/>
              <w:jc w:val="left"/>
              <w:rPr/>
            </w:pPr>
            <w:r>
              <w:rPr/>
            </w:r>
          </w:p>
        </w:tc>
        <w:tc>
          <w:tcPr>
            <w:tcW w:w="146" w:type="dxa"/>
            <w:vMerge w:val="continue"/>
            <w:tcBorders>
              <w:bottom w:val="single" w:sz="18" w:space="0" w:color="0070A2"/>
            </w:tcBorders>
            <w:shd w:fill="002668" w:val="clear"/>
            <w:tcMar>
              <w:top w:w="0" w:type="dxa"/>
              <w:left w:w="0" w:type="dxa"/>
              <w:right w:w="0" w:type="dxa"/>
            </w:tcMar>
            <w:vAlign w:val="center"/>
          </w:tcPr>
          <w:p>
            <w:pPr>
              <w:pStyle w:val="Normal"/>
              <w:bidi w:val="0"/>
              <w:jc w:val="left"/>
              <w:rPr/>
            </w:pPr>
            <w:r>
              <w:rPr/>
            </w:r>
          </w:p>
        </w:tc>
        <w:tc>
          <w:tcPr>
            <w:tcW w:w="839" w:type="dxa"/>
            <w:gridSpan w:val="2"/>
            <w:vMerge w:val="continue"/>
            <w:tcBorders>
              <w:bottom w:val="single" w:sz="18" w:space="0" w:color="0070A2"/>
            </w:tcBorders>
            <w:shd w:fill="002668" w:val="clear"/>
            <w:tcMar>
              <w:top w:w="0" w:type="dxa"/>
              <w:left w:w="0" w:type="dxa"/>
              <w:right w:w="0" w:type="dxa"/>
            </w:tcMar>
            <w:vAlign w:val="center"/>
          </w:tcPr>
          <w:p>
            <w:pPr>
              <w:pStyle w:val="Normal"/>
              <w:bidi w:val="0"/>
              <w:jc w:val="left"/>
              <w:rPr/>
            </w:pPr>
            <w:r>
              <w:rPr/>
            </w:r>
          </w:p>
        </w:tc>
        <w:tc>
          <w:tcPr>
            <w:tcW w:w="199" w:type="dxa"/>
            <w:vMerge w:val="continue"/>
            <w:tcBorders>
              <w:bottom w:val="single" w:sz="18" w:space="0" w:color="0070A2"/>
            </w:tcBorders>
            <w:shd w:fill="002668" w:val="clear"/>
            <w:tcMar>
              <w:top w:w="0" w:type="dxa"/>
              <w:left w:w="0" w:type="dxa"/>
              <w:right w:w="0" w:type="dxa"/>
            </w:tcMar>
            <w:vAlign w:val="center"/>
          </w:tcPr>
          <w:p>
            <w:pPr>
              <w:pStyle w:val="Normal"/>
              <w:bidi w:val="0"/>
              <w:jc w:val="left"/>
              <w:rPr/>
            </w:pPr>
            <w:r>
              <w:rPr/>
            </w:r>
          </w:p>
        </w:tc>
      </w:tr>
      <w:tr>
        <w:trPr/>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4"/>
              </w:rPr>
            </w:pPr>
            <w:r>
              <w:rPr>
                <w:rFonts w:ascii="Arial" w:hAnsi="Arial"/>
                <w:color w:val="000000"/>
                <w:sz w:val="14"/>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4"/>
              </w:rPr>
            </w:pPr>
            <w:r>
              <w:rPr>
                <w:rFonts w:ascii="Arial" w:hAnsi="Arial"/>
                <w:color w:val="000000"/>
                <w:sz w:val="14"/>
              </w:rPr>
              <w:t>(b)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4"/>
              </w:rPr>
            </w:pPr>
            <w:r>
              <w:rPr>
                <w:rFonts w:ascii="Arial" w:hAnsi="Arial"/>
                <w:color w:val="000000"/>
                <w:sz w:val="14"/>
              </w:rPr>
              <w:t>(c)</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4"/>
              </w:rPr>
            </w:pPr>
            <w:r>
              <w:rPr>
                <w:rFonts w:ascii="Arial" w:hAnsi="Arial"/>
                <w:color w:val="000000"/>
                <w:sz w:val="14"/>
              </w:rPr>
              <w: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4"/>
              </w:rPr>
            </w:pPr>
            <w:r>
              <w:rPr>
                <w:rFonts w:ascii="Arial" w:hAnsi="Arial"/>
                <w:color w:val="000000"/>
                <w:sz w:val="14"/>
              </w:rPr>
              <w:t>(e)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4"/>
              </w:rPr>
            </w:pPr>
            <w:r>
              <w:rPr>
                <w:rFonts w:ascii="Arial" w:hAnsi="Arial"/>
                <w:color w:val="000000"/>
                <w:sz w:val="14"/>
              </w:rPr>
              <w:t>(f)</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4"/>
              </w:rPr>
            </w:pPr>
            <w:r>
              <w:rPr>
                <w:rFonts w:ascii="Arial" w:hAnsi="Arial"/>
                <w:color w:val="000000"/>
                <w:sz w:val="14"/>
              </w:rPr>
              <w:t>(g)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4"/>
              </w:rPr>
            </w:pPr>
            <w:r>
              <w:rPr>
                <w:rFonts w:ascii="Arial" w:hAnsi="Arial"/>
                <w:color w:val="000000"/>
                <w:sz w:val="14"/>
              </w:rPr>
              <w:t>(h)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4"/>
              </w:rPr>
            </w:pPr>
            <w:r>
              <w:rPr>
                <w:rFonts w:ascii="Arial" w:hAnsi="Arial"/>
                <w:color w:val="000000"/>
                <w:sz w:val="14"/>
              </w:rPr>
              <w:t>(i)</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4,671,940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8,918,426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1,202,345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05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1,902,042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107</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18,481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75.0</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2025</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039"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3,713,833</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013"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(1,264,673</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273"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094"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1,177,155</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05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(129,789</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219"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402"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63</w:t>
            </w:r>
          </w:p>
        </w:tc>
        <w:tc>
          <w:tcPr>
            <w:tcW w:w="17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310"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54</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31"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13,425</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600"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67.6</w:t>
            </w:r>
          </w:p>
        </w:tc>
        <w:tc>
          <w:tcPr>
            <w:tcW w:w="19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3,646,527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5,891,418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1,226,372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05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1,779,928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107</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41,363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101.3</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2023</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039"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2,305,721</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013"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694,299</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094"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765,141</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05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521,907</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402"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73</w:t>
            </w:r>
          </w:p>
        </w:tc>
        <w:tc>
          <w:tcPr>
            <w:tcW w:w="17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310"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71</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31"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36,876</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600"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95.2</w:t>
            </w:r>
          </w:p>
        </w:tc>
        <w:tc>
          <w:tcPr>
            <w:tcW w:w="19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2,821,898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1,725,797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836,695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05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344,465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80</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194,494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300.9</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40"/>
        <w:jc w:val="both"/>
        <w:rPr>
          <w:rFonts w:ascii="Times New Roman" w:hAnsi="Times New Roman"/>
          <w:sz w:val="20"/>
        </w:rPr>
      </w:pPr>
      <w:r>
        <w:rPr>
          <w:rFonts w:ascii="Arial" w:hAnsi="Arial"/>
          <w:color w:val="000000"/>
          <w:sz w:val="16"/>
        </w:rPr>
        <w:t>1. Mark P. Smith</w:t>
      </w:r>
      <w:r>
        <w:rPr>
          <w:rFonts w:ascii="Times New Roman" w:hAnsi="Times New Roman"/>
          <w:color w:val="000000"/>
          <w:sz w:val="20"/>
        </w:rPr>
        <w:t xml:space="preserve"> </w:t>
      </w:r>
      <w:r>
        <w:rPr>
          <w:rFonts w:ascii="Arial" w:hAnsi="Arial"/>
          <w:color w:val="000000"/>
          <w:sz w:val="16"/>
        </w:rPr>
        <w:t>served as our Chief Executive Officer for each year presented. The</w:t>
      </w:r>
      <w:r>
        <w:rPr>
          <w:rFonts w:ascii="Times New Roman" w:hAnsi="Times New Roman"/>
          <w:color w:val="000000"/>
          <w:sz w:val="20"/>
        </w:rPr>
        <w:t xml:space="preserve"> </w:t>
      </w:r>
      <w:r>
        <w:rPr>
          <w:rFonts w:ascii="Arial" w:hAnsi="Arial"/>
          <w:color w:val="000000"/>
          <w:sz w:val="16"/>
        </w:rPr>
        <w:t>individuals comprising the Non-PEO NEOs for each year presented are listed below.</w:t>
      </w:r>
    </w:p>
    <w:tbl>
      <w:tblPr>
        <w:tblW w:w="8315" w:type="dxa"/>
        <w:jc w:val="left"/>
        <w:tblInd w:w="0" w:type="dxa"/>
        <w:tblLayout w:type="fixed"/>
        <w:tblCellMar>
          <w:top w:w="28" w:type="dxa"/>
          <w:left w:w="28" w:type="dxa"/>
          <w:bottom w:w="28" w:type="dxa"/>
          <w:right w:w="28" w:type="dxa"/>
        </w:tblCellMar>
      </w:tblPr>
      <w:tblGrid>
        <w:gridCol w:w="1666"/>
        <w:gridCol w:w="1651"/>
        <w:gridCol w:w="1651"/>
        <w:gridCol w:w="1651"/>
        <w:gridCol w:w="1696"/>
      </w:tblGrid>
      <w:tr>
        <w:trPr/>
        <w:tc>
          <w:tcPr>
            <w:tcW w:w="1666"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r>
      <w:tr>
        <w:trPr/>
        <w:tc>
          <w:tcPr>
            <w:tcW w:w="1666" w:type="dxa"/>
            <w:tcBorders/>
            <w:shd w:fill="002668" w:val="clear"/>
            <w:tcMar>
              <w:top w:w="0" w:type="dxa"/>
              <w:left w:w="0" w:type="dxa"/>
              <w:bottom w:w="0" w:type="dxa"/>
              <w:right w:w="0" w:type="dxa"/>
            </w:tcMar>
            <w:vAlign w:val="center"/>
          </w:tcPr>
          <w:p>
            <w:pPr>
              <w:pStyle w:val="TableContents"/>
              <w:bidi w:val="0"/>
              <w:spacing w:before="0" w:after="283"/>
              <w:jc w:val="center"/>
              <w:rPr>
                <w:rFonts w:ascii="Arial" w:hAnsi="Arial"/>
                <w:b/>
                <w:color w:val="FFFFFF"/>
                <w:sz w:val="16"/>
              </w:rPr>
            </w:pPr>
            <w:r>
              <w:rPr>
                <w:rFonts w:ascii="Arial" w:hAnsi="Arial"/>
                <w:b/>
                <w:color w:val="FFFFFF"/>
                <w:sz w:val="16"/>
              </w:rPr>
              <w:t>2022</w:t>
            </w:r>
          </w:p>
        </w:tc>
        <w:tc>
          <w:tcPr>
            <w:tcW w:w="1651" w:type="dxa"/>
            <w:tcBorders/>
            <w:shd w:fill="002668" w:val="clear"/>
            <w:tcMar>
              <w:top w:w="0" w:type="dxa"/>
              <w:left w:w="0" w:type="dxa"/>
              <w:bottom w:w="0" w:type="dxa"/>
              <w:right w:w="0" w:type="dxa"/>
            </w:tcMar>
            <w:vAlign w:val="center"/>
          </w:tcPr>
          <w:p>
            <w:pPr>
              <w:pStyle w:val="TableContents"/>
              <w:bidi w:val="0"/>
              <w:spacing w:before="0" w:after="283"/>
              <w:jc w:val="center"/>
              <w:rPr>
                <w:rFonts w:ascii="Arial" w:hAnsi="Arial"/>
                <w:b/>
                <w:color w:val="FFFFFF"/>
                <w:sz w:val="16"/>
              </w:rPr>
            </w:pPr>
            <w:r>
              <w:rPr>
                <w:rFonts w:ascii="Arial" w:hAnsi="Arial"/>
                <w:b/>
                <w:color w:val="FFFFFF"/>
                <w:sz w:val="16"/>
              </w:rPr>
              <w:t>2023</w:t>
            </w:r>
          </w:p>
        </w:tc>
        <w:tc>
          <w:tcPr>
            <w:tcW w:w="1651" w:type="dxa"/>
            <w:tcBorders/>
            <w:shd w:fill="002668" w:val="clear"/>
            <w:tcMar>
              <w:top w:w="0" w:type="dxa"/>
              <w:left w:w="0" w:type="dxa"/>
              <w:bottom w:w="0" w:type="dxa"/>
              <w:right w:w="0" w:type="dxa"/>
            </w:tcMar>
            <w:vAlign w:val="center"/>
          </w:tcPr>
          <w:p>
            <w:pPr>
              <w:pStyle w:val="TableContents"/>
              <w:bidi w:val="0"/>
              <w:spacing w:before="0" w:after="283"/>
              <w:jc w:val="center"/>
              <w:rPr>
                <w:rFonts w:ascii="Arial" w:hAnsi="Arial"/>
                <w:b/>
                <w:color w:val="FFFFFF"/>
                <w:sz w:val="16"/>
              </w:rPr>
            </w:pPr>
            <w:r>
              <w:rPr>
                <w:rFonts w:ascii="Arial" w:hAnsi="Arial"/>
                <w:b/>
                <w:color w:val="FFFFFF"/>
                <w:sz w:val="16"/>
              </w:rPr>
              <w:t>2024</w:t>
            </w:r>
          </w:p>
        </w:tc>
        <w:tc>
          <w:tcPr>
            <w:tcW w:w="1651" w:type="dxa"/>
            <w:tcBorders/>
            <w:shd w:fill="002668" w:val="clear"/>
            <w:tcMar>
              <w:top w:w="0" w:type="dxa"/>
              <w:left w:w="0" w:type="dxa"/>
              <w:bottom w:w="0" w:type="dxa"/>
              <w:right w:w="0" w:type="dxa"/>
            </w:tcMar>
            <w:vAlign w:val="center"/>
          </w:tcPr>
          <w:p>
            <w:pPr>
              <w:pStyle w:val="TableContents"/>
              <w:bidi w:val="0"/>
              <w:spacing w:before="0" w:after="283"/>
              <w:jc w:val="center"/>
              <w:rPr>
                <w:rFonts w:ascii="Arial" w:hAnsi="Arial"/>
                <w:b/>
                <w:color w:val="FFFFFF"/>
                <w:sz w:val="16"/>
              </w:rPr>
            </w:pPr>
            <w:r>
              <w:rPr>
                <w:rFonts w:ascii="Arial" w:hAnsi="Arial"/>
                <w:b/>
                <w:color w:val="FFFFFF"/>
                <w:sz w:val="16"/>
              </w:rPr>
              <w:t>2025</w:t>
            </w:r>
          </w:p>
        </w:tc>
        <w:tc>
          <w:tcPr>
            <w:tcW w:w="1696" w:type="dxa"/>
            <w:tcBorders/>
            <w:shd w:fill="002668" w:val="clear"/>
            <w:tcMar>
              <w:top w:w="0" w:type="dxa"/>
              <w:left w:w="0" w:type="dxa"/>
              <w:bottom w:w="0" w:type="dxa"/>
              <w:right w:w="0" w:type="dxa"/>
            </w:tcMar>
            <w:vAlign w:val="center"/>
          </w:tcPr>
          <w:p>
            <w:pPr>
              <w:pStyle w:val="TableContents"/>
              <w:bidi w:val="0"/>
              <w:spacing w:before="0" w:after="283"/>
              <w:jc w:val="center"/>
              <w:rPr>
                <w:rFonts w:ascii="Arial" w:hAnsi="Arial"/>
                <w:b/>
                <w:color w:val="FFFFFF"/>
                <w:sz w:val="16"/>
              </w:rPr>
            </w:pPr>
            <w:r>
              <w:rPr>
                <w:rFonts w:ascii="Arial" w:hAnsi="Arial"/>
                <w:b/>
                <w:color w:val="FFFFFF"/>
                <w:sz w:val="16"/>
              </w:rPr>
              <w:t>2026</w:t>
            </w:r>
          </w:p>
        </w:tc>
      </w:tr>
      <w:tr>
        <w:trPr/>
        <w:tc>
          <w:tcPr>
            <w:tcW w:w="1666" w:type="dxa"/>
            <w:tcBorders/>
            <w:shd w:fill="D9D9D9"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Deana L. McPherson</w:t>
            </w:r>
          </w:p>
        </w:tc>
        <w:tc>
          <w:tcPr>
            <w:tcW w:w="1651" w:type="dxa"/>
            <w:tcBorders/>
            <w:shd w:fill="D9D9D9"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Deana L. McPherson</w:t>
            </w:r>
          </w:p>
        </w:tc>
        <w:tc>
          <w:tcPr>
            <w:tcW w:w="1651" w:type="dxa"/>
            <w:tcBorders/>
            <w:shd w:fill="D9D9D9"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Deana L. McPherson</w:t>
            </w:r>
          </w:p>
        </w:tc>
        <w:tc>
          <w:tcPr>
            <w:tcW w:w="1651" w:type="dxa"/>
            <w:tcBorders/>
            <w:shd w:fill="D9D9D9"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Deana L. McPherson</w:t>
            </w:r>
          </w:p>
        </w:tc>
        <w:tc>
          <w:tcPr>
            <w:tcW w:w="1696" w:type="dxa"/>
            <w:tcBorders/>
            <w:shd w:fill="D9D9D9"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Deana L. McPherson</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Kevin A. Maxwell</w:t>
            </w:r>
          </w:p>
        </w:tc>
        <w:tc>
          <w:tcPr>
            <w:tcW w:w="165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Kevin A. Maxwell</w:t>
            </w:r>
          </w:p>
        </w:tc>
        <w:tc>
          <w:tcPr>
            <w:tcW w:w="165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Kevin A. Maxwell</w:t>
            </w:r>
          </w:p>
        </w:tc>
        <w:tc>
          <w:tcPr>
            <w:tcW w:w="165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Kevin A. Maxwell</w:t>
            </w:r>
          </w:p>
        </w:tc>
        <w:tc>
          <w:tcPr>
            <w:tcW w:w="169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Kevin A. Maxwell</w:t>
            </w:r>
          </w:p>
        </w:tc>
      </w:tr>
      <w:tr>
        <w:trPr/>
        <w:tc>
          <w:tcPr>
            <w:tcW w:w="1666" w:type="dxa"/>
            <w:tcBorders/>
            <w:shd w:fill="D9D9D9"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Susan J. Cupero</w:t>
            </w:r>
          </w:p>
        </w:tc>
        <w:tc>
          <w:tcPr>
            <w:tcW w:w="1651" w:type="dxa"/>
            <w:tcBorders/>
            <w:shd w:fill="D9D9D9"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Susan J. Cupero</w:t>
            </w:r>
          </w:p>
        </w:tc>
        <w:tc>
          <w:tcPr>
            <w:tcW w:w="1651" w:type="dxa"/>
            <w:tcBorders/>
            <w:shd w:fill="D9D9D9"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Susan J. Cupero</w:t>
            </w:r>
          </w:p>
        </w:tc>
        <w:tc>
          <w:tcPr>
            <w:tcW w:w="1651" w:type="dxa"/>
            <w:tcBorders/>
            <w:shd w:fill="D9D9D9"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Susan J. Cupero</w:t>
            </w:r>
          </w:p>
        </w:tc>
        <w:tc>
          <w:tcPr>
            <w:tcW w:w="1696" w:type="dxa"/>
            <w:tcBorders/>
            <w:shd w:fill="D9D9D9"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Susan J. Cupero</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Robert. J. Cicero</w:t>
            </w:r>
          </w:p>
        </w:tc>
        <w:tc>
          <w:tcPr>
            <w:tcW w:w="1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Kyle O. Tengwall</w:t>
            </w:r>
          </w:p>
        </w:tc>
      </w:tr>
    </w:tbl>
    <w:p>
      <w:pPr>
        <w:pStyle w:val="TextBody"/>
        <w:bidi w:val="0"/>
        <w:spacing w:before="240" w:after="240"/>
        <w:jc w:val="both"/>
        <w:rPr>
          <w:rFonts w:ascii="Arial" w:hAnsi="Arial"/>
          <w:color w:val="000000"/>
          <w:sz w:val="16"/>
        </w:rPr>
      </w:pPr>
      <w:r>
        <w:rPr>
          <w:rFonts w:ascii="Arial" w:hAnsi="Arial"/>
          <w:color w:val="000000"/>
          <w:sz w:val="16"/>
        </w:rPr>
        <w:t>2. The amounts shown for Compensation Actually Paid have been calculated in accordance with Item 402(v) of Regulation S-K and do not reflect compensation actually earned, realized, or received by our NEOs. These amounts reflect the Summary Compensation Table Total with certain adjustments as described in footnote 3 below.</w:t>
      </w:r>
    </w:p>
    <w:p>
      <w:pPr>
        <w:pStyle w:val="TextBody"/>
        <w:bidi w:val="0"/>
        <w:jc w:val="left"/>
        <w:rPr/>
      </w:pPr>
      <w:r>
        <w:rPr/>
        <w:t> </w:t>
      </w:r>
    </w:p>
    <w:tbl>
      <w:tblPr>
        <w:tblW w:w="3702" w:type="dxa"/>
        <w:jc w:val="left"/>
        <w:tblInd w:w="0" w:type="dxa"/>
        <w:tblLayout w:type="fixed"/>
        <w:tblCellMar>
          <w:top w:w="28" w:type="dxa"/>
          <w:left w:w="28" w:type="dxa"/>
          <w:bottom w:w="28" w:type="dxa"/>
          <w:right w:w="28" w:type="dxa"/>
        </w:tblCellMar>
      </w:tblPr>
      <w:tblGrid>
        <w:gridCol w:w="2266"/>
        <w:gridCol w:w="1436"/>
      </w:tblGrid>
      <w:tr>
        <w:trPr/>
        <w:tc>
          <w:tcPr>
            <w:tcW w:w="2266"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2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91F2C"/>
                <w:sz w:val="18"/>
              </w:rPr>
              <w:t>37</w:t>
            </w:r>
            <w:r>
              <w:rPr>
                <w:rFonts w:ascii="Times New Roman" w:hAnsi="Times New Roman"/>
                <w:color w:val="091F2C"/>
                <w:sz w:val="18"/>
              </w:rPr>
              <w:t> </w:t>
            </w:r>
            <w:r>
              <w:rPr>
                <w:rFonts w:ascii="Arial" w:hAnsi="Arial"/>
                <w:color w:val="091F2C"/>
                <w:sz w:val="18"/>
              </w:rPr>
              <w:t>I 2026 Proxy Statement</w:t>
            </w:r>
          </w:p>
        </w:tc>
        <w:tc>
          <w:tcPr>
            <w:tcW w:w="143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828675" cy="190500"/>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828675" cy="190500"/>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2277" w:type="dxa"/>
        <w:jc w:val="left"/>
        <w:tblInd w:w="0" w:type="dxa"/>
        <w:tblLayout w:type="fixed"/>
        <w:tblCellMar>
          <w:top w:w="28" w:type="dxa"/>
          <w:left w:w="28" w:type="dxa"/>
          <w:bottom w:w="28" w:type="dxa"/>
          <w:right w:w="28" w:type="dxa"/>
        </w:tblCellMar>
      </w:tblPr>
      <w:tblGrid>
        <w:gridCol w:w="2086"/>
        <w:gridCol w:w="191"/>
      </w:tblGrid>
      <w:tr>
        <w:trPr/>
        <w:tc>
          <w:tcPr>
            <w:tcW w:w="20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86" w:type="dxa"/>
            <w:tcBorders/>
            <w:tcMar>
              <w:top w:w="0" w:type="dxa"/>
              <w:left w:w="0" w:type="dxa"/>
              <w:bottom w:w="0" w:type="dxa"/>
              <w:right w:w="0" w:type="dxa"/>
            </w:tcMar>
            <w:vAlign w:val="center"/>
          </w:tcPr>
          <w:p>
            <w:pPr>
              <w:pStyle w:val="TableContents"/>
              <w:bidi w:val="0"/>
              <w:spacing w:before="0" w:after="283"/>
              <w:jc w:val="left"/>
              <w:rPr>
                <w:rFonts w:ascii="Arial" w:hAnsi="Arial"/>
                <w:color w:val="002668"/>
                <w:sz w:val="20"/>
              </w:rPr>
            </w:pPr>
            <w:r>
              <w:rPr>
                <w:rFonts w:ascii="Arial" w:hAnsi="Arial"/>
                <w:color w:val="002668"/>
                <w:sz w:val="20"/>
              </w:rPr>
              <w:t>Compensation Matters</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bottom w:val="single" w:sz="8" w:space="0" w:color="002668"/>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40"/>
        <w:jc w:val="both"/>
        <w:rPr>
          <w:rFonts w:ascii="Times New Roman" w:hAnsi="Times New Roman"/>
          <w:sz w:val="20"/>
        </w:rPr>
      </w:pPr>
      <w:r>
        <w:rPr>
          <w:rFonts w:ascii="Arial" w:hAnsi="Arial"/>
          <w:color w:val="000000"/>
          <w:sz w:val="16"/>
        </w:rPr>
        <w:t>3. Compensation Actually Paid reflects the exclusions and inclusions of certain amounts for the PEOs and the Non-PEO NEOs as set forth below. Equity values are calculated in accordance with FASB ASC Topic 718. Amounts in the Exclusion of Stock Awards column are the amounts from the Stock Awards columns set forth in the Summary Compensation Table.</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161"/>
        <w:gridCol w:w="466"/>
        <w:gridCol w:w="146"/>
        <w:gridCol w:w="462"/>
        <w:gridCol w:w="1958"/>
        <w:gridCol w:w="146"/>
        <w:gridCol w:w="373"/>
        <w:gridCol w:w="1688"/>
        <w:gridCol w:w="166"/>
        <w:gridCol w:w="370"/>
        <w:gridCol w:w="1674"/>
        <w:gridCol w:w="166"/>
        <w:gridCol w:w="401"/>
        <w:gridCol w:w="1815"/>
        <w:gridCol w:w="213"/>
      </w:tblGrid>
      <w:tr>
        <w:trPr/>
        <w:tc>
          <w:tcPr>
            <w:tcW w:w="16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9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6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81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627" w:type="dxa"/>
            <w:gridSpan w:val="2"/>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rFonts w:ascii="Arial" w:hAnsi="Arial"/>
                <w:b/>
                <w:color w:val="FFFFFF"/>
                <w:sz w:val="16"/>
              </w:rPr>
            </w:pPr>
            <w:r>
              <w:rPr>
                <w:rFonts w:ascii="Arial" w:hAnsi="Arial"/>
                <w:b/>
                <w:color w:val="FFFFFF"/>
                <w:sz w:val="16"/>
              </w:rPr>
              <w:t>Year</w:t>
            </w:r>
          </w:p>
        </w:tc>
        <w:tc>
          <w:tcPr>
            <w:tcW w:w="14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pPr>
            <w:r>
              <w:rPr/>
              <w:t> </w:t>
            </w:r>
          </w:p>
        </w:tc>
        <w:tc>
          <w:tcPr>
            <w:tcW w:w="2420" w:type="dxa"/>
            <w:gridSpan w:val="2"/>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rFonts w:ascii="Arial" w:hAnsi="Arial"/>
                <w:b/>
                <w:color w:val="FFFFFF"/>
                <w:sz w:val="16"/>
              </w:rPr>
            </w:pPr>
            <w:r>
              <w:rPr>
                <w:rFonts w:ascii="Arial" w:hAnsi="Arial"/>
                <w:b/>
                <w:color w:val="FFFFFF"/>
                <w:sz w:val="16"/>
              </w:rPr>
              <w:t>Summary Compensation Table Total for Mark P. Smith</w:t>
              <w:br/>
              <w:t>($)</w:t>
            </w:r>
          </w:p>
        </w:tc>
        <w:tc>
          <w:tcPr>
            <w:tcW w:w="14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pPr>
            <w:r>
              <w:rPr/>
              <w:t> </w:t>
            </w:r>
          </w:p>
        </w:tc>
        <w:tc>
          <w:tcPr>
            <w:tcW w:w="2061" w:type="dxa"/>
            <w:gridSpan w:val="2"/>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rFonts w:ascii="Arial" w:hAnsi="Arial"/>
                <w:b/>
                <w:color w:val="FFFFFF"/>
                <w:sz w:val="16"/>
              </w:rPr>
            </w:pPr>
            <w:r>
              <w:rPr>
                <w:rFonts w:ascii="Arial" w:hAnsi="Arial"/>
                <w:b/>
                <w:color w:val="FFFFFF"/>
                <w:sz w:val="16"/>
              </w:rPr>
              <w:t>Exclusion of Stock Awards for Mark P. Smith</w:t>
              <w:br/>
              <w:t>($)</w:t>
            </w:r>
          </w:p>
        </w:tc>
        <w:tc>
          <w:tcPr>
            <w:tcW w:w="16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pPr>
            <w:r>
              <w:rPr/>
              <w:t> </w:t>
            </w:r>
          </w:p>
        </w:tc>
        <w:tc>
          <w:tcPr>
            <w:tcW w:w="2044" w:type="dxa"/>
            <w:gridSpan w:val="2"/>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rFonts w:ascii="Arial" w:hAnsi="Arial"/>
                <w:b/>
                <w:color w:val="FFFFFF"/>
                <w:sz w:val="16"/>
              </w:rPr>
            </w:pPr>
            <w:r>
              <w:rPr>
                <w:rFonts w:ascii="Arial" w:hAnsi="Arial"/>
                <w:b/>
                <w:color w:val="FFFFFF"/>
                <w:sz w:val="16"/>
              </w:rPr>
              <w:t>Inclusion of Equity Values for Mark P. Smith</w:t>
              <w:br/>
              <w:t>($)</w:t>
            </w:r>
          </w:p>
        </w:tc>
        <w:tc>
          <w:tcPr>
            <w:tcW w:w="16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pPr>
            <w:r>
              <w:rPr/>
              <w:t> </w:t>
            </w:r>
          </w:p>
        </w:tc>
        <w:tc>
          <w:tcPr>
            <w:tcW w:w="2216" w:type="dxa"/>
            <w:gridSpan w:val="2"/>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rFonts w:ascii="Arial" w:hAnsi="Arial"/>
                <w:b/>
                <w:color w:val="FFFFFF"/>
                <w:sz w:val="16"/>
              </w:rPr>
            </w:pPr>
            <w:r>
              <w:rPr>
                <w:rFonts w:ascii="Arial" w:hAnsi="Arial"/>
                <w:b/>
                <w:color w:val="FFFFFF"/>
                <w:sz w:val="16"/>
              </w:rPr>
              <w:t>Compensation Actually Paid to Mark P. Smith</w:t>
              <w:br/>
              <w:t>($)</w:t>
            </w:r>
          </w:p>
        </w:tc>
        <w:tc>
          <w:tcPr>
            <w:tcW w:w="213"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9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4,671,940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6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(2,574,305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67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6,820,791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8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8,918,426</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2025</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958"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3,713,833</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688"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(2,680,052</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370"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674"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(2,298,454</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0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815"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(1,264,673</w:t>
            </w:r>
          </w:p>
        </w:tc>
        <w:tc>
          <w:tcPr>
            <w:tcW w:w="213"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9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3,646,527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6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(2,072,864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67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4,317,755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8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5,891,418</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2023</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958"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2,305,721</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688"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(1,502,872</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370"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674"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(108,550</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0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815"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694,299</w:t>
            </w:r>
          </w:p>
        </w:tc>
        <w:tc>
          <w:tcPr>
            <w:tcW w:w="21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9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2,821,898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6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(1,371,850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67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275,749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8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1,725,797</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7" w:type="dxa"/>
            <w:gridSpan w:val="2"/>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rFonts w:ascii="Arial" w:hAnsi="Arial"/>
                <w:b/>
                <w:color w:val="FFFFFF"/>
                <w:sz w:val="16"/>
              </w:rPr>
            </w:pPr>
            <w:r>
              <w:rPr>
                <w:rFonts w:ascii="Arial" w:hAnsi="Arial"/>
                <w:b/>
                <w:color w:val="FFFFFF"/>
                <w:sz w:val="16"/>
              </w:rPr>
              <w:t>Year</w:t>
            </w:r>
          </w:p>
        </w:tc>
        <w:tc>
          <w:tcPr>
            <w:tcW w:w="14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pPr>
            <w:r>
              <w:rPr/>
              <w:t> </w:t>
            </w:r>
          </w:p>
        </w:tc>
        <w:tc>
          <w:tcPr>
            <w:tcW w:w="2420" w:type="dxa"/>
            <w:gridSpan w:val="2"/>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rFonts w:ascii="Arial" w:hAnsi="Arial"/>
                <w:b/>
                <w:color w:val="FFFFFF"/>
                <w:sz w:val="16"/>
              </w:rPr>
            </w:pPr>
            <w:r>
              <w:rPr>
                <w:rFonts w:ascii="Arial" w:hAnsi="Arial"/>
                <w:b/>
                <w:color w:val="FFFFFF"/>
                <w:sz w:val="16"/>
              </w:rPr>
              <w:t>Average Summary Compensation Table Total for Non-PEO NEOs</w:t>
              <w:br/>
              <w:t>($)</w:t>
            </w:r>
          </w:p>
        </w:tc>
        <w:tc>
          <w:tcPr>
            <w:tcW w:w="14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pPr>
            <w:r>
              <w:rPr/>
              <w:t> </w:t>
            </w:r>
          </w:p>
        </w:tc>
        <w:tc>
          <w:tcPr>
            <w:tcW w:w="2061" w:type="dxa"/>
            <w:gridSpan w:val="2"/>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rFonts w:ascii="Arial" w:hAnsi="Arial"/>
                <w:b/>
                <w:color w:val="FFFFFF"/>
                <w:sz w:val="16"/>
              </w:rPr>
            </w:pPr>
            <w:r>
              <w:rPr>
                <w:rFonts w:ascii="Arial" w:hAnsi="Arial"/>
                <w:b/>
                <w:color w:val="FFFFFF"/>
                <w:sz w:val="16"/>
              </w:rPr>
              <w:t>Average Exclusion of Stock Awards for Non-PEO NEOs</w:t>
              <w:br/>
              <w:t>($)</w:t>
            </w:r>
          </w:p>
        </w:tc>
        <w:tc>
          <w:tcPr>
            <w:tcW w:w="16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pPr>
            <w:r>
              <w:rPr/>
              <w:t> </w:t>
            </w:r>
          </w:p>
        </w:tc>
        <w:tc>
          <w:tcPr>
            <w:tcW w:w="2044" w:type="dxa"/>
            <w:gridSpan w:val="2"/>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rFonts w:ascii="Arial" w:hAnsi="Arial"/>
                <w:b/>
                <w:color w:val="FFFFFF"/>
                <w:sz w:val="16"/>
              </w:rPr>
            </w:pPr>
            <w:r>
              <w:rPr>
                <w:rFonts w:ascii="Arial" w:hAnsi="Arial"/>
                <w:b/>
                <w:color w:val="FFFFFF"/>
                <w:sz w:val="16"/>
              </w:rPr>
              <w:t>Average Inclusion of Equity Values for Non-PEO NEOs</w:t>
              <w:br/>
              <w:t>($)</w:t>
            </w:r>
          </w:p>
        </w:tc>
        <w:tc>
          <w:tcPr>
            <w:tcW w:w="16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pPr>
            <w:r>
              <w:rPr/>
              <w:t> </w:t>
            </w:r>
          </w:p>
        </w:tc>
        <w:tc>
          <w:tcPr>
            <w:tcW w:w="2216" w:type="dxa"/>
            <w:gridSpan w:val="2"/>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rFonts w:ascii="Arial" w:hAnsi="Arial"/>
                <w:b/>
                <w:color w:val="FFFFFF"/>
                <w:sz w:val="16"/>
              </w:rPr>
            </w:pPr>
            <w:r>
              <w:rPr>
                <w:rFonts w:ascii="Arial" w:hAnsi="Arial"/>
                <w:b/>
                <w:color w:val="FFFFFF"/>
                <w:sz w:val="16"/>
              </w:rPr>
              <w:t>Average Compensation Actually Paid to Non-PEO NEOs</w:t>
              <w:br/>
              <w:t>($)</w:t>
            </w:r>
          </w:p>
        </w:tc>
        <w:tc>
          <w:tcPr>
            <w:tcW w:w="213"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9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1,202,345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6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(484,493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67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1,184,190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8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1,902,042</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2025</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958"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1,177,155</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688"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(654,041</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370"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674"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(652,903</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0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815"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(129,789</w:t>
            </w:r>
          </w:p>
        </w:tc>
        <w:tc>
          <w:tcPr>
            <w:tcW w:w="213"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9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1,226,372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6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(493,533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67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1,047,089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8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1,779,928</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2023</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958"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765,141</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688"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(367,134</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370"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674"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123,900</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815"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521,907</w:t>
            </w:r>
          </w:p>
        </w:tc>
        <w:tc>
          <w:tcPr>
            <w:tcW w:w="21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9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836,695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6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(351,308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67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(140,922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8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344,465</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40"/>
        <w:jc w:val="both"/>
        <w:rPr>
          <w:rFonts w:ascii="Arial" w:hAnsi="Arial"/>
          <w:color w:val="000000"/>
          <w:sz w:val="20"/>
        </w:rPr>
      </w:pPr>
      <w:r>
        <w:rPr>
          <w:rFonts w:ascii="Arial" w:hAnsi="Arial"/>
          <w:color w:val="000000"/>
          <w:sz w:val="20"/>
        </w:rPr>
        <w:t>The amounts in the Inclusion of Equity Values in the tables above are derived from the amounts set forth in the following tables:</w:t>
      </w:r>
    </w:p>
    <w:tbl>
      <w:tblPr>
        <w:tblW w:w="10205" w:type="dxa"/>
        <w:jc w:val="left"/>
        <w:tblInd w:w="0" w:type="dxa"/>
        <w:tblLayout w:type="fixed"/>
        <w:tblCellMar>
          <w:top w:w="28" w:type="dxa"/>
          <w:left w:w="28" w:type="dxa"/>
          <w:bottom w:w="28" w:type="dxa"/>
          <w:right w:w="28" w:type="dxa"/>
        </w:tblCellMar>
      </w:tblPr>
      <w:tblGrid>
        <w:gridCol w:w="161"/>
        <w:gridCol w:w="466"/>
        <w:gridCol w:w="146"/>
        <w:gridCol w:w="263"/>
        <w:gridCol w:w="1109"/>
        <w:gridCol w:w="146"/>
        <w:gridCol w:w="252"/>
        <w:gridCol w:w="1143"/>
        <w:gridCol w:w="166"/>
        <w:gridCol w:w="436"/>
        <w:gridCol w:w="771"/>
        <w:gridCol w:w="146"/>
        <w:gridCol w:w="292"/>
        <w:gridCol w:w="897"/>
        <w:gridCol w:w="166"/>
        <w:gridCol w:w="340"/>
        <w:gridCol w:w="603"/>
        <w:gridCol w:w="146"/>
        <w:gridCol w:w="382"/>
        <w:gridCol w:w="675"/>
        <w:gridCol w:w="146"/>
        <w:gridCol w:w="205"/>
        <w:gridCol w:w="929"/>
        <w:gridCol w:w="219"/>
      </w:tblGrid>
      <w:tr>
        <w:trPr/>
        <w:tc>
          <w:tcPr>
            <w:tcW w:w="16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627" w:type="dxa"/>
            <w:gridSpan w:val="2"/>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rFonts w:ascii="Arial" w:hAnsi="Arial"/>
                <w:b/>
                <w:color w:val="FFFFFF"/>
                <w:sz w:val="14"/>
              </w:rPr>
            </w:pPr>
            <w:r>
              <w:rPr>
                <w:rFonts w:ascii="Arial" w:hAnsi="Arial"/>
                <w:b/>
                <w:color w:val="FFFFFF"/>
                <w:sz w:val="14"/>
              </w:rPr>
              <w:t>Year</w:t>
            </w:r>
          </w:p>
        </w:tc>
        <w:tc>
          <w:tcPr>
            <w:tcW w:w="14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pPr>
            <w:r>
              <w:rPr/>
              <w:t> </w:t>
            </w:r>
          </w:p>
        </w:tc>
        <w:tc>
          <w:tcPr>
            <w:tcW w:w="1372" w:type="dxa"/>
            <w:gridSpan w:val="2"/>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rFonts w:ascii="Arial" w:hAnsi="Arial"/>
                <w:b/>
                <w:color w:val="FFFFFF"/>
                <w:sz w:val="14"/>
              </w:rPr>
            </w:pPr>
            <w:r>
              <w:rPr>
                <w:rFonts w:ascii="Arial" w:hAnsi="Arial"/>
                <w:b/>
                <w:color w:val="FFFFFF"/>
                <w:sz w:val="14"/>
              </w:rPr>
              <w:t>Year-End Fair Value of Equity Awards Granted During Year That Remained Unvested as of Last Day of Year for Mark P. Smith</w:t>
              <w:br/>
              <w:t>($)</w:t>
            </w:r>
          </w:p>
        </w:tc>
        <w:tc>
          <w:tcPr>
            <w:tcW w:w="14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pPr>
            <w:r>
              <w:rPr/>
              <w:t> </w:t>
            </w:r>
          </w:p>
        </w:tc>
        <w:tc>
          <w:tcPr>
            <w:tcW w:w="1395" w:type="dxa"/>
            <w:gridSpan w:val="2"/>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rFonts w:ascii="Arial" w:hAnsi="Arial"/>
                <w:b/>
                <w:color w:val="FFFFFF"/>
                <w:sz w:val="14"/>
              </w:rPr>
            </w:pPr>
            <w:r>
              <w:rPr>
                <w:rFonts w:ascii="Arial" w:hAnsi="Arial"/>
                <w:b/>
                <w:color w:val="FFFFFF"/>
                <w:sz w:val="14"/>
              </w:rPr>
              <w:t>Change in Fair Value from Last Day of Prior Year to Last Day of Year of Unvested Equity Awards for Mark P. Smith</w:t>
              <w:br/>
              <w:t>($)</w:t>
            </w:r>
          </w:p>
        </w:tc>
        <w:tc>
          <w:tcPr>
            <w:tcW w:w="16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pPr>
            <w:r>
              <w:rPr/>
              <w:t> </w:t>
            </w:r>
          </w:p>
        </w:tc>
        <w:tc>
          <w:tcPr>
            <w:tcW w:w="1207" w:type="dxa"/>
            <w:gridSpan w:val="2"/>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rFonts w:ascii="Arial" w:hAnsi="Arial"/>
                <w:b/>
                <w:color w:val="FFFFFF"/>
                <w:sz w:val="14"/>
              </w:rPr>
            </w:pPr>
            <w:r>
              <w:rPr>
                <w:rFonts w:ascii="Arial" w:hAnsi="Arial"/>
                <w:b/>
                <w:color w:val="FFFFFF"/>
                <w:sz w:val="14"/>
              </w:rPr>
              <w:t>Vesting-Date Fair Value of Equity Awards Granted During Year that Vested During Year for Mark P. Smith</w:t>
              <w:br/>
              <w:t>($)</w:t>
            </w:r>
          </w:p>
        </w:tc>
        <w:tc>
          <w:tcPr>
            <w:tcW w:w="14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pPr>
            <w:r>
              <w:rPr/>
              <w:t> </w:t>
            </w:r>
          </w:p>
        </w:tc>
        <w:tc>
          <w:tcPr>
            <w:tcW w:w="1189" w:type="dxa"/>
            <w:gridSpan w:val="2"/>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rFonts w:ascii="Arial" w:hAnsi="Arial"/>
                <w:b/>
                <w:color w:val="FFFFFF"/>
                <w:sz w:val="14"/>
              </w:rPr>
            </w:pPr>
            <w:r>
              <w:rPr>
                <w:rFonts w:ascii="Arial" w:hAnsi="Arial"/>
                <w:b/>
                <w:color w:val="FFFFFF"/>
                <w:sz w:val="14"/>
              </w:rPr>
              <w:t>Change in Fair Value from Last Day of Prior Year to Vesting Date of Unvested Equity Awards that Vested During Year for Mark P. Smith</w:t>
              <w:br/>
              <w:t>($)</w:t>
            </w:r>
          </w:p>
        </w:tc>
        <w:tc>
          <w:tcPr>
            <w:tcW w:w="16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pPr>
            <w:r>
              <w:rPr/>
              <w:t> </w:t>
            </w:r>
          </w:p>
        </w:tc>
        <w:tc>
          <w:tcPr>
            <w:tcW w:w="943" w:type="dxa"/>
            <w:gridSpan w:val="2"/>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rFonts w:ascii="Arial" w:hAnsi="Arial"/>
                <w:b/>
                <w:color w:val="FFFFFF"/>
                <w:sz w:val="14"/>
              </w:rPr>
            </w:pPr>
            <w:r>
              <w:rPr>
                <w:rFonts w:ascii="Arial" w:hAnsi="Arial"/>
                <w:b/>
                <w:color w:val="FFFFFF"/>
                <w:sz w:val="14"/>
              </w:rPr>
              <w:t>Fair Value at Last Day of Prior Year of Equity Awards Forfeited During Year for Mark P. Smith</w:t>
              <w:br/>
              <w:t>($)</w:t>
            </w:r>
          </w:p>
        </w:tc>
        <w:tc>
          <w:tcPr>
            <w:tcW w:w="14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pPr>
            <w:r>
              <w:rPr/>
              <w:t> </w:t>
            </w:r>
          </w:p>
        </w:tc>
        <w:tc>
          <w:tcPr>
            <w:tcW w:w="1057" w:type="dxa"/>
            <w:gridSpan w:val="2"/>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rFonts w:ascii="Arial" w:hAnsi="Arial"/>
                <w:b/>
                <w:color w:val="FFFFFF"/>
                <w:sz w:val="14"/>
              </w:rPr>
            </w:pPr>
            <w:r>
              <w:rPr>
                <w:rFonts w:ascii="Arial" w:hAnsi="Arial"/>
                <w:b/>
                <w:color w:val="FFFFFF"/>
                <w:sz w:val="14"/>
              </w:rPr>
              <w:t>Value of Dividends or Other Earnings Paid on Equity Awards Not Otherwise Included for Mark P. Smith</w:t>
              <w:br/>
              <w:t>($)</w:t>
            </w:r>
          </w:p>
        </w:tc>
        <w:tc>
          <w:tcPr>
            <w:tcW w:w="14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pPr>
            <w:r>
              <w:rPr/>
              <w:t> </w:t>
            </w:r>
          </w:p>
        </w:tc>
        <w:tc>
          <w:tcPr>
            <w:tcW w:w="1134" w:type="dxa"/>
            <w:gridSpan w:val="2"/>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rFonts w:ascii="Arial" w:hAnsi="Arial"/>
                <w:b/>
                <w:color w:val="FFFFFF"/>
                <w:sz w:val="14"/>
              </w:rPr>
            </w:pPr>
            <w:r>
              <w:rPr>
                <w:rFonts w:ascii="Arial" w:hAnsi="Arial"/>
                <w:b/>
                <w:color w:val="FFFFFF"/>
                <w:sz w:val="14"/>
              </w:rPr>
              <w:t>Total - Inclusion of</w:t>
              <w:br/>
              <w:t>Equity Values for Mark P. Smith</w:t>
              <w:br/>
              <w:t>($)</w:t>
            </w:r>
          </w:p>
        </w:tc>
        <w:tc>
          <w:tcPr>
            <w:tcW w:w="219"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0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4,425,123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2,382,763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12,905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6,820,791</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2025</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09"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1,406,992</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43"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(3,710,269</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36"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71"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9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4,823</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3"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75"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29"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(2,298,454</w:t>
            </w:r>
          </w:p>
        </w:tc>
        <w:tc>
          <w:tcPr>
            <w:tcW w:w="219"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0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3,418,922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826,869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71,964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4,317,755</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2023</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09"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1,154,226</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43"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(1,258,255</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36"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71"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9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(4,521</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340"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3"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75"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29"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(108,550</w:t>
            </w:r>
          </w:p>
        </w:tc>
        <w:tc>
          <w:tcPr>
            <w:tcW w:w="219"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0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835,528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(562,497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275,749</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61"/>
        <w:gridCol w:w="466"/>
        <w:gridCol w:w="146"/>
        <w:gridCol w:w="273"/>
        <w:gridCol w:w="963"/>
        <w:gridCol w:w="146"/>
        <w:gridCol w:w="261"/>
        <w:gridCol w:w="1002"/>
        <w:gridCol w:w="166"/>
        <w:gridCol w:w="296"/>
        <w:gridCol w:w="911"/>
        <w:gridCol w:w="146"/>
        <w:gridCol w:w="282"/>
        <w:gridCol w:w="953"/>
        <w:gridCol w:w="166"/>
        <w:gridCol w:w="249"/>
        <w:gridCol w:w="956"/>
        <w:gridCol w:w="166"/>
        <w:gridCol w:w="382"/>
        <w:gridCol w:w="675"/>
        <w:gridCol w:w="146"/>
        <w:gridCol w:w="206"/>
        <w:gridCol w:w="869"/>
        <w:gridCol w:w="218"/>
      </w:tblGrid>
      <w:tr>
        <w:trPr/>
        <w:tc>
          <w:tcPr>
            <w:tcW w:w="16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627" w:type="dxa"/>
            <w:gridSpan w:val="2"/>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rFonts w:ascii="Arial" w:hAnsi="Arial"/>
                <w:b/>
                <w:color w:val="FFFFFF"/>
                <w:sz w:val="14"/>
              </w:rPr>
            </w:pPr>
            <w:r>
              <w:rPr>
                <w:rFonts w:ascii="Arial" w:hAnsi="Arial"/>
                <w:b/>
                <w:color w:val="FFFFFF"/>
                <w:sz w:val="14"/>
              </w:rPr>
              <w:t>Year</w:t>
            </w:r>
          </w:p>
        </w:tc>
        <w:tc>
          <w:tcPr>
            <w:tcW w:w="14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pPr>
            <w:r>
              <w:rPr/>
              <w:t> </w:t>
            </w:r>
          </w:p>
        </w:tc>
        <w:tc>
          <w:tcPr>
            <w:tcW w:w="1236" w:type="dxa"/>
            <w:gridSpan w:val="2"/>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rFonts w:ascii="Arial" w:hAnsi="Arial"/>
                <w:b/>
                <w:color w:val="FFFFFF"/>
                <w:sz w:val="14"/>
              </w:rPr>
            </w:pPr>
            <w:r>
              <w:rPr>
                <w:rFonts w:ascii="Arial" w:hAnsi="Arial"/>
                <w:b/>
                <w:color w:val="FFFFFF"/>
                <w:sz w:val="14"/>
              </w:rPr>
              <w:t>Average Year-End Fair Value of Equity Awards Granted During Year That Remained Unvested as of Last Day of Year for Non-PEO NEOs</w:t>
              <w:br/>
              <w:t>($)</w:t>
            </w:r>
          </w:p>
        </w:tc>
        <w:tc>
          <w:tcPr>
            <w:tcW w:w="14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pPr>
            <w:r>
              <w:rPr/>
              <w:t> </w:t>
            </w:r>
          </w:p>
        </w:tc>
        <w:tc>
          <w:tcPr>
            <w:tcW w:w="1263" w:type="dxa"/>
            <w:gridSpan w:val="2"/>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rFonts w:ascii="Arial" w:hAnsi="Arial"/>
                <w:b/>
                <w:color w:val="FFFFFF"/>
                <w:sz w:val="14"/>
              </w:rPr>
            </w:pPr>
            <w:r>
              <w:rPr>
                <w:rFonts w:ascii="Arial" w:hAnsi="Arial"/>
                <w:b/>
                <w:color w:val="FFFFFF"/>
                <w:sz w:val="14"/>
              </w:rPr>
              <w:t>Average Change in Fair Value from Last Day of Prior Year to Last Day of Year of Unvested Equity Awards for Non-PEO NEOs</w:t>
              <w:br/>
              <w:t>($)</w:t>
            </w:r>
          </w:p>
        </w:tc>
        <w:tc>
          <w:tcPr>
            <w:tcW w:w="16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pPr>
            <w:r>
              <w:rPr/>
              <w:t> </w:t>
            </w:r>
          </w:p>
        </w:tc>
        <w:tc>
          <w:tcPr>
            <w:tcW w:w="1207" w:type="dxa"/>
            <w:gridSpan w:val="2"/>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rFonts w:ascii="Arial" w:hAnsi="Arial"/>
                <w:b/>
                <w:color w:val="FFFFFF"/>
                <w:sz w:val="14"/>
              </w:rPr>
            </w:pPr>
            <w:r>
              <w:rPr>
                <w:rFonts w:ascii="Arial" w:hAnsi="Arial"/>
                <w:b/>
                <w:color w:val="FFFFFF"/>
                <w:sz w:val="14"/>
              </w:rPr>
              <w:t>Average Vesting-Date Fair Value of Equity Awards Granted During Year that Vested During Year for Non-PEO NEOs</w:t>
              <w:br/>
              <w:t>($)</w:t>
            </w:r>
          </w:p>
        </w:tc>
        <w:tc>
          <w:tcPr>
            <w:tcW w:w="14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pPr>
            <w:r>
              <w:rPr/>
              <w:t> </w:t>
            </w:r>
          </w:p>
        </w:tc>
        <w:tc>
          <w:tcPr>
            <w:tcW w:w="1235" w:type="dxa"/>
            <w:gridSpan w:val="2"/>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rFonts w:ascii="Arial" w:hAnsi="Arial"/>
                <w:b/>
                <w:color w:val="FFFFFF"/>
                <w:sz w:val="14"/>
              </w:rPr>
            </w:pPr>
            <w:r>
              <w:rPr>
                <w:rFonts w:ascii="Arial" w:hAnsi="Arial"/>
                <w:b/>
                <w:color w:val="FFFFFF"/>
                <w:sz w:val="14"/>
              </w:rPr>
              <w:t>Average Change in Fair Value from Last Day of Prior Year to Vesting Date of Unvested Equity Awards that Vested During Year for Non-PEO NEOs</w:t>
              <w:br/>
              <w:t>($)</w:t>
            </w:r>
          </w:p>
        </w:tc>
        <w:tc>
          <w:tcPr>
            <w:tcW w:w="16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pPr>
            <w:r>
              <w:rPr/>
              <w:t> </w:t>
            </w:r>
          </w:p>
        </w:tc>
        <w:tc>
          <w:tcPr>
            <w:tcW w:w="1205" w:type="dxa"/>
            <w:gridSpan w:val="2"/>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rFonts w:ascii="Arial" w:hAnsi="Arial"/>
                <w:b/>
                <w:color w:val="FFFFFF"/>
                <w:sz w:val="14"/>
              </w:rPr>
            </w:pPr>
            <w:r>
              <w:rPr>
                <w:rFonts w:ascii="Arial" w:hAnsi="Arial"/>
                <w:b/>
                <w:color w:val="FFFFFF"/>
                <w:sz w:val="14"/>
              </w:rPr>
              <w:t>Average Fair Value at Last Day of Prior Year of Equity Awards Forfeited During Year for Non-PEO NEOs</w:t>
              <w:br/>
              <w:t>($)</w:t>
            </w:r>
          </w:p>
        </w:tc>
        <w:tc>
          <w:tcPr>
            <w:tcW w:w="16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pPr>
            <w:r>
              <w:rPr/>
              <w:t> </w:t>
            </w:r>
          </w:p>
        </w:tc>
        <w:tc>
          <w:tcPr>
            <w:tcW w:w="1057" w:type="dxa"/>
            <w:gridSpan w:val="2"/>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rFonts w:ascii="Arial" w:hAnsi="Arial"/>
                <w:b/>
                <w:color w:val="FFFFFF"/>
                <w:sz w:val="14"/>
              </w:rPr>
            </w:pPr>
            <w:r>
              <w:rPr>
                <w:rFonts w:ascii="Arial" w:hAnsi="Arial"/>
                <w:b/>
                <w:color w:val="FFFFFF"/>
                <w:sz w:val="14"/>
              </w:rPr>
              <w:t>Average Value of Dividends or Other Earnings Paid on Equity Awards Not Otherwise Included for Non-PEO NEOs</w:t>
              <w:br/>
              <w:t>($)</w:t>
            </w:r>
          </w:p>
        </w:tc>
        <w:tc>
          <w:tcPr>
            <w:tcW w:w="14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pPr>
            <w:r>
              <w:rPr/>
              <w:t> </w:t>
            </w:r>
          </w:p>
        </w:tc>
        <w:tc>
          <w:tcPr>
            <w:tcW w:w="1075" w:type="dxa"/>
            <w:gridSpan w:val="2"/>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rFonts w:ascii="Arial" w:hAnsi="Arial"/>
                <w:b/>
                <w:color w:val="FFFFFF"/>
                <w:sz w:val="14"/>
              </w:rPr>
            </w:pPr>
            <w:r>
              <w:rPr>
                <w:rFonts w:ascii="Arial" w:hAnsi="Arial"/>
                <w:b/>
                <w:color w:val="FFFFFF"/>
                <w:sz w:val="14"/>
              </w:rPr>
              <w:t>Total - Average Inclusion of</w:t>
              <w:br/>
              <w:t>Equity Values for Non-PEO NEOs</w:t>
              <w:br/>
              <w:t>($)</w:t>
            </w:r>
          </w:p>
        </w:tc>
        <w:tc>
          <w:tcPr>
            <w:tcW w:w="218"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803,631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371,408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9,151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1,184,190</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2025</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63"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256,904</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02"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(761,574</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96"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1"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41,892</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53"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(16,089</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49"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56"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(174,036</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382"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75"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69"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(652,903</w:t>
            </w:r>
          </w:p>
        </w:tc>
        <w:tc>
          <w:tcPr>
            <w:tcW w:w="218"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814,038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217,659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15,392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1,047,089</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2023</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63"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281,965</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02"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(154,040</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96"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1"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53"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(4,025</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49"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56"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75"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69"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123,900</w:t>
            </w:r>
          </w:p>
        </w:tc>
        <w:tc>
          <w:tcPr>
            <w:tcW w:w="218"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161,687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(54,762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29,853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(277,700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(140,922</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bl>
    <w:p>
      <w:pPr>
        <w:pStyle w:val="TextBody"/>
        <w:bidi w:val="0"/>
        <w:spacing w:before="240" w:after="240"/>
        <w:jc w:val="both"/>
        <w:rPr>
          <w:rFonts w:ascii="Arial" w:hAnsi="Arial"/>
          <w:color w:val="000000"/>
          <w:sz w:val="16"/>
        </w:rPr>
      </w:pPr>
      <w:r>
        <w:rPr>
          <w:rFonts w:ascii="Arial" w:hAnsi="Arial"/>
          <w:color w:val="000000"/>
          <w:sz w:val="16"/>
        </w:rPr>
        <w:t>4. The Peer Group TSR set forth in this table utilizes the S&amp;P Composite 1500 Leisure Products Index (the "S&amp;P 1500 Leisure Products Index"), which we also utilize in the stock performance graph required by Item 201(e) of Regulation S-K included in the Form 10-K. The comparison assumes $100 was invested for the period starting April 30, 2021 through the end of the listed year in the Company and in the S&amp;P 1500 Leisure Products Index, respectively. Historical stock performance is not necessarily indicative of future stock performance.</w:t>
      </w:r>
    </w:p>
    <w:p>
      <w:pPr>
        <w:pStyle w:val="TextBody"/>
        <w:bidi w:val="0"/>
        <w:spacing w:before="0" w:after="240"/>
        <w:jc w:val="both"/>
        <w:rPr>
          <w:rFonts w:ascii="Times New Roman" w:hAnsi="Times New Roman"/>
          <w:sz w:val="20"/>
        </w:rPr>
      </w:pPr>
      <w:r>
        <w:rPr>
          <w:rFonts w:ascii="Arial" w:hAnsi="Arial"/>
          <w:color w:val="000000"/>
          <w:sz w:val="16"/>
        </w:rPr>
        <w:t>5. We determined Adjusted EBITDAS</w:t>
      </w:r>
      <w:r>
        <w:rPr>
          <w:rFonts w:ascii="Times New Roman" w:hAnsi="Times New Roman"/>
          <w:color w:val="000000"/>
          <w:sz w:val="20"/>
        </w:rPr>
        <w:t xml:space="preserve"> </w:t>
      </w:r>
      <w:r>
        <w:rPr>
          <w:rFonts w:ascii="Arial" w:hAnsi="Arial"/>
          <w:color w:val="000000"/>
          <w:sz w:val="16"/>
        </w:rPr>
        <w:t>($ Millions), as calculated on an annual basis pursuant to instructions from the Compensation Committee, to be the most important financial performance measure used to link our performance to Compensation Actually Paid to</w:t>
      </w:r>
      <w:r>
        <w:rPr>
          <w:rFonts w:ascii="Times New Roman" w:hAnsi="Times New Roman"/>
          <w:color w:val="000000"/>
          <w:sz w:val="20"/>
        </w:rPr>
        <w:t xml:space="preserve"> </w:t>
      </w:r>
    </w:p>
    <w:p>
      <w:pPr>
        <w:pStyle w:val="TextBody"/>
        <w:bidi w:val="0"/>
        <w:jc w:val="left"/>
        <w:rPr/>
      </w:pPr>
      <w:r>
        <w:rPr/>
        <w:t> </w:t>
      </w:r>
    </w:p>
    <w:tbl>
      <w:tblPr>
        <w:tblW w:w="3702" w:type="dxa"/>
        <w:jc w:val="left"/>
        <w:tblInd w:w="0" w:type="dxa"/>
        <w:tblLayout w:type="fixed"/>
        <w:tblCellMar>
          <w:top w:w="28" w:type="dxa"/>
          <w:left w:w="28" w:type="dxa"/>
          <w:bottom w:w="28" w:type="dxa"/>
          <w:right w:w="28" w:type="dxa"/>
        </w:tblCellMar>
      </w:tblPr>
      <w:tblGrid>
        <w:gridCol w:w="2266"/>
        <w:gridCol w:w="1436"/>
      </w:tblGrid>
      <w:tr>
        <w:trPr/>
        <w:tc>
          <w:tcPr>
            <w:tcW w:w="2266"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2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91F2C"/>
                <w:sz w:val="18"/>
              </w:rPr>
              <w:t>38</w:t>
            </w:r>
            <w:r>
              <w:rPr>
                <w:rFonts w:ascii="Times New Roman" w:hAnsi="Times New Roman"/>
                <w:color w:val="091F2C"/>
                <w:sz w:val="18"/>
              </w:rPr>
              <w:t> </w:t>
            </w:r>
            <w:r>
              <w:rPr>
                <w:rFonts w:ascii="Arial" w:hAnsi="Arial"/>
                <w:color w:val="091F2C"/>
                <w:sz w:val="18"/>
              </w:rPr>
              <w:t>I 2026 Proxy Statement</w:t>
            </w:r>
          </w:p>
        </w:tc>
        <w:tc>
          <w:tcPr>
            <w:tcW w:w="143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828675" cy="190500"/>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828675" cy="190500"/>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2277" w:type="dxa"/>
        <w:jc w:val="left"/>
        <w:tblInd w:w="0" w:type="dxa"/>
        <w:tblLayout w:type="fixed"/>
        <w:tblCellMar>
          <w:top w:w="28" w:type="dxa"/>
          <w:left w:w="28" w:type="dxa"/>
          <w:bottom w:w="28" w:type="dxa"/>
          <w:right w:w="28" w:type="dxa"/>
        </w:tblCellMar>
      </w:tblPr>
      <w:tblGrid>
        <w:gridCol w:w="2086"/>
        <w:gridCol w:w="191"/>
      </w:tblGrid>
      <w:tr>
        <w:trPr/>
        <w:tc>
          <w:tcPr>
            <w:tcW w:w="20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86" w:type="dxa"/>
            <w:tcBorders/>
            <w:tcMar>
              <w:top w:w="0" w:type="dxa"/>
              <w:left w:w="0" w:type="dxa"/>
              <w:bottom w:w="0" w:type="dxa"/>
              <w:right w:w="0" w:type="dxa"/>
            </w:tcMar>
            <w:vAlign w:val="center"/>
          </w:tcPr>
          <w:p>
            <w:pPr>
              <w:pStyle w:val="TableContents"/>
              <w:bidi w:val="0"/>
              <w:spacing w:before="0" w:after="283"/>
              <w:jc w:val="left"/>
              <w:rPr>
                <w:rFonts w:ascii="Arial" w:hAnsi="Arial"/>
                <w:color w:val="002668"/>
                <w:sz w:val="20"/>
              </w:rPr>
            </w:pPr>
            <w:r>
              <w:rPr>
                <w:rFonts w:ascii="Arial" w:hAnsi="Arial"/>
                <w:color w:val="002668"/>
                <w:sz w:val="20"/>
              </w:rPr>
              <w:t>Compensation Matters</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bottom w:val="single" w:sz="8" w:space="0" w:color="002668"/>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40"/>
        <w:jc w:val="both"/>
        <w:rPr>
          <w:rFonts w:ascii="Arial" w:hAnsi="Arial"/>
          <w:color w:val="000000"/>
          <w:sz w:val="16"/>
        </w:rPr>
      </w:pPr>
      <w:r>
        <w:rPr>
          <w:rFonts w:ascii="Arial" w:hAnsi="Arial"/>
          <w:color w:val="000000"/>
          <w:sz w:val="16"/>
        </w:rPr>
        <w:t>our PEO and Non-PEO NEOs in fiscal year 2026. More information on Adjusted EBITDAS for purposes of executive compensation for fiscal 2026, can be found in the Annual Performance-Based Cash Incentive Compensation section of the Compensation Discussion and Analysis of this Proxy Statement. At the discretion of the Compensation Committee, Adjusted EBITDAS for purposes of executive compensation may differ from Adjusted EBITDAS as reported for other purposes. This performance measure may not have been the most important financial performance measure for prior years, and we may determine a different financial performance measure to be the most important financial performance measure in future years.</w:t>
      </w:r>
    </w:p>
    <w:p>
      <w:pPr>
        <w:pStyle w:val="TextBody"/>
        <w:bidi w:val="0"/>
        <w:spacing w:before="0" w:after="240"/>
        <w:jc w:val="both"/>
        <w:rPr>
          <w:rFonts w:ascii="Arial" w:hAnsi="Arial"/>
          <w:color w:val="1F497D"/>
          <w:sz w:val="24"/>
          <w:u w:val="single"/>
        </w:rPr>
      </w:pPr>
      <w:r>
        <w:rPr>
          <w:rFonts w:ascii="Arial" w:hAnsi="Arial"/>
          <w:color w:val="1F497D"/>
          <w:sz w:val="24"/>
          <w:u w:val="single"/>
        </w:rPr>
        <w:t>Relationship Between PEO and Non-PEO NEO Compensation Actually Paid and Company Total Stockholder Return (“TSR”)</w:t>
      </w:r>
    </w:p>
    <w:p>
      <w:pPr>
        <w:pStyle w:val="TextBody"/>
        <w:bidi w:val="0"/>
        <w:spacing w:before="0" w:after="240"/>
        <w:jc w:val="both"/>
        <w:rPr>
          <w:rFonts w:ascii="Times New Roman" w:hAnsi="Times New Roman"/>
          <w:sz w:val="20"/>
        </w:rPr>
      </w:pPr>
      <w:r>
        <w:rPr>
          <w:rFonts w:ascii="Arial" w:hAnsi="Arial"/>
          <w:color w:val="000000"/>
          <w:sz w:val="20"/>
        </w:rPr>
        <w:t>The following chart sets forth the relationship between Compensation Actually Paid to our PEOs, the average of Compensation Actually Paid to our Non-PEO NEOs, and the Company’s cumulative TSR over the four most recently completed fiscal years</w:t>
      </w:r>
      <w:r>
        <w:rPr>
          <w:rFonts w:ascii="Times New Roman" w:hAnsi="Times New Roman"/>
          <w:color w:val="000000"/>
          <w:sz w:val="24"/>
        </w:rPr>
        <w:t>.</w:t>
      </w:r>
    </w:p>
    <w:p>
      <w:pPr>
        <w:pStyle w:val="TextBody"/>
        <w:bidi w:val="0"/>
        <w:jc w:val="left"/>
        <w:rPr/>
      </w:pPr>
      <w:r>
        <w:rPr/>
        <w:drawing>
          <wp:inline distT="0" distB="0" distL="0" distR="0">
            <wp:extent cx="5943600" cy="3238500"/>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5943600" cy="3238500"/>
                    </a:xfrm>
                    <a:prstGeom prst="rect">
                      <a:avLst/>
                    </a:prstGeom>
                  </pic:spPr>
                </pic:pic>
              </a:graphicData>
            </a:graphic>
          </wp:inline>
        </w:drawing>
      </w:r>
    </w:p>
    <w:p>
      <w:pPr>
        <w:pStyle w:val="TextBody"/>
        <w:bidi w:val="0"/>
        <w:jc w:val="left"/>
        <w:rPr/>
      </w:pPr>
      <w:r>
        <w:rPr/>
        <w:t> </w:t>
      </w:r>
    </w:p>
    <w:p>
      <w:pPr>
        <w:pStyle w:val="TextBody"/>
        <w:bidi w:val="0"/>
        <w:spacing w:before="240" w:after="240"/>
        <w:jc w:val="both"/>
        <w:rPr/>
      </w:pPr>
      <w:r>
        <w:rPr/>
        <w:t> </w:t>
      </w:r>
    </w:p>
    <w:p>
      <w:pPr>
        <w:pStyle w:val="TextBody"/>
        <w:bidi w:val="0"/>
        <w:spacing w:before="0" w:after="240"/>
        <w:jc w:val="both"/>
        <w:rPr/>
      </w:pPr>
      <w:r>
        <w:rPr/>
        <w:t> </w:t>
      </w:r>
    </w:p>
    <w:p>
      <w:pPr>
        <w:pStyle w:val="TextBody"/>
        <w:bidi w:val="0"/>
        <w:spacing w:before="0" w:after="240"/>
        <w:jc w:val="both"/>
        <w:rPr/>
      </w:pPr>
      <w:r>
        <w:rPr/>
        <w:t> </w:t>
      </w:r>
    </w:p>
    <w:p>
      <w:pPr>
        <w:pStyle w:val="TextBody"/>
        <w:bidi w:val="0"/>
        <w:spacing w:before="0" w:after="240"/>
        <w:jc w:val="both"/>
        <w:rPr/>
      </w:pPr>
      <w:r>
        <w:rPr/>
        <w:t> </w:t>
      </w:r>
    </w:p>
    <w:p>
      <w:pPr>
        <w:pStyle w:val="TextBody"/>
        <w:bidi w:val="0"/>
        <w:spacing w:before="0" w:after="240"/>
        <w:jc w:val="both"/>
        <w:rPr/>
      </w:pPr>
      <w:r>
        <w:rPr/>
        <w:t> </w:t>
      </w:r>
    </w:p>
    <w:p>
      <w:pPr>
        <w:pStyle w:val="TextBody"/>
        <w:bidi w:val="0"/>
        <w:spacing w:before="0" w:after="240"/>
        <w:jc w:val="both"/>
        <w:rPr/>
      </w:pPr>
      <w:r>
        <w:rPr/>
        <w:t> </w:t>
      </w:r>
    </w:p>
    <w:p>
      <w:pPr>
        <w:pStyle w:val="TextBody"/>
        <w:bidi w:val="0"/>
        <w:spacing w:before="0" w:after="240"/>
        <w:jc w:val="both"/>
        <w:rPr/>
      </w:pPr>
      <w:r>
        <w:rPr/>
        <w:t> </w:t>
      </w:r>
    </w:p>
    <w:p>
      <w:pPr>
        <w:pStyle w:val="TextBody"/>
        <w:bidi w:val="0"/>
        <w:spacing w:before="0" w:after="240"/>
        <w:jc w:val="both"/>
        <w:rPr/>
      </w:pPr>
      <w:r>
        <w:rPr/>
        <w:t> </w:t>
      </w:r>
    </w:p>
    <w:p>
      <w:pPr>
        <w:pStyle w:val="TextBody"/>
        <w:bidi w:val="0"/>
        <w:jc w:val="left"/>
        <w:rPr/>
      </w:pPr>
      <w:r>
        <w:rPr/>
        <w:t> </w:t>
      </w:r>
    </w:p>
    <w:tbl>
      <w:tblPr>
        <w:tblW w:w="3702" w:type="dxa"/>
        <w:jc w:val="left"/>
        <w:tblInd w:w="0" w:type="dxa"/>
        <w:tblLayout w:type="fixed"/>
        <w:tblCellMar>
          <w:top w:w="28" w:type="dxa"/>
          <w:left w:w="28" w:type="dxa"/>
          <w:bottom w:w="28" w:type="dxa"/>
          <w:right w:w="28" w:type="dxa"/>
        </w:tblCellMar>
      </w:tblPr>
      <w:tblGrid>
        <w:gridCol w:w="2266"/>
        <w:gridCol w:w="1436"/>
      </w:tblGrid>
      <w:tr>
        <w:trPr/>
        <w:tc>
          <w:tcPr>
            <w:tcW w:w="2266"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2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91F2C"/>
                <w:sz w:val="18"/>
              </w:rPr>
              <w:t>39</w:t>
            </w:r>
            <w:r>
              <w:rPr>
                <w:rFonts w:ascii="Times New Roman" w:hAnsi="Times New Roman"/>
                <w:color w:val="091F2C"/>
                <w:sz w:val="18"/>
              </w:rPr>
              <w:t> </w:t>
            </w:r>
            <w:r>
              <w:rPr>
                <w:rFonts w:ascii="Arial" w:hAnsi="Arial"/>
                <w:color w:val="091F2C"/>
                <w:sz w:val="18"/>
              </w:rPr>
              <w:t>I 2026 Proxy Statement</w:t>
            </w:r>
          </w:p>
        </w:tc>
        <w:tc>
          <w:tcPr>
            <w:tcW w:w="143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828675" cy="190500"/>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828675" cy="190500"/>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2277" w:type="dxa"/>
        <w:jc w:val="left"/>
        <w:tblInd w:w="0" w:type="dxa"/>
        <w:tblLayout w:type="fixed"/>
        <w:tblCellMar>
          <w:top w:w="28" w:type="dxa"/>
          <w:left w:w="28" w:type="dxa"/>
          <w:bottom w:w="28" w:type="dxa"/>
          <w:right w:w="28" w:type="dxa"/>
        </w:tblCellMar>
      </w:tblPr>
      <w:tblGrid>
        <w:gridCol w:w="2086"/>
        <w:gridCol w:w="191"/>
      </w:tblGrid>
      <w:tr>
        <w:trPr/>
        <w:tc>
          <w:tcPr>
            <w:tcW w:w="20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86" w:type="dxa"/>
            <w:tcBorders/>
            <w:tcMar>
              <w:top w:w="0" w:type="dxa"/>
              <w:left w:w="0" w:type="dxa"/>
              <w:bottom w:w="0" w:type="dxa"/>
              <w:right w:w="0" w:type="dxa"/>
            </w:tcMar>
            <w:vAlign w:val="center"/>
          </w:tcPr>
          <w:p>
            <w:pPr>
              <w:pStyle w:val="TableContents"/>
              <w:bidi w:val="0"/>
              <w:spacing w:before="0" w:after="283"/>
              <w:jc w:val="left"/>
              <w:rPr>
                <w:rFonts w:ascii="Arial" w:hAnsi="Arial"/>
                <w:color w:val="002668"/>
                <w:sz w:val="20"/>
              </w:rPr>
            </w:pPr>
            <w:r>
              <w:rPr>
                <w:rFonts w:ascii="Arial" w:hAnsi="Arial"/>
                <w:color w:val="002668"/>
                <w:sz w:val="20"/>
              </w:rPr>
              <w:t>Compensation Matters</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bottom w:val="single" w:sz="8" w:space="0" w:color="002668"/>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40"/>
        <w:jc w:val="both"/>
        <w:rPr>
          <w:rFonts w:ascii="Arial" w:hAnsi="Arial"/>
          <w:color w:val="1F497D"/>
          <w:sz w:val="24"/>
          <w:u w:val="single"/>
        </w:rPr>
      </w:pPr>
      <w:r>
        <w:rPr>
          <w:rFonts w:ascii="Arial" w:hAnsi="Arial"/>
          <w:color w:val="1F497D"/>
          <w:sz w:val="24"/>
          <w:u w:val="single"/>
        </w:rPr>
        <w:t>Relationship Between PEO and Non-PEO NEO Compensation Actually Paid and Net Income</w:t>
      </w:r>
    </w:p>
    <w:p>
      <w:pPr>
        <w:pStyle w:val="TextBody"/>
        <w:bidi w:val="0"/>
        <w:spacing w:before="0" w:after="240"/>
        <w:jc w:val="both"/>
        <w:rPr>
          <w:rFonts w:ascii="Arial" w:hAnsi="Arial"/>
          <w:color w:val="000000"/>
          <w:sz w:val="20"/>
        </w:rPr>
      </w:pPr>
      <w:r>
        <w:rPr>
          <w:rFonts w:ascii="Arial" w:hAnsi="Arial"/>
          <w:color w:val="000000"/>
          <w:sz w:val="20"/>
        </w:rPr>
        <w:t>The following chart sets forth the relationship between Compensation Actually Paid to our PEOs, the average of Compensation Actually Paid to our Non-PEO NEOs, and our Net Income during the four most recently completed fiscal years.</w:t>
      </w:r>
    </w:p>
    <w:p>
      <w:pPr>
        <w:pStyle w:val="TextBody"/>
        <w:bidi w:val="0"/>
        <w:spacing w:before="0" w:after="240"/>
        <w:jc w:val="both"/>
        <w:rPr/>
      </w:pPr>
      <w:r>
        <w:rPr/>
        <w:drawing>
          <wp:inline distT="0" distB="0" distL="0" distR="0">
            <wp:extent cx="5943600" cy="324802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5943600" cy="3248025"/>
                    </a:xfrm>
                    <a:prstGeom prst="rect">
                      <a:avLst/>
                    </a:prstGeom>
                  </pic:spPr>
                </pic:pic>
              </a:graphicData>
            </a:graphic>
          </wp:inline>
        </w:drawing>
      </w:r>
    </w:p>
    <w:p>
      <w:pPr>
        <w:pStyle w:val="TextBody"/>
        <w:bidi w:val="0"/>
        <w:spacing w:before="0" w:after="240"/>
        <w:jc w:val="both"/>
        <w:rPr/>
      </w:pPr>
      <w:r>
        <w:rPr/>
        <w:t> </w:t>
      </w:r>
    </w:p>
    <w:p>
      <w:pPr>
        <w:pStyle w:val="TextBody"/>
        <w:bidi w:val="0"/>
        <w:spacing w:before="0" w:after="240"/>
        <w:jc w:val="both"/>
        <w:rPr/>
      </w:pPr>
      <w:r>
        <w:rPr/>
        <w:t> </w:t>
      </w:r>
    </w:p>
    <w:p>
      <w:pPr>
        <w:pStyle w:val="TextBody"/>
        <w:bidi w:val="0"/>
        <w:spacing w:before="0" w:after="240"/>
        <w:jc w:val="both"/>
        <w:rPr/>
      </w:pPr>
      <w:r>
        <w:rPr/>
        <w:t> </w:t>
      </w:r>
    </w:p>
    <w:p>
      <w:pPr>
        <w:pStyle w:val="TextBody"/>
        <w:bidi w:val="0"/>
        <w:spacing w:before="0" w:after="240"/>
        <w:jc w:val="both"/>
        <w:rPr/>
      </w:pPr>
      <w:r>
        <w:rPr/>
        <w:t> </w:t>
      </w:r>
    </w:p>
    <w:p>
      <w:pPr>
        <w:pStyle w:val="TextBody"/>
        <w:bidi w:val="0"/>
        <w:spacing w:before="0" w:after="240"/>
        <w:jc w:val="both"/>
        <w:rPr/>
      </w:pPr>
      <w:r>
        <w:rPr/>
        <w:t> </w:t>
      </w:r>
    </w:p>
    <w:p>
      <w:pPr>
        <w:pStyle w:val="TextBody"/>
        <w:bidi w:val="0"/>
        <w:spacing w:before="0" w:after="240"/>
        <w:jc w:val="both"/>
        <w:rPr/>
      </w:pPr>
      <w:r>
        <w:rPr/>
        <w:t> </w:t>
      </w:r>
    </w:p>
    <w:p>
      <w:pPr>
        <w:pStyle w:val="TextBody"/>
        <w:bidi w:val="0"/>
        <w:spacing w:before="0" w:after="240"/>
        <w:jc w:val="both"/>
        <w:rPr/>
      </w:pPr>
      <w:r>
        <w:rPr/>
        <w:t> </w:t>
      </w:r>
    </w:p>
    <w:p>
      <w:pPr>
        <w:pStyle w:val="TextBody"/>
        <w:bidi w:val="0"/>
        <w:spacing w:before="0" w:after="240"/>
        <w:jc w:val="both"/>
        <w:rPr/>
      </w:pPr>
      <w:r>
        <w:rPr/>
        <w:t> </w:t>
      </w:r>
    </w:p>
    <w:p>
      <w:pPr>
        <w:pStyle w:val="TextBody"/>
        <w:bidi w:val="0"/>
        <w:spacing w:before="0" w:after="240"/>
        <w:jc w:val="both"/>
        <w:rPr/>
      </w:pPr>
      <w:r>
        <w:rPr/>
        <w:t> </w:t>
      </w:r>
    </w:p>
    <w:p>
      <w:pPr>
        <w:pStyle w:val="TextBody"/>
        <w:bidi w:val="0"/>
        <w:spacing w:before="0" w:after="240"/>
        <w:jc w:val="both"/>
        <w:rPr/>
      </w:pPr>
      <w:r>
        <w:rPr/>
        <w:t> </w:t>
      </w:r>
    </w:p>
    <w:p>
      <w:pPr>
        <w:pStyle w:val="TextBody"/>
        <w:bidi w:val="0"/>
        <w:spacing w:before="0" w:after="240"/>
        <w:jc w:val="both"/>
        <w:rPr/>
      </w:pPr>
      <w:r>
        <w:rPr/>
        <w:t> </w:t>
      </w:r>
    </w:p>
    <w:p>
      <w:pPr>
        <w:pStyle w:val="TextBody"/>
        <w:bidi w:val="0"/>
        <w:jc w:val="left"/>
        <w:rPr/>
      </w:pPr>
      <w:r>
        <w:rPr/>
        <w:t> </w:t>
      </w:r>
    </w:p>
    <w:tbl>
      <w:tblPr>
        <w:tblW w:w="3702" w:type="dxa"/>
        <w:jc w:val="left"/>
        <w:tblInd w:w="0" w:type="dxa"/>
        <w:tblLayout w:type="fixed"/>
        <w:tblCellMar>
          <w:top w:w="28" w:type="dxa"/>
          <w:left w:w="28" w:type="dxa"/>
          <w:bottom w:w="28" w:type="dxa"/>
          <w:right w:w="28" w:type="dxa"/>
        </w:tblCellMar>
      </w:tblPr>
      <w:tblGrid>
        <w:gridCol w:w="2266"/>
        <w:gridCol w:w="1436"/>
      </w:tblGrid>
      <w:tr>
        <w:trPr/>
        <w:tc>
          <w:tcPr>
            <w:tcW w:w="2266"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2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91F2C"/>
                <w:sz w:val="18"/>
              </w:rPr>
              <w:t>40</w:t>
            </w:r>
            <w:r>
              <w:rPr>
                <w:rFonts w:ascii="Times New Roman" w:hAnsi="Times New Roman"/>
                <w:color w:val="091F2C"/>
                <w:sz w:val="18"/>
              </w:rPr>
              <w:t> </w:t>
            </w:r>
            <w:r>
              <w:rPr>
                <w:rFonts w:ascii="Arial" w:hAnsi="Arial"/>
                <w:color w:val="091F2C"/>
                <w:sz w:val="18"/>
              </w:rPr>
              <w:t>I 2026 Proxy Statement</w:t>
            </w:r>
          </w:p>
        </w:tc>
        <w:tc>
          <w:tcPr>
            <w:tcW w:w="143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828675" cy="190500"/>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828675" cy="190500"/>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2277" w:type="dxa"/>
        <w:jc w:val="left"/>
        <w:tblInd w:w="0" w:type="dxa"/>
        <w:tblLayout w:type="fixed"/>
        <w:tblCellMar>
          <w:top w:w="28" w:type="dxa"/>
          <w:left w:w="28" w:type="dxa"/>
          <w:bottom w:w="28" w:type="dxa"/>
          <w:right w:w="28" w:type="dxa"/>
        </w:tblCellMar>
      </w:tblPr>
      <w:tblGrid>
        <w:gridCol w:w="2086"/>
        <w:gridCol w:w="191"/>
      </w:tblGrid>
      <w:tr>
        <w:trPr/>
        <w:tc>
          <w:tcPr>
            <w:tcW w:w="20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86" w:type="dxa"/>
            <w:tcBorders/>
            <w:tcMar>
              <w:top w:w="0" w:type="dxa"/>
              <w:left w:w="0" w:type="dxa"/>
              <w:bottom w:w="0" w:type="dxa"/>
              <w:right w:w="0" w:type="dxa"/>
            </w:tcMar>
            <w:vAlign w:val="center"/>
          </w:tcPr>
          <w:p>
            <w:pPr>
              <w:pStyle w:val="TableContents"/>
              <w:bidi w:val="0"/>
              <w:spacing w:before="0" w:after="283"/>
              <w:jc w:val="left"/>
              <w:rPr>
                <w:rFonts w:ascii="Arial" w:hAnsi="Arial"/>
                <w:color w:val="002668"/>
                <w:sz w:val="20"/>
              </w:rPr>
            </w:pPr>
            <w:r>
              <w:rPr>
                <w:rFonts w:ascii="Arial" w:hAnsi="Arial"/>
                <w:color w:val="002668"/>
                <w:sz w:val="20"/>
              </w:rPr>
              <w:t>Compensation Matters</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bottom w:val="single" w:sz="8" w:space="0" w:color="002668"/>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40"/>
        <w:jc w:val="both"/>
        <w:rPr>
          <w:rFonts w:ascii="Arial" w:hAnsi="Arial"/>
          <w:color w:val="1F497D"/>
          <w:sz w:val="24"/>
          <w:u w:val="single"/>
        </w:rPr>
      </w:pPr>
      <w:r>
        <w:rPr>
          <w:rFonts w:ascii="Arial" w:hAnsi="Arial"/>
          <w:color w:val="1F497D"/>
          <w:sz w:val="24"/>
          <w:u w:val="single"/>
        </w:rPr>
        <w:t>Relationship Between PEO and Non-PEO NEO Compensation Actually Paid and Company-Selected Measure</w:t>
      </w:r>
    </w:p>
    <w:p>
      <w:pPr>
        <w:pStyle w:val="TextBody"/>
        <w:bidi w:val="0"/>
        <w:spacing w:before="0" w:after="240"/>
        <w:jc w:val="both"/>
        <w:rPr>
          <w:rFonts w:ascii="Times New Roman" w:hAnsi="Times New Roman"/>
          <w:sz w:val="20"/>
        </w:rPr>
      </w:pPr>
      <w:r>
        <w:rPr>
          <w:rFonts w:ascii="Arial" w:hAnsi="Arial"/>
          <w:color w:val="000000"/>
          <w:sz w:val="20"/>
        </w:rPr>
        <w:t>The following chart sets forth the relationship between Compensation Actually Paid to our PEOs, the average of Compensation Actually Paid to our Non-PEO NEOs, and our Adjusted EBITDAS during the four most recently completed fiscal years</w:t>
      </w:r>
      <w:r>
        <w:rPr>
          <w:rFonts w:ascii="Times New Roman" w:hAnsi="Times New Roman"/>
          <w:color w:val="000000"/>
          <w:sz w:val="24"/>
        </w:rPr>
        <w:t>.</w:t>
      </w:r>
    </w:p>
    <w:p>
      <w:pPr>
        <w:pStyle w:val="TextBody"/>
        <w:bidi w:val="0"/>
        <w:spacing w:before="0" w:after="240"/>
        <w:jc w:val="both"/>
        <w:rPr/>
      </w:pPr>
      <w:r>
        <w:rPr/>
        <w:drawing>
          <wp:inline distT="0" distB="0" distL="0" distR="0">
            <wp:extent cx="5943600" cy="320992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49"/>
                    <a:stretch>
                      <a:fillRect/>
                    </a:stretch>
                  </pic:blipFill>
                  <pic:spPr bwMode="auto">
                    <a:xfrm>
                      <a:off x="0" y="0"/>
                      <a:ext cx="5943600" cy="3209925"/>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spacing w:before="0" w:after="240"/>
        <w:jc w:val="left"/>
        <w:rPr/>
      </w:pPr>
      <w:r>
        <w:rPr/>
        <w:t> </w:t>
      </w:r>
    </w:p>
    <w:p>
      <w:pPr>
        <w:pStyle w:val="TextBody"/>
        <w:bidi w:val="0"/>
        <w:spacing w:before="0" w:after="240"/>
        <w:jc w:val="both"/>
        <w:rPr/>
      </w:pPr>
      <w:r>
        <w:rPr/>
        <w:t> </w:t>
      </w:r>
    </w:p>
    <w:p>
      <w:pPr>
        <w:pStyle w:val="TextBody"/>
        <w:bidi w:val="0"/>
        <w:spacing w:before="0" w:after="240"/>
        <w:jc w:val="both"/>
        <w:rPr/>
      </w:pPr>
      <w:r>
        <w:rPr/>
        <w:t> </w:t>
      </w:r>
    </w:p>
    <w:p>
      <w:pPr>
        <w:pStyle w:val="TextBody"/>
        <w:bidi w:val="0"/>
        <w:spacing w:before="0" w:after="240"/>
        <w:jc w:val="both"/>
        <w:rPr/>
      </w:pPr>
      <w:r>
        <w:rPr/>
        <w:t> </w:t>
      </w:r>
    </w:p>
    <w:p>
      <w:pPr>
        <w:pStyle w:val="TextBody"/>
        <w:bidi w:val="0"/>
        <w:spacing w:before="0" w:after="240"/>
        <w:jc w:val="both"/>
        <w:rPr/>
      </w:pPr>
      <w:r>
        <w:rPr/>
        <w:t> </w:t>
      </w:r>
    </w:p>
    <w:p>
      <w:pPr>
        <w:pStyle w:val="TextBody"/>
        <w:bidi w:val="0"/>
        <w:spacing w:before="0" w:after="240"/>
        <w:jc w:val="both"/>
        <w:rPr/>
      </w:pPr>
      <w:r>
        <w:rPr/>
        <w:t> </w:t>
      </w:r>
    </w:p>
    <w:p>
      <w:pPr>
        <w:pStyle w:val="TextBody"/>
        <w:bidi w:val="0"/>
        <w:spacing w:before="0" w:after="240"/>
        <w:jc w:val="both"/>
        <w:rPr/>
      </w:pPr>
      <w:r>
        <w:rPr/>
        <w:t> </w:t>
      </w:r>
    </w:p>
    <w:p>
      <w:pPr>
        <w:pStyle w:val="TextBody"/>
        <w:bidi w:val="0"/>
        <w:spacing w:before="0" w:after="240"/>
        <w:jc w:val="both"/>
        <w:rPr/>
      </w:pPr>
      <w:r>
        <w:rPr/>
        <w:t> </w:t>
      </w:r>
    </w:p>
    <w:p>
      <w:pPr>
        <w:pStyle w:val="TextBody"/>
        <w:bidi w:val="0"/>
        <w:spacing w:before="0" w:after="240"/>
        <w:jc w:val="both"/>
        <w:rPr/>
      </w:pPr>
      <w:r>
        <w:rPr/>
        <w:t> </w:t>
      </w:r>
    </w:p>
    <w:p>
      <w:pPr>
        <w:pStyle w:val="TextBody"/>
        <w:bidi w:val="0"/>
        <w:spacing w:before="0" w:after="240"/>
        <w:jc w:val="both"/>
        <w:rPr/>
      </w:pPr>
      <w:r>
        <w:rPr/>
        <w:t> </w:t>
      </w:r>
    </w:p>
    <w:p>
      <w:pPr>
        <w:pStyle w:val="TextBody"/>
        <w:bidi w:val="0"/>
        <w:jc w:val="left"/>
        <w:rPr/>
      </w:pPr>
      <w:r>
        <w:rPr/>
        <w:t> </w:t>
      </w:r>
    </w:p>
    <w:tbl>
      <w:tblPr>
        <w:tblW w:w="3702" w:type="dxa"/>
        <w:jc w:val="left"/>
        <w:tblInd w:w="0" w:type="dxa"/>
        <w:tblLayout w:type="fixed"/>
        <w:tblCellMar>
          <w:top w:w="28" w:type="dxa"/>
          <w:left w:w="28" w:type="dxa"/>
          <w:bottom w:w="28" w:type="dxa"/>
          <w:right w:w="28" w:type="dxa"/>
        </w:tblCellMar>
      </w:tblPr>
      <w:tblGrid>
        <w:gridCol w:w="2266"/>
        <w:gridCol w:w="1436"/>
      </w:tblGrid>
      <w:tr>
        <w:trPr/>
        <w:tc>
          <w:tcPr>
            <w:tcW w:w="2266"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2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91F2C"/>
                <w:sz w:val="18"/>
              </w:rPr>
              <w:t>41</w:t>
            </w:r>
            <w:r>
              <w:rPr>
                <w:rFonts w:ascii="Times New Roman" w:hAnsi="Times New Roman"/>
                <w:color w:val="091F2C"/>
                <w:sz w:val="18"/>
              </w:rPr>
              <w:t> </w:t>
            </w:r>
            <w:r>
              <w:rPr>
                <w:rFonts w:ascii="Arial" w:hAnsi="Arial"/>
                <w:color w:val="091F2C"/>
                <w:sz w:val="18"/>
              </w:rPr>
              <w:t>I 2026 Proxy Statement</w:t>
            </w:r>
          </w:p>
        </w:tc>
        <w:tc>
          <w:tcPr>
            <w:tcW w:w="143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828675" cy="190500"/>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0"/>
                          <a:stretch>
                            <a:fillRect/>
                          </a:stretch>
                        </pic:blipFill>
                        <pic:spPr bwMode="auto">
                          <a:xfrm>
                            <a:off x="0" y="0"/>
                            <a:ext cx="828675" cy="190500"/>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2277" w:type="dxa"/>
        <w:jc w:val="left"/>
        <w:tblInd w:w="0" w:type="dxa"/>
        <w:tblLayout w:type="fixed"/>
        <w:tblCellMar>
          <w:top w:w="28" w:type="dxa"/>
          <w:left w:w="28" w:type="dxa"/>
          <w:bottom w:w="28" w:type="dxa"/>
          <w:right w:w="28" w:type="dxa"/>
        </w:tblCellMar>
      </w:tblPr>
      <w:tblGrid>
        <w:gridCol w:w="2086"/>
        <w:gridCol w:w="191"/>
      </w:tblGrid>
      <w:tr>
        <w:trPr/>
        <w:tc>
          <w:tcPr>
            <w:tcW w:w="20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86" w:type="dxa"/>
            <w:tcBorders/>
            <w:tcMar>
              <w:top w:w="0" w:type="dxa"/>
              <w:left w:w="0" w:type="dxa"/>
              <w:bottom w:w="0" w:type="dxa"/>
              <w:right w:w="0" w:type="dxa"/>
            </w:tcMar>
            <w:vAlign w:val="center"/>
          </w:tcPr>
          <w:p>
            <w:pPr>
              <w:pStyle w:val="TableContents"/>
              <w:bidi w:val="0"/>
              <w:spacing w:before="0" w:after="283"/>
              <w:jc w:val="left"/>
              <w:rPr>
                <w:rFonts w:ascii="Arial" w:hAnsi="Arial"/>
                <w:color w:val="002668"/>
                <w:sz w:val="20"/>
              </w:rPr>
            </w:pPr>
            <w:r>
              <w:rPr>
                <w:rFonts w:ascii="Arial" w:hAnsi="Arial"/>
                <w:color w:val="002668"/>
                <w:sz w:val="20"/>
              </w:rPr>
              <w:t>Compensation Matters</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bottom w:val="single" w:sz="8" w:space="0" w:color="002668"/>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40"/>
        <w:jc w:val="both"/>
        <w:rPr>
          <w:rFonts w:ascii="Arial" w:hAnsi="Arial"/>
          <w:color w:val="1F497D"/>
          <w:sz w:val="24"/>
          <w:u w:val="single"/>
        </w:rPr>
      </w:pPr>
      <w:r>
        <w:rPr>
          <w:rFonts w:ascii="Arial" w:hAnsi="Arial"/>
          <w:color w:val="1F497D"/>
          <w:sz w:val="24"/>
          <w:u w:val="single"/>
        </w:rPr>
        <w:t>Relationship Between Company TSR and Peer Group TSR</w:t>
      </w:r>
    </w:p>
    <w:p>
      <w:pPr>
        <w:pStyle w:val="TextBody"/>
        <w:bidi w:val="0"/>
        <w:spacing w:before="0" w:after="240"/>
        <w:jc w:val="both"/>
        <w:rPr>
          <w:rFonts w:ascii="Arial" w:hAnsi="Arial"/>
          <w:color w:val="000000"/>
          <w:sz w:val="20"/>
        </w:rPr>
      </w:pPr>
      <w:r>
        <w:rPr>
          <w:rFonts w:ascii="Arial" w:hAnsi="Arial"/>
          <w:color w:val="000000"/>
          <w:sz w:val="20"/>
        </w:rPr>
        <w:t>The following chart compares our cumulative TSR over the four most recently completed fiscal years to that of the Russell 1500 Leisure Products Index over the same period.</w:t>
      </w:r>
    </w:p>
    <w:p>
      <w:pPr>
        <w:pStyle w:val="TextBody"/>
        <w:bidi w:val="0"/>
        <w:spacing w:before="0" w:after="240"/>
        <w:jc w:val="both"/>
        <w:rPr/>
      </w:pPr>
      <w:r>
        <w:rPr/>
        <w:drawing>
          <wp:inline distT="0" distB="0" distL="0" distR="0">
            <wp:extent cx="5943600" cy="3238500"/>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51"/>
                    <a:stretch>
                      <a:fillRect/>
                    </a:stretch>
                  </pic:blipFill>
                  <pic:spPr bwMode="auto">
                    <a:xfrm>
                      <a:off x="0" y="0"/>
                      <a:ext cx="5943600" cy="3238500"/>
                    </a:xfrm>
                    <a:prstGeom prst="rect">
                      <a:avLst/>
                    </a:prstGeom>
                  </pic:spPr>
                </pic:pic>
              </a:graphicData>
            </a:graphic>
          </wp:inline>
        </w:drawing>
      </w:r>
    </w:p>
    <w:p>
      <w:pPr>
        <w:pStyle w:val="TextBody"/>
        <w:bidi w:val="0"/>
        <w:spacing w:before="0" w:after="240"/>
        <w:jc w:val="both"/>
        <w:rPr>
          <w:rFonts w:ascii="Times New Roman" w:hAnsi="Times New Roman"/>
          <w:sz w:val="20"/>
        </w:rPr>
      </w:pPr>
      <w:r>
        <w:rPr>
          <w:rFonts w:ascii="Arial" w:hAnsi="Arial"/>
          <w:color w:val="1F497D"/>
          <w:sz w:val="24"/>
          <w:u w:val="single"/>
        </w:rPr>
        <w:t>Tabular List of Most Important Financial Performance Measures</w:t>
      </w:r>
      <w:r>
        <w:rPr>
          <w:rFonts w:ascii="Times New Roman" w:hAnsi="Times New Roman"/>
          <w:color w:val="000000"/>
          <w:sz w:val="20"/>
        </w:rPr>
        <w:t xml:space="preserve"> </w:t>
      </w:r>
    </w:p>
    <w:p>
      <w:pPr>
        <w:pStyle w:val="TextBody"/>
        <w:bidi w:val="0"/>
        <w:spacing w:before="0" w:after="240"/>
        <w:jc w:val="both"/>
        <w:rPr>
          <w:rFonts w:ascii="Arial" w:hAnsi="Arial"/>
          <w:color w:val="000000"/>
          <w:sz w:val="20"/>
        </w:rPr>
      </w:pPr>
      <w:r>
        <w:rPr>
          <w:rFonts w:ascii="Arial" w:hAnsi="Arial"/>
          <w:color w:val="000000"/>
          <w:sz w:val="20"/>
        </w:rPr>
        <w:t>The following table presents the financial performance measures that we consider to have been the most important in linking Compensation Actually Paid to our PEOs and Non-PEO NEOs for fiscal 2026 to our performance. The measures in this table are not ranked.</w:t>
      </w:r>
    </w:p>
    <w:tbl>
      <w:tblPr>
        <w:tblW w:w="1846" w:type="dxa"/>
        <w:jc w:val="left"/>
        <w:tblInd w:w="0" w:type="dxa"/>
        <w:tblLayout w:type="fixed"/>
        <w:tblCellMar>
          <w:top w:w="28" w:type="dxa"/>
          <w:left w:w="28" w:type="dxa"/>
          <w:bottom w:w="28" w:type="dxa"/>
          <w:right w:w="28" w:type="dxa"/>
        </w:tblCellMar>
      </w:tblPr>
      <w:tblGrid>
        <w:gridCol w:w="1846"/>
      </w:tblGrid>
      <w:tr>
        <w:trPr/>
        <w:tc>
          <w:tcPr>
            <w:tcW w:w="1846" w:type="dxa"/>
            <w:tcBorders/>
            <w:vAlign w:val="center"/>
          </w:tcPr>
          <w:p>
            <w:pPr>
              <w:pStyle w:val="TableContents"/>
              <w:bidi w:val="0"/>
              <w:spacing w:before="0" w:after="283"/>
              <w:jc w:val="left"/>
              <w:rPr>
                <w:sz w:val="4"/>
                <w:szCs w:val="4"/>
              </w:rPr>
            </w:pPr>
            <w:r>
              <w:rPr>
                <w:sz w:val="4"/>
                <w:szCs w:val="4"/>
              </w:rPr>
            </w:r>
          </w:p>
        </w:tc>
      </w:tr>
      <w:tr>
        <w:trPr/>
        <w:tc>
          <w:tcPr>
            <w:tcW w:w="1846" w:type="dxa"/>
            <w:tcBorders>
              <w:top w:val="single" w:sz="4" w:space="0" w:color="000000"/>
              <w:left w:val="single" w:sz="4" w:space="0" w:color="000000"/>
              <w:right w:val="single" w:sz="4" w:space="0" w:color="000000"/>
            </w:tcBorders>
            <w:tcMar>
              <w:left w:w="115" w:type="dxa"/>
              <w:bottom w:w="0" w:type="dxa"/>
              <w:right w:w="115" w:type="dxa"/>
            </w:tcMar>
            <w:vAlign w:val="center"/>
          </w:tcPr>
          <w:p>
            <w:pPr>
              <w:pStyle w:val="TableContents"/>
              <w:bidi w:val="0"/>
              <w:spacing w:before="0" w:after="283"/>
              <w:jc w:val="left"/>
              <w:rPr>
                <w:sz w:val="4"/>
                <w:szCs w:val="4"/>
              </w:rPr>
            </w:pPr>
            <w:r>
              <w:rPr>
                <w:sz w:val="4"/>
                <w:szCs w:val="4"/>
              </w:rPr>
            </w:r>
          </w:p>
        </w:tc>
      </w:tr>
      <w:tr>
        <w:trPr/>
        <w:tc>
          <w:tcPr>
            <w:tcW w:w="1846" w:type="dxa"/>
            <w:tcBorders>
              <w:left w:val="single" w:sz="4" w:space="0" w:color="000000"/>
              <w:right w:val="single" w:sz="4" w:space="0" w:color="000000"/>
            </w:tcBorders>
            <w:tcMar>
              <w:top w:w="0" w:type="dxa"/>
              <w:left w:w="115" w:type="dxa"/>
              <w:bottom w:w="0" w:type="dxa"/>
              <w:right w:w="115" w:type="dxa"/>
            </w:tcMar>
            <w:vAlign w:val="center"/>
          </w:tcPr>
          <w:p>
            <w:pPr>
              <w:pStyle w:val="TableContents"/>
              <w:bidi w:val="0"/>
              <w:jc w:val="center"/>
              <w:rPr>
                <w:rFonts w:ascii="Arial" w:hAnsi="Arial"/>
                <w:color w:val="000000"/>
                <w:sz w:val="20"/>
              </w:rPr>
            </w:pPr>
            <w:r>
              <w:rPr>
                <w:rFonts w:ascii="Arial" w:hAnsi="Arial"/>
                <w:color w:val="000000"/>
                <w:sz w:val="20"/>
              </w:rPr>
              <w:t>Adjusted EBITDAS</w:t>
            </w:r>
          </w:p>
          <w:p>
            <w:pPr>
              <w:pStyle w:val="TableContents"/>
              <w:bidi w:val="0"/>
              <w:jc w:val="center"/>
              <w:rPr>
                <w:rFonts w:ascii="Arial" w:hAnsi="Arial"/>
                <w:color w:val="000000"/>
                <w:sz w:val="20"/>
              </w:rPr>
            </w:pPr>
            <w:r>
              <w:rPr>
                <w:rFonts w:ascii="Arial" w:hAnsi="Arial"/>
                <w:color w:val="000000"/>
                <w:sz w:val="20"/>
              </w:rPr>
              <w:t>Net Sales</w:t>
            </w:r>
          </w:p>
          <w:p>
            <w:pPr>
              <w:pStyle w:val="TableContents"/>
              <w:bidi w:val="0"/>
              <w:spacing w:before="0" w:after="283"/>
              <w:jc w:val="center"/>
              <w:rPr>
                <w:rFonts w:ascii="Arial" w:hAnsi="Arial"/>
                <w:color w:val="000000"/>
                <w:sz w:val="20"/>
              </w:rPr>
            </w:pPr>
            <w:r>
              <w:rPr>
                <w:rFonts w:ascii="Arial" w:hAnsi="Arial"/>
                <w:color w:val="000000"/>
                <w:sz w:val="20"/>
              </w:rPr>
              <w:t>TSR</w:t>
            </w:r>
          </w:p>
        </w:tc>
      </w:tr>
      <w:tr>
        <w:trPr/>
        <w:tc>
          <w:tcPr>
            <w:tcW w:w="1846" w:type="dxa"/>
            <w:tcBorders>
              <w:left w:val="single" w:sz="4" w:space="0" w:color="000000"/>
              <w:right w:val="single" w:sz="4" w:space="0" w:color="000000"/>
            </w:tcBorders>
            <w:tcMar>
              <w:top w:w="0" w:type="dxa"/>
              <w:left w:w="115" w:type="dxa"/>
              <w:bottom w:w="0" w:type="dxa"/>
              <w:right w:w="115" w:type="dxa"/>
            </w:tcMar>
            <w:vAlign w:val="center"/>
          </w:tcPr>
          <w:p>
            <w:pPr>
              <w:pStyle w:val="TableContents"/>
              <w:bidi w:val="0"/>
              <w:spacing w:before="0" w:after="283"/>
              <w:jc w:val="left"/>
              <w:rPr>
                <w:sz w:val="4"/>
                <w:szCs w:val="4"/>
              </w:rPr>
            </w:pPr>
            <w:r>
              <w:rPr>
                <w:sz w:val="4"/>
                <w:szCs w:val="4"/>
              </w:rPr>
            </w:r>
          </w:p>
        </w:tc>
      </w:tr>
      <w:tr>
        <w:trPr/>
        <w:tc>
          <w:tcPr>
            <w:tcW w:w="184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rFonts w:ascii="Arial" w:hAnsi="Arial"/>
          <w:color w:val="002668"/>
          <w:sz w:val="24"/>
          <w:u w:val="single"/>
        </w:rPr>
      </w:pPr>
      <w:r>
        <w:rPr>
          <w:rFonts w:ascii="Arial" w:hAnsi="Arial"/>
          <w:color w:val="002668"/>
          <w:sz w:val="24"/>
          <w:u w:val="single"/>
        </w:rPr>
        <w:t>Policies and Practices Related to the Timing of Grants of Certain Equity Awards</w:t>
      </w:r>
    </w:p>
    <w:p>
      <w:pPr>
        <w:pStyle w:val="TextBody"/>
        <w:bidi w:val="0"/>
        <w:jc w:val="both"/>
        <w:rPr>
          <w:rFonts w:ascii="Times New Roman" w:hAnsi="Times New Roman"/>
          <w:sz w:val="20"/>
        </w:rPr>
      </w:pPr>
      <w:r>
        <w:rPr>
          <w:rFonts w:ascii="Arial" w:hAnsi="Arial"/>
          <w:color w:val="000000"/>
          <w:sz w:val="20"/>
        </w:rPr>
        <w:t>We do not have any formal policies and practices regarding the timing of awards of options in relation to the disclosure of material nonpublic information. The Board and the Compensation Committee do not take material nonpublic information into account when determining the timing and terms of such awards, and we do not time the disclosure of material nonpublic information for the purpose of affecting the value of executive compensation. Consistent with our annual compensation cycle, we provide our PEO and other NEOs with the opportunity to earn</w:t>
      </w:r>
      <w:r>
        <w:rPr>
          <w:rFonts w:ascii="Times New Roman" w:hAnsi="Times New Roman"/>
          <w:color w:val="000000"/>
          <w:sz w:val="20"/>
        </w:rPr>
        <w:t xml:space="preserve"> </w:t>
      </w:r>
      <w:r>
        <w:rPr>
          <w:rFonts w:ascii="Arial" w:hAnsi="Arial"/>
          <w:color w:val="000000"/>
          <w:sz w:val="20"/>
        </w:rPr>
        <w:t>annual cash and stock-based incentive awards under a performance-based incentive compensation program based on the achievement of objective financial performance goals and, from time to time, individual performance goals. However, we have not made grants of stock options since 2013. The timing of any awards of options to executive officers in connection with new hires, promotions, or other non-routine grants is generally tied to the event giving rise to the award, such as a commencement of employment or promotion effective date. As a result, the timing of the award of options occurs independent of the release of any material nonpublic information.</w:t>
      </w:r>
    </w:p>
    <w:p>
      <w:pPr>
        <w:pStyle w:val="TextBody"/>
        <w:bidi w:val="0"/>
        <w:jc w:val="left"/>
        <w:rPr/>
      </w:pPr>
      <w:r>
        <w:rPr/>
        <w:t> </w:t>
      </w:r>
    </w:p>
    <w:tbl>
      <w:tblPr>
        <w:tblW w:w="3702" w:type="dxa"/>
        <w:jc w:val="left"/>
        <w:tblInd w:w="0" w:type="dxa"/>
        <w:tblLayout w:type="fixed"/>
        <w:tblCellMar>
          <w:top w:w="28" w:type="dxa"/>
          <w:left w:w="28" w:type="dxa"/>
          <w:bottom w:w="28" w:type="dxa"/>
          <w:right w:w="28" w:type="dxa"/>
        </w:tblCellMar>
      </w:tblPr>
      <w:tblGrid>
        <w:gridCol w:w="2266"/>
        <w:gridCol w:w="1436"/>
      </w:tblGrid>
      <w:tr>
        <w:trPr/>
        <w:tc>
          <w:tcPr>
            <w:tcW w:w="2266"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2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91F2C"/>
                <w:sz w:val="18"/>
              </w:rPr>
              <w:t>42</w:t>
            </w:r>
            <w:r>
              <w:rPr>
                <w:rFonts w:ascii="Times New Roman" w:hAnsi="Times New Roman"/>
                <w:color w:val="091F2C"/>
                <w:sz w:val="18"/>
              </w:rPr>
              <w:t> </w:t>
            </w:r>
            <w:r>
              <w:rPr>
                <w:rFonts w:ascii="Arial" w:hAnsi="Arial"/>
                <w:color w:val="091F2C"/>
                <w:sz w:val="18"/>
              </w:rPr>
              <w:t>I 2026 Proxy Statement</w:t>
            </w:r>
          </w:p>
        </w:tc>
        <w:tc>
          <w:tcPr>
            <w:tcW w:w="143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828675" cy="190500"/>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52"/>
                          <a:stretch>
                            <a:fillRect/>
                          </a:stretch>
                        </pic:blipFill>
                        <pic:spPr bwMode="auto">
                          <a:xfrm>
                            <a:off x="0" y="0"/>
                            <a:ext cx="828675" cy="190500"/>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rFonts w:ascii="Arial" w:hAnsi="Arial"/>
          <w:b/>
          <w:caps/>
          <w:color w:val="002668"/>
          <w:sz w:val="44"/>
        </w:rPr>
      </w:pPr>
      <w:bookmarkStart w:id="8" w:name="audit_matters"/>
      <w:bookmarkEnd w:id="8"/>
      <w:r>
        <w:rPr>
          <w:rFonts w:ascii="Arial" w:hAnsi="Arial"/>
          <w:b/>
          <w:caps/>
          <w:color w:val="002668"/>
          <w:sz w:val="44"/>
        </w:rPr>
        <w:t>AUDIT MATTERS</w:t>
      </w:r>
      <w:bookmarkStart w:id="9" w:name="proposal_3"/>
      <w:bookmarkEnd w:id="9"/>
    </w:p>
    <w:tbl>
      <w:tblPr>
        <w:tblW w:w="10205" w:type="dxa"/>
        <w:jc w:val="left"/>
        <w:tblInd w:w="0" w:type="dxa"/>
        <w:tblLayout w:type="fixed"/>
        <w:tblCellMar>
          <w:top w:w="28" w:type="dxa"/>
          <w:left w:w="28" w:type="dxa"/>
          <w:bottom w:w="28" w:type="dxa"/>
          <w:right w:w="28" w:type="dxa"/>
        </w:tblCellMar>
      </w:tblPr>
      <w:tblGrid>
        <w:gridCol w:w="161"/>
        <w:gridCol w:w="109"/>
        <w:gridCol w:w="9635"/>
        <w:gridCol w:w="109"/>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shd w:fill="DCDDDE" w:val="clear"/>
            <w:tcMar>
              <w:top w:w="0" w:type="dxa"/>
              <w:left w:w="0" w:type="dxa"/>
              <w:bottom w:w="0" w:type="dxa"/>
              <w:right w:w="0" w:type="dxa"/>
            </w:tcMar>
            <w:vAlign w:val="center"/>
          </w:tcPr>
          <w:p>
            <w:pPr>
              <w:pStyle w:val="TableContents"/>
              <w:bidi w:val="0"/>
              <w:spacing w:before="0" w:after="283"/>
              <w:jc w:val="both"/>
              <w:rPr/>
            </w:pPr>
            <w:r>
              <w:rPr/>
              <w:t> </w:t>
            </w:r>
          </w:p>
        </w:tc>
        <w:tc>
          <w:tcPr>
            <w:tcW w:w="109" w:type="dxa"/>
            <w:tcBorders/>
            <w:shd w:fill="DCDD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5" w:type="dxa"/>
            <w:tcBorders/>
            <w:shd w:fill="DCDDDE" w:val="clear"/>
            <w:tcMar>
              <w:top w:w="0" w:type="dxa"/>
              <w:left w:w="0" w:type="dxa"/>
              <w:bottom w:w="0" w:type="dxa"/>
              <w:right w:w="0" w:type="dxa"/>
            </w:tcMar>
            <w:vAlign w:val="center"/>
          </w:tcPr>
          <w:p>
            <w:pPr>
              <w:pStyle w:val="TableContents"/>
              <w:bidi w:val="0"/>
              <w:spacing w:before="240" w:after="120"/>
              <w:jc w:val="both"/>
              <w:rPr>
                <w:rFonts w:ascii="Arial" w:hAnsi="Arial"/>
                <w:b/>
                <w:caps/>
                <w:color w:val="1F497D"/>
                <w:sz w:val="24"/>
              </w:rPr>
            </w:pPr>
            <w:r>
              <w:rPr>
                <w:rFonts w:ascii="Arial" w:hAnsi="Arial"/>
                <w:b/>
                <w:caps/>
                <w:color w:val="1F497D"/>
                <w:sz w:val="24"/>
              </w:rPr>
              <w:t>PROPOSAL THREE – RATIFICATION OF APPOINTMENT OF INDEPENDENT REGISTERED PUBLIC ACCOUNTING FIRM</w:t>
            </w:r>
          </w:p>
        </w:tc>
        <w:tc>
          <w:tcPr>
            <w:tcW w:w="109" w:type="dxa"/>
            <w:tcBorders/>
            <w:shd w:fill="DCDD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shd w:fill="DCDDDE"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161" w:type="dxa"/>
            <w:tcBorders/>
            <w:shd w:fill="DCDDDE" w:val="clear"/>
            <w:tcMar>
              <w:top w:w="0" w:type="dxa"/>
              <w:left w:w="0" w:type="dxa"/>
              <w:bottom w:w="0" w:type="dxa"/>
              <w:right w:w="0" w:type="dxa"/>
            </w:tcMar>
            <w:vAlign w:val="center"/>
          </w:tcPr>
          <w:p>
            <w:pPr>
              <w:pStyle w:val="TableContents"/>
              <w:bidi w:val="0"/>
              <w:spacing w:before="0" w:after="283"/>
              <w:jc w:val="both"/>
              <w:rPr/>
            </w:pPr>
            <w:r>
              <w:rPr/>
              <w:t> </w:t>
            </w:r>
          </w:p>
        </w:tc>
        <w:tc>
          <w:tcPr>
            <w:tcW w:w="109" w:type="dxa"/>
            <w:tcBorders/>
            <w:shd w:fill="DCDD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5" w:type="dxa"/>
            <w:tcBorders/>
            <w:shd w:fill="DCDDDE" w:val="clear"/>
            <w:tcMar>
              <w:top w:w="0" w:type="dxa"/>
              <w:left w:w="0" w:type="dxa"/>
              <w:bottom w:w="0" w:type="dxa"/>
              <w:right w:w="0" w:type="dxa"/>
            </w:tcMar>
            <w:vAlign w:val="center"/>
          </w:tcPr>
          <w:p>
            <w:pPr>
              <w:pStyle w:val="TableContents"/>
              <w:bidi w:val="0"/>
              <w:jc w:val="both"/>
              <w:rPr>
                <w:rFonts w:ascii="Times New Roman" w:hAnsi="Times New Roman"/>
                <w:sz w:val="20"/>
              </w:rPr>
            </w:pPr>
            <w:r>
              <w:rPr>
                <w:rFonts w:ascii="Arial" w:hAnsi="Arial"/>
                <w:b/>
                <w:color w:val="000000"/>
                <w:sz w:val="20"/>
              </w:rPr>
              <w:t>What Am I Voting On?</w:t>
            </w:r>
            <w:r>
              <w:rPr>
                <w:rFonts w:ascii="Times New Roman" w:hAnsi="Times New Roman"/>
                <w:color w:val="000000"/>
                <w:sz w:val="20"/>
              </w:rPr>
              <w:t> </w:t>
            </w:r>
            <w:r>
              <w:rPr>
                <w:rFonts w:ascii="Arial" w:hAnsi="Arial"/>
                <w:color w:val="000000"/>
                <w:sz w:val="20"/>
              </w:rPr>
              <w:t>The Board is asking our stockholders to ratify the Audit Committee's selection of KPMG LLP as our independent registered public accounting firm for fiscal 2027</w:t>
            </w:r>
          </w:p>
          <w:p>
            <w:pPr>
              <w:pStyle w:val="TableContents"/>
              <w:bidi w:val="0"/>
              <w:jc w:val="both"/>
              <w:rPr/>
            </w:pPr>
            <w:r>
              <w:rPr/>
              <w:t> </w:t>
            </w:r>
          </w:p>
          <w:p>
            <w:pPr>
              <w:pStyle w:val="TableContents"/>
              <w:bidi w:val="0"/>
              <w:jc w:val="both"/>
              <w:rPr>
                <w:rFonts w:ascii="Times New Roman" w:hAnsi="Times New Roman"/>
                <w:sz w:val="20"/>
              </w:rPr>
            </w:pPr>
            <w:r>
              <w:rPr>
                <w:rFonts w:ascii="Arial" w:hAnsi="Arial"/>
                <w:b/>
                <w:color w:val="000000"/>
                <w:sz w:val="20"/>
              </w:rPr>
              <w:t>Voting Recommendation:</w:t>
            </w:r>
            <w:r>
              <w:rPr>
                <w:rFonts w:ascii="Times New Roman" w:hAnsi="Times New Roman"/>
                <w:color w:val="000000"/>
                <w:sz w:val="20"/>
              </w:rPr>
              <w:t xml:space="preserve"> </w:t>
            </w:r>
            <w:r>
              <w:rPr>
                <w:rFonts w:ascii="Arial" w:hAnsi="Arial"/>
                <w:color w:val="4F81BD"/>
                <w:sz w:val="20"/>
              </w:rPr>
              <w:t xml:space="preserve">FOR </w:t>
            </w:r>
            <w:r>
              <w:rPr>
                <w:rFonts w:ascii="Arial" w:hAnsi="Arial"/>
                <w:color w:val="000000"/>
                <w:sz w:val="20"/>
              </w:rPr>
              <w:t>the ratification of the appointment of KPMG LLP as our independent registered public accounting firm for fiscal 2027</w:t>
            </w:r>
          </w:p>
          <w:p>
            <w:pPr>
              <w:pStyle w:val="TableContents"/>
              <w:bidi w:val="0"/>
              <w:jc w:val="both"/>
              <w:rPr/>
            </w:pPr>
            <w:r>
              <w:rPr/>
              <w:t> </w:t>
            </w:r>
          </w:p>
          <w:p>
            <w:pPr>
              <w:pStyle w:val="TableContents"/>
              <w:bidi w:val="0"/>
              <w:jc w:val="both"/>
              <w:rPr>
                <w:rFonts w:ascii="Times New Roman" w:hAnsi="Times New Roman"/>
                <w:sz w:val="20"/>
              </w:rPr>
            </w:pPr>
            <w:r>
              <w:rPr>
                <w:rFonts w:ascii="Arial" w:hAnsi="Arial"/>
                <w:b/>
                <w:color w:val="000000"/>
                <w:sz w:val="20"/>
              </w:rPr>
              <w:t xml:space="preserve">Vote Required: </w:t>
            </w:r>
            <w:r>
              <w:rPr>
                <w:rFonts w:ascii="Arial" w:hAnsi="Arial"/>
                <w:color w:val="000000"/>
                <w:sz w:val="20"/>
              </w:rPr>
              <w:t>The affirmative vote of a majority of the votes cast is required to approve the proposal</w:t>
            </w:r>
            <w:r>
              <w:rPr>
                <w:rFonts w:ascii="Times New Roman" w:hAnsi="Times New Roman"/>
                <w:color w:val="000000"/>
                <w:sz w:val="20"/>
              </w:rPr>
              <w:t xml:space="preserve"> </w:t>
            </w:r>
          </w:p>
          <w:p>
            <w:pPr>
              <w:pStyle w:val="TableContents"/>
              <w:bidi w:val="0"/>
              <w:jc w:val="both"/>
              <w:rPr/>
            </w:pPr>
            <w:r>
              <w:rPr/>
              <w:t> </w:t>
            </w:r>
          </w:p>
          <w:p>
            <w:pPr>
              <w:pStyle w:val="TableContents"/>
              <w:bidi w:val="0"/>
              <w:jc w:val="both"/>
              <w:rPr>
                <w:rFonts w:ascii="Times New Roman" w:hAnsi="Times New Roman"/>
                <w:sz w:val="20"/>
              </w:rPr>
            </w:pPr>
            <w:r>
              <w:rPr>
                <w:rFonts w:ascii="Arial" w:hAnsi="Arial"/>
                <w:b/>
                <w:color w:val="000000"/>
                <w:sz w:val="20"/>
              </w:rPr>
              <w:t>Broker Discretionary Voting Allowed?</w:t>
            </w:r>
            <w:r>
              <w:rPr>
                <w:rFonts w:ascii="Times New Roman" w:hAnsi="Times New Roman"/>
                <w:color w:val="000000"/>
                <w:sz w:val="20"/>
              </w:rPr>
              <w:t> </w:t>
            </w:r>
            <w:r>
              <w:rPr>
                <w:rFonts w:ascii="Arial" w:hAnsi="Arial"/>
                <w:color w:val="000000"/>
                <w:sz w:val="20"/>
              </w:rPr>
              <w:t>Yes. Organizations holding shares of beneficial owners may vote in their discretion</w:t>
            </w:r>
          </w:p>
          <w:p>
            <w:pPr>
              <w:pStyle w:val="TableContents"/>
              <w:bidi w:val="0"/>
              <w:jc w:val="both"/>
              <w:rPr/>
            </w:pPr>
            <w:r>
              <w:rPr/>
              <w:t> </w:t>
            </w:r>
          </w:p>
          <w:p>
            <w:pPr>
              <w:pStyle w:val="TableContents"/>
              <w:bidi w:val="0"/>
              <w:spacing w:before="0" w:after="240"/>
              <w:jc w:val="both"/>
              <w:rPr>
                <w:rFonts w:ascii="Times New Roman" w:hAnsi="Times New Roman"/>
                <w:sz w:val="20"/>
              </w:rPr>
            </w:pPr>
            <w:r>
              <w:rPr>
                <w:rFonts w:ascii="Arial" w:hAnsi="Arial"/>
                <w:b/>
                <w:color w:val="000000"/>
                <w:sz w:val="20"/>
              </w:rPr>
              <w:t>Abstentions:</w:t>
            </w:r>
            <w:r>
              <w:rPr>
                <w:rFonts w:ascii="Times New Roman" w:hAnsi="Times New Roman"/>
                <w:color w:val="000000"/>
                <w:sz w:val="20"/>
              </w:rPr>
              <w:t> </w:t>
            </w:r>
            <w:r>
              <w:rPr>
                <w:rFonts w:ascii="Arial" w:hAnsi="Arial"/>
                <w:color w:val="000000"/>
                <w:sz w:val="20"/>
              </w:rPr>
              <w:t>No effect</w:t>
            </w:r>
          </w:p>
        </w:tc>
        <w:tc>
          <w:tcPr>
            <w:tcW w:w="109" w:type="dxa"/>
            <w:tcBorders/>
            <w:shd w:fill="DCDD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shd w:fill="DCDDDE" w:val="clear"/>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jc w:val="left"/>
        <w:rPr/>
      </w:pPr>
      <w:r>
        <w:rPr/>
        <w:t> </w:t>
      </w:r>
    </w:p>
    <w:p>
      <w:pPr>
        <w:pStyle w:val="TextBody"/>
        <w:bidi w:val="0"/>
        <w:jc w:val="both"/>
        <w:rPr>
          <w:rFonts w:ascii="Arial" w:hAnsi="Arial"/>
          <w:b/>
          <w:color w:val="002668"/>
          <w:sz w:val="28"/>
        </w:rPr>
      </w:pPr>
      <w:r>
        <w:rPr>
          <w:rFonts w:ascii="Arial" w:hAnsi="Arial"/>
          <w:b/>
          <w:color w:val="002668"/>
          <w:sz w:val="28"/>
        </w:rPr>
        <w:t>REPORT OF THE AUDIT COMMITTEE</w:t>
      </w:r>
    </w:p>
    <w:p>
      <w:pPr>
        <w:pStyle w:val="TextBody"/>
        <w:bidi w:val="0"/>
        <w:jc w:val="both"/>
        <w:rPr>
          <w:rFonts w:ascii="Times New Roman" w:hAnsi="Times New Roman"/>
          <w:sz w:val="20"/>
        </w:rPr>
      </w:pPr>
      <w:r>
        <w:rPr>
          <w:rFonts w:ascii="Arial" w:hAnsi="Arial"/>
          <w:color w:val="000000"/>
          <w:sz w:val="20"/>
        </w:rPr>
        <w:t>The Board has appointed an Audit Committee, consisting of four independent directors, each of whom is “independent” as independence is defined in applicable Nasdaq and SEC rules.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purpose of the Audit Committee is to assist the oversight of the Board in the integrity of our financial statements, our compliance with legal and regulatory matters, our policies and practices related to information security, the independent registered public accountant’s qualifications and independence, and the performance of our independent registered public accountant. The primary responsibilities of the Audit Committee include overseeing our accounting and financial reporting process and audits of our financial statements on behalf of the Board.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Management has the primary responsibility for the financial statements and the reporting process, including the systems of internal controls. The independent registered public accountant is responsible for auditing the financial statements and expressing an opinion on the conformity of those audited financial statements with generally accepted accounting principles.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In fulfilling its oversight responsibilities, the Audit Committee reviewed the audited financial statements with management and the independent registered public accountant. The Audit Committee discussed with the independent registered public accountant the matters required to be discussed by the Public Company Accounting Oversight Board, including a discussion of the independent registered public accountant’s judgments as to the quality of our accounting principles and such other matters as are required to be discussed under generally accepted auditing standards. In addition, the Audit Committee received from the independent registered public accountant written disclosures and the letter required by applicable requirements of the Public Company Accounting Oversight Board regarding the independent registered public accountant’s communications with the Audit Committee concerning independence. The Audit Committee also discussed with the independent registered public accountant its independence from management and us, including the matters covered by the written disclosures and letter provided by the independent registered public accountant.</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The Audit Committee discussed with the independent registered public accountant the overall scope and plans for its audit. The Audit Committee met with the independent registered public accountant, with and without management present, to discuss the results of the examinations, its evaluations of us, the internal controls, and the overall quality of the financial reporting.</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Based on the reviews and discussions referred to above, the Audit Committee recommended to the Board, and the Board approved, that the audited financial statements be included in the Form 10-K.</w:t>
      </w:r>
    </w:p>
    <w:p>
      <w:pPr>
        <w:pStyle w:val="TextBody"/>
        <w:bidi w:val="0"/>
        <w:spacing w:before="120" w:after="283"/>
        <w:jc w:val="both"/>
        <w:rPr>
          <w:rFonts w:ascii="Times New Roman" w:hAnsi="Times New Roman"/>
          <w:sz w:val="20"/>
        </w:rPr>
      </w:pPr>
      <w:r>
        <w:rPr>
          <w:rFonts w:ascii="Arial" w:hAnsi="Arial"/>
          <w:b/>
          <w:i/>
          <w:color w:val="4F81BD"/>
          <w:sz w:val="20"/>
        </w:rPr>
        <w:t xml:space="preserve">Audit Committee: </w:t>
      </w:r>
      <w:r>
        <w:rPr>
          <w:rFonts w:ascii="Arial" w:hAnsi="Arial"/>
          <w:color w:val="000000"/>
          <w:sz w:val="20"/>
        </w:rPr>
        <w:t>Anita D. Britt, Chair; Michelle J. Lohmeier; Robert L. Scott; and Denis G. Suggs.</w:t>
      </w:r>
    </w:p>
    <w:p>
      <w:pPr>
        <w:pStyle w:val="TextBody"/>
        <w:bidi w:val="0"/>
        <w:jc w:val="left"/>
        <w:rPr/>
      </w:pPr>
      <w:r>
        <w:rPr/>
        <w:t> </w:t>
      </w:r>
    </w:p>
    <w:tbl>
      <w:tblPr>
        <w:tblW w:w="3702" w:type="dxa"/>
        <w:jc w:val="left"/>
        <w:tblInd w:w="0" w:type="dxa"/>
        <w:tblLayout w:type="fixed"/>
        <w:tblCellMar>
          <w:top w:w="28" w:type="dxa"/>
          <w:left w:w="28" w:type="dxa"/>
          <w:bottom w:w="28" w:type="dxa"/>
          <w:right w:w="28" w:type="dxa"/>
        </w:tblCellMar>
      </w:tblPr>
      <w:tblGrid>
        <w:gridCol w:w="1406"/>
        <w:gridCol w:w="2296"/>
      </w:tblGrid>
      <w:tr>
        <w:trPr/>
        <w:tc>
          <w:tcPr>
            <w:tcW w:w="1406"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r>
      <w:tr>
        <w:trPr/>
        <w:tc>
          <w:tcPr>
            <w:tcW w:w="140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828675" cy="190500"/>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embed="rId53"/>
                          <a:stretch>
                            <a:fillRect/>
                          </a:stretch>
                        </pic:blipFill>
                        <pic:spPr bwMode="auto">
                          <a:xfrm>
                            <a:off x="0" y="0"/>
                            <a:ext cx="828675" cy="190500"/>
                          </a:xfrm>
                          <a:prstGeom prst="rect">
                            <a:avLst/>
                          </a:prstGeom>
                        </pic:spPr>
                      </pic:pic>
                    </a:graphicData>
                  </a:graphic>
                </wp:inline>
              </w:drawing>
            </w:r>
          </w:p>
        </w:tc>
        <w:tc>
          <w:tcPr>
            <w:tcW w:w="2296" w:type="dxa"/>
            <w:tcBorders/>
            <w:tcMar>
              <w:top w:w="0" w:type="dxa"/>
              <w:left w:w="0" w:type="dxa"/>
              <w:bottom w:w="0" w:type="dxa"/>
              <w:right w:w="0" w:type="dxa"/>
            </w:tcMar>
            <w:vAlign w:val="center"/>
          </w:tcPr>
          <w:p>
            <w:pPr>
              <w:pStyle w:val="TableContents"/>
              <w:bidi w:val="0"/>
              <w:spacing w:before="0" w:after="283"/>
              <w:jc w:val="right"/>
              <w:rPr>
                <w:rFonts w:ascii="Arial" w:hAnsi="Arial"/>
                <w:color w:val="091F2C"/>
                <w:sz w:val="18"/>
              </w:rPr>
            </w:pPr>
            <w:r>
              <w:rPr>
                <w:rFonts w:ascii="Arial" w:hAnsi="Arial"/>
                <w:color w:val="091F2C"/>
                <w:sz w:val="18"/>
              </w:rPr>
              <w:t>2025 Proxy Statement I 43</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1482" w:type="dxa"/>
        <w:jc w:val="left"/>
        <w:tblInd w:w="0" w:type="dxa"/>
        <w:tblLayout w:type="fixed"/>
        <w:tblCellMar>
          <w:top w:w="28" w:type="dxa"/>
          <w:left w:w="28" w:type="dxa"/>
          <w:bottom w:w="28" w:type="dxa"/>
          <w:right w:w="28" w:type="dxa"/>
        </w:tblCellMar>
      </w:tblPr>
      <w:tblGrid>
        <w:gridCol w:w="1291"/>
        <w:gridCol w:w="191"/>
      </w:tblGrid>
      <w:tr>
        <w:trPr/>
        <w:tc>
          <w:tcPr>
            <w:tcW w:w="12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291" w:type="dxa"/>
            <w:tcBorders/>
            <w:tcMar>
              <w:top w:w="0" w:type="dxa"/>
              <w:left w:w="0" w:type="dxa"/>
              <w:bottom w:w="0" w:type="dxa"/>
              <w:right w:w="0" w:type="dxa"/>
            </w:tcMar>
            <w:vAlign w:val="center"/>
          </w:tcPr>
          <w:p>
            <w:pPr>
              <w:pStyle w:val="TableContents"/>
              <w:bidi w:val="0"/>
              <w:spacing w:before="0" w:after="283"/>
              <w:jc w:val="left"/>
              <w:rPr>
                <w:rFonts w:ascii="Arial" w:hAnsi="Arial"/>
                <w:color w:val="002668"/>
                <w:sz w:val="20"/>
              </w:rPr>
            </w:pPr>
            <w:r>
              <w:rPr>
                <w:rFonts w:ascii="Arial" w:hAnsi="Arial"/>
                <w:color w:val="002668"/>
                <w:sz w:val="20"/>
              </w:rPr>
              <w:t>Audit Matters</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91" w:type="dxa"/>
            <w:tcBorders>
              <w:bottom w:val="single" w:sz="8" w:space="0" w:color="002668"/>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both"/>
        <w:rPr>
          <w:rFonts w:ascii="Arial" w:hAnsi="Arial"/>
          <w:color w:val="002668"/>
          <w:sz w:val="24"/>
          <w:u w:val="single"/>
        </w:rPr>
      </w:pPr>
      <w:r>
        <w:rPr>
          <w:rFonts w:ascii="Arial" w:hAnsi="Arial"/>
          <w:color w:val="002668"/>
          <w:sz w:val="24"/>
          <w:u w:val="single"/>
        </w:rPr>
        <w:t>Independent Registered Public Accounting Firm</w:t>
      </w:r>
    </w:p>
    <w:p>
      <w:pPr>
        <w:pStyle w:val="TextBody"/>
        <w:bidi w:val="0"/>
        <w:jc w:val="both"/>
        <w:rPr>
          <w:rFonts w:ascii="Arial" w:hAnsi="Arial"/>
          <w:color w:val="000000"/>
          <w:sz w:val="20"/>
        </w:rPr>
      </w:pPr>
      <w:r>
        <w:rPr>
          <w:rFonts w:ascii="Arial" w:hAnsi="Arial"/>
          <w:color w:val="000000"/>
          <w:sz w:val="20"/>
        </w:rPr>
        <w:t>The Audit Committee has appointed KPMG LLP to audit our consolidated financial statements for fiscal 2027 and recommends that stockholders vote in favor of the ratification of such appointment. In the event of a negative vote on the ratification of such appointment, the Audit Committee will reconsider its selection. We anticipate that representatives of KPMG LLP will be present at the 2026 Annual Meeting, will have the opportunity to make a statement if they desire, and will be available to respond to appropriate questions. The Audit Committee first appointed KPMG LLP to audit our consolidated financial statements in 2024.</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The Audit Committee has considered whether the provision of non-audit services by our independent registered public accountant is compatible with maintaining its independence and has determined that KPMG LLP’s independence is not compromised by providing such services.</w:t>
      </w:r>
    </w:p>
    <w:p>
      <w:pPr>
        <w:pStyle w:val="TextBody"/>
        <w:bidi w:val="0"/>
        <w:spacing w:before="240" w:after="283"/>
        <w:jc w:val="both"/>
        <w:rPr>
          <w:rFonts w:ascii="Arial" w:hAnsi="Arial"/>
          <w:color w:val="002668"/>
          <w:sz w:val="24"/>
          <w:u w:val="single"/>
        </w:rPr>
      </w:pPr>
      <w:r>
        <w:rPr>
          <w:rFonts w:ascii="Arial" w:hAnsi="Arial"/>
          <w:color w:val="002668"/>
          <w:sz w:val="24"/>
          <w:u w:val="single"/>
        </w:rPr>
        <w:t>Audit Fees and Audit-Related Fees</w:t>
      </w:r>
    </w:p>
    <w:p>
      <w:pPr>
        <w:pStyle w:val="TextBody"/>
        <w:bidi w:val="0"/>
        <w:jc w:val="both"/>
        <w:rPr>
          <w:rFonts w:ascii="Times New Roman" w:hAnsi="Times New Roman"/>
          <w:sz w:val="20"/>
        </w:rPr>
      </w:pPr>
      <w:r>
        <w:rPr>
          <w:rFonts w:ascii="Arial" w:hAnsi="Arial"/>
          <w:color w:val="000000"/>
          <w:sz w:val="20"/>
        </w:rPr>
        <w:t>The aggregate fees billed to us by KPMG LLP and Deloitte &amp; Touche LLP for fiscal 2026 and 2025 are as follows:</w:t>
      </w:r>
      <w:r>
        <w:rPr>
          <w:rFonts w:ascii="Times New Roman" w:hAnsi="Times New Roman"/>
          <w:color w:val="000000"/>
          <w:sz w:val="20"/>
        </w:rPr>
        <w:t xml:space="preserve"> </w:t>
      </w:r>
    </w:p>
    <w:p>
      <w:pPr>
        <w:pStyle w:val="TextBody"/>
        <w:bidi w:val="0"/>
        <w:jc w:val="both"/>
        <w:rPr/>
      </w:pPr>
      <w:r>
        <w:rPr/>
        <w:t> </w:t>
      </w:r>
    </w:p>
    <w:tbl>
      <w:tblPr>
        <w:tblW w:w="4400" w:type="dxa"/>
        <w:jc w:val="left"/>
        <w:tblInd w:w="0" w:type="dxa"/>
        <w:tblLayout w:type="fixed"/>
        <w:tblCellMar>
          <w:top w:w="28" w:type="dxa"/>
          <w:left w:w="28" w:type="dxa"/>
          <w:bottom w:w="28" w:type="dxa"/>
          <w:right w:w="28" w:type="dxa"/>
        </w:tblCellMar>
      </w:tblPr>
      <w:tblGrid>
        <w:gridCol w:w="1516"/>
        <w:gridCol w:w="146"/>
        <w:gridCol w:w="196"/>
        <w:gridCol w:w="691"/>
        <w:gridCol w:w="146"/>
        <w:gridCol w:w="146"/>
        <w:gridCol w:w="146"/>
        <w:gridCol w:w="196"/>
        <w:gridCol w:w="826"/>
        <w:gridCol w:w="391"/>
      </w:tblGrid>
      <w:tr>
        <w:trPr/>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51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rFonts w:ascii="Arial" w:hAnsi="Arial"/>
                <w:b/>
                <w:color w:val="FFFFFF"/>
                <w:sz w:val="16"/>
              </w:rPr>
            </w:pPr>
            <w:r>
              <w:rPr>
                <w:rFonts w:ascii="Arial" w:hAnsi="Arial"/>
                <w:b/>
                <w:color w:val="FFFFFF"/>
                <w:sz w:val="16"/>
              </w:rPr>
              <w:t>2026</w:t>
            </w:r>
          </w:p>
        </w:tc>
        <w:tc>
          <w:tcPr>
            <w:tcW w:w="14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rFonts w:ascii="Arial" w:hAnsi="Arial"/>
                <w:b/>
                <w:color w:val="FFFFFF"/>
                <w:sz w:val="16"/>
              </w:rPr>
            </w:pPr>
            <w:r>
              <w:rPr>
                <w:rFonts w:ascii="Arial" w:hAnsi="Arial"/>
                <w:b/>
                <w:color w:val="FFFFFF"/>
                <w:sz w:val="16"/>
              </w:rPr>
              <w:t>2025</w:t>
            </w:r>
          </w:p>
        </w:tc>
        <w:tc>
          <w:tcPr>
            <w:tcW w:w="391" w:type="dxa"/>
            <w:tcBorders>
              <w:bottom w:val="single" w:sz="18" w:space="0" w:color="0071A2"/>
            </w:tcBorders>
            <w:shd w:fill="002668" w:val="clear"/>
            <w:tcMar>
              <w:top w:w="0" w:type="dxa"/>
              <w:left w:w="0" w:type="dxa"/>
              <w:right w:w="0" w:type="dxa"/>
            </w:tcMar>
            <w:vAlign w:val="center"/>
          </w:tcPr>
          <w:p>
            <w:pPr>
              <w:pStyle w:val="TableContents"/>
              <w:bidi w:val="0"/>
              <w:spacing w:before="0" w:after="283"/>
              <w:jc w:val="center"/>
              <w:rPr/>
            </w:pPr>
            <w:r>
              <w:rPr/>
              <w:t> </w:t>
            </w:r>
          </w:p>
        </w:tc>
      </w:tr>
      <w:tr>
        <w:trPr/>
        <w:tc>
          <w:tcPr>
            <w:tcW w:w="1516" w:type="dxa"/>
            <w:tcBorders/>
            <w:shd w:fill="F2F2F2"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Audit Fees</w:t>
            </w:r>
          </w:p>
        </w:tc>
        <w:tc>
          <w:tcPr>
            <w:tcW w:w="146" w:type="dxa"/>
            <w:tcBorders/>
            <w:shd w:fill="F2F2F2"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2F2F2"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F2F2F2"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885,000</w:t>
            </w:r>
          </w:p>
        </w:tc>
        <w:tc>
          <w:tcPr>
            <w:tcW w:w="146" w:type="dxa"/>
            <w:tcBorders/>
            <w:shd w:fill="F2F2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2F2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2F2F2"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2F2F2"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26" w:type="dxa"/>
            <w:tcBorders/>
            <w:shd w:fill="F2F2F2"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1,049,000</w:t>
            </w:r>
          </w:p>
        </w:tc>
        <w:tc>
          <w:tcPr>
            <w:tcW w:w="391" w:type="dxa"/>
            <w:tcBorders/>
            <w:shd w:fill="F2F2F2"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Audit-Related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16" w:type="dxa"/>
            <w:tcBorders/>
            <w:shd w:fill="F2F2F2"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Tax Fees</w:t>
            </w:r>
          </w:p>
        </w:tc>
        <w:tc>
          <w:tcPr>
            <w:tcW w:w="146" w:type="dxa"/>
            <w:tcBorders/>
            <w:shd w:fill="F2F2F2"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2F2F2"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2F2F2"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2F2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2F2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2F2F2"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2F2F2"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2F2F2"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2F2F2"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All Other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516" w:type="dxa"/>
            <w:tcBorders/>
            <w:shd w:fill="F2F2F2"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Total</w:t>
            </w:r>
          </w:p>
        </w:tc>
        <w:tc>
          <w:tcPr>
            <w:tcW w:w="146" w:type="dxa"/>
            <w:tcBorders/>
            <w:shd w:fill="F2F2F2"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2F2F2"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F2F2F2"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885,000</w:t>
            </w:r>
          </w:p>
        </w:tc>
        <w:tc>
          <w:tcPr>
            <w:tcW w:w="146" w:type="dxa"/>
            <w:tcBorders>
              <w:bottom w:val="double" w:sz="6" w:space="0" w:color="000000"/>
            </w:tcBorders>
            <w:shd w:fill="F2F2F2"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2F2F2"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2F2F2"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2F2F2"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26" w:type="dxa"/>
            <w:tcBorders>
              <w:bottom w:val="double" w:sz="6" w:space="0" w:color="000000"/>
            </w:tcBorders>
            <w:shd w:fill="F2F2F2"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1,049,000</w:t>
            </w:r>
          </w:p>
        </w:tc>
        <w:tc>
          <w:tcPr>
            <w:tcW w:w="391" w:type="dxa"/>
            <w:tcBorders>
              <w:bottom w:val="double" w:sz="6" w:space="0" w:color="000000"/>
            </w:tcBorders>
            <w:shd w:fill="F2F2F2" w:val="clear"/>
            <w:tcMar>
              <w:top w:w="0" w:type="dxa"/>
              <w:left w:w="0" w:type="dxa"/>
              <w:right w:w="0" w:type="dxa"/>
            </w:tcMar>
            <w:vAlign w:val="center"/>
          </w:tcPr>
          <w:p>
            <w:pPr>
              <w:pStyle w:val="TableContents"/>
              <w:bidi w:val="0"/>
              <w:spacing w:before="0" w:after="283"/>
              <w:jc w:val="left"/>
              <w:rPr/>
            </w:pPr>
            <w:r>
              <w:rPr/>
              <w:t> </w:t>
            </w:r>
          </w:p>
        </w:tc>
      </w:tr>
      <w:tr>
        <w:trPr/>
        <w:tc>
          <w:tcPr>
            <w:tcW w:w="1516" w:type="dxa"/>
            <w:tcBorders>
              <w:bottom w:val="single" w:sz="18"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18"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bottom w:val="single" w:sz="18"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18" w:space="0" w:color="0071A2"/>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Arial" w:hAnsi="Arial"/>
          <w:color w:val="000000"/>
          <w:sz w:val="20"/>
        </w:rPr>
      </w:pPr>
      <w:r>
        <w:rPr>
          <w:rFonts w:ascii="Arial" w:hAnsi="Arial"/>
          <w:color w:val="000000"/>
          <w:sz w:val="20"/>
        </w:rPr>
        <w:t>Audit services for fiscal 2026 and 2025 consisted of the audit of our consolidated financial statements and the audit of our internal controls in accordance with Section 404 of the Sarbanes-Oxley Act and the review of our quarterly financial statements.</w:t>
      </w:r>
    </w:p>
    <w:p>
      <w:pPr>
        <w:pStyle w:val="TextBody"/>
        <w:bidi w:val="0"/>
        <w:spacing w:before="240" w:after="283"/>
        <w:jc w:val="both"/>
        <w:rPr>
          <w:rFonts w:ascii="Arial" w:hAnsi="Arial"/>
          <w:color w:val="002668"/>
          <w:sz w:val="24"/>
          <w:u w:val="single"/>
        </w:rPr>
      </w:pPr>
      <w:r>
        <w:rPr>
          <w:rFonts w:ascii="Arial" w:hAnsi="Arial"/>
          <w:color w:val="002668"/>
          <w:sz w:val="24"/>
          <w:u w:val="single"/>
        </w:rPr>
        <w:t>Audit Committee Pre-Approval Policies</w:t>
      </w:r>
    </w:p>
    <w:p>
      <w:pPr>
        <w:pStyle w:val="TextBody"/>
        <w:bidi w:val="0"/>
        <w:jc w:val="both"/>
        <w:rPr>
          <w:rFonts w:ascii="Times New Roman" w:hAnsi="Times New Roman"/>
          <w:sz w:val="20"/>
        </w:rPr>
      </w:pPr>
      <w:r>
        <w:rPr>
          <w:rFonts w:ascii="Arial" w:hAnsi="Arial"/>
          <w:color w:val="000000"/>
          <w:sz w:val="20"/>
        </w:rPr>
        <w:t>The Audit Committee charter provides that the duties and responsibilities of the Audit Committee include the pre-approval of all audits, audit-related, tax, and other services permitted by law or applicable SEC regulations (including fee and cost ranges) to be performed by our independent registered public accountant. Any pre-approved services that will involve fees or costs exceeding pre-approved levels also require specific pre-approval by the Audit Committee. Unless otherwise specified by the Audit Committee in pre-approving a service, the pre-approval is effective for the 12-month period following pre-approval. The Audit Committee will not approve any non-audit services prohibited by applicable SEC regulations or any services in connection with a transaction initially recommended by the independent registered public accountant, the purpose of which may be tax avoidance and the tax treatment of which may not be supported by the Code and related regulations.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To the extent deemed appropriate, the Audit Committee may delegate pre-approval authority to the Chair of the Audit Committee or any one or more other members of the Audit Committee provided that any member of the Audit Committee who has exercised any such delegation must report any such pre-approval decision to the Audit Committee at its next scheduled meeting. The Audit Committee will not delegate the pre-approval of services to be performed by the independent registered public accountant to management.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Audit Committee requires that the independent registered public accountant, in conjunction with our CFO, be responsible for seeking pre-approval for providing services to us and that any request for pre-approval must inform the Audit Committee about each service to be provided and must provide detail as to the particular service to be provided.</w:t>
      </w:r>
      <w:r>
        <w:rPr>
          <w:rFonts w:ascii="Times New Roman" w:hAnsi="Times New Roman"/>
          <w:color w:val="000000"/>
          <w:sz w:val="20"/>
        </w:rPr>
        <w:t xml:space="preserve"> </w:t>
      </w:r>
    </w:p>
    <w:p>
      <w:pPr>
        <w:pStyle w:val="TextBody"/>
        <w:bidi w:val="0"/>
        <w:spacing w:before="240" w:after="283"/>
        <w:jc w:val="both"/>
        <w:rPr/>
      </w:pPr>
      <w:r>
        <w:rPr/>
        <w:t> </w:t>
      </w:r>
    </w:p>
    <w:p>
      <w:pPr>
        <w:pStyle w:val="TextBody"/>
        <w:bidi w:val="0"/>
        <w:spacing w:before="240" w:after="283"/>
        <w:jc w:val="both"/>
        <w:rPr/>
      </w:pPr>
      <w:r>
        <w:rPr/>
        <w:t> </w:t>
      </w:r>
    </w:p>
    <w:p>
      <w:pPr>
        <w:pStyle w:val="TextBody"/>
        <w:bidi w:val="0"/>
        <w:jc w:val="left"/>
        <w:rPr/>
      </w:pPr>
      <w:r>
        <w:rPr/>
        <w:t> </w:t>
      </w:r>
    </w:p>
    <w:tbl>
      <w:tblPr>
        <w:tblW w:w="3702" w:type="dxa"/>
        <w:jc w:val="left"/>
        <w:tblInd w:w="0" w:type="dxa"/>
        <w:tblLayout w:type="fixed"/>
        <w:tblCellMar>
          <w:top w:w="28" w:type="dxa"/>
          <w:left w:w="28" w:type="dxa"/>
          <w:bottom w:w="28" w:type="dxa"/>
          <w:right w:w="28" w:type="dxa"/>
        </w:tblCellMar>
      </w:tblPr>
      <w:tblGrid>
        <w:gridCol w:w="2266"/>
        <w:gridCol w:w="1436"/>
      </w:tblGrid>
      <w:tr>
        <w:trPr/>
        <w:tc>
          <w:tcPr>
            <w:tcW w:w="2266"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2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91F2C"/>
                <w:sz w:val="18"/>
              </w:rPr>
              <w:t>44</w:t>
            </w:r>
            <w:r>
              <w:rPr>
                <w:rFonts w:ascii="Times New Roman" w:hAnsi="Times New Roman"/>
                <w:color w:val="091F2C"/>
                <w:sz w:val="18"/>
              </w:rPr>
              <w:t> </w:t>
            </w:r>
            <w:r>
              <w:rPr>
                <w:rFonts w:ascii="Arial" w:hAnsi="Arial"/>
                <w:color w:val="091F2C"/>
                <w:sz w:val="18"/>
              </w:rPr>
              <w:t>I 2026 Proxy Statement</w:t>
            </w:r>
          </w:p>
        </w:tc>
        <w:tc>
          <w:tcPr>
            <w:tcW w:w="143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828675" cy="190500"/>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embed="rId54"/>
                          <a:stretch>
                            <a:fillRect/>
                          </a:stretch>
                        </pic:blipFill>
                        <pic:spPr bwMode="auto">
                          <a:xfrm>
                            <a:off x="0" y="0"/>
                            <a:ext cx="828675" cy="190500"/>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Arial" w:hAnsi="Arial"/>
          <w:b/>
          <w:caps/>
          <w:color w:val="002668"/>
          <w:sz w:val="44"/>
        </w:rPr>
      </w:pPr>
      <w:bookmarkStart w:id="10" w:name="or_important_information"/>
      <w:bookmarkEnd w:id="10"/>
      <w:r>
        <w:rPr>
          <w:rFonts w:ascii="Arial" w:hAnsi="Arial"/>
          <w:b/>
          <w:caps/>
          <w:color w:val="002668"/>
          <w:sz w:val="44"/>
        </w:rPr>
        <w:t>OTHER IMPORTANT INFORMATION</w:t>
      </w:r>
    </w:p>
    <w:p>
      <w:pPr>
        <w:pStyle w:val="TextBody"/>
        <w:bidi w:val="0"/>
        <w:jc w:val="both"/>
        <w:rPr>
          <w:rFonts w:ascii="Arial" w:hAnsi="Arial"/>
          <w:b/>
          <w:color w:val="002668"/>
          <w:sz w:val="28"/>
        </w:rPr>
      </w:pPr>
      <w:bookmarkStart w:id="11" w:name="beneficial_ownership_of_common_stock"/>
      <w:bookmarkEnd w:id="11"/>
      <w:r>
        <w:rPr>
          <w:rFonts w:ascii="Arial" w:hAnsi="Arial"/>
          <w:b/>
          <w:color w:val="002668"/>
          <w:sz w:val="28"/>
        </w:rPr>
        <w:t>BENEFICIAL OWNERSHIP OF COMMON STOCK</w:t>
      </w:r>
    </w:p>
    <w:p>
      <w:pPr>
        <w:pStyle w:val="TextBody"/>
        <w:bidi w:val="0"/>
        <w:spacing w:before="240" w:after="283"/>
        <w:jc w:val="both"/>
        <w:rPr>
          <w:rFonts w:ascii="Arial" w:hAnsi="Arial"/>
          <w:color w:val="000000"/>
          <w:sz w:val="20"/>
        </w:rPr>
      </w:pPr>
      <w:r>
        <w:rPr>
          <w:rFonts w:ascii="Arial" w:hAnsi="Arial"/>
          <w:color w:val="000000"/>
          <w:sz w:val="20"/>
        </w:rPr>
        <w:t>The following table sets forth certain information regarding the beneficial ownership of outstanding shares of our common stock as of July 24, 2026 by (1) each of our directors, director nominees, and NEOs, (2) all of our directors and executive officers as a group, and (3) each person known by us to own more than 5% of our common stock.</w:t>
      </w:r>
    </w:p>
    <w:p>
      <w:pPr>
        <w:pStyle w:val="TextBody"/>
        <w:bidi w:val="0"/>
        <w:jc w:val="both"/>
        <w:rPr/>
      </w:pPr>
      <w:r>
        <w:rPr/>
        <w:t> </w:t>
      </w:r>
    </w:p>
    <w:tbl>
      <w:tblPr>
        <w:tblW w:w="7482" w:type="dxa"/>
        <w:jc w:val="left"/>
        <w:tblInd w:w="0" w:type="dxa"/>
        <w:tblLayout w:type="fixed"/>
        <w:tblCellMar>
          <w:top w:w="28" w:type="dxa"/>
          <w:left w:w="28" w:type="dxa"/>
          <w:bottom w:w="28" w:type="dxa"/>
          <w:right w:w="28" w:type="dxa"/>
        </w:tblCellMar>
      </w:tblPr>
      <w:tblGrid>
        <w:gridCol w:w="4541"/>
        <w:gridCol w:w="146"/>
        <w:gridCol w:w="146"/>
        <w:gridCol w:w="826"/>
        <w:gridCol w:w="146"/>
        <w:gridCol w:w="316"/>
        <w:gridCol w:w="246"/>
        <w:gridCol w:w="714"/>
        <w:gridCol w:w="401"/>
      </w:tblGrid>
      <w:tr>
        <w:trPr/>
        <w:tc>
          <w:tcPr>
            <w:tcW w:w="4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4541" w:type="dxa"/>
            <w:tcBorders>
              <w:bottom w:val="single" w:sz="4" w:space="0" w:color="0071A2"/>
            </w:tcBorders>
            <w:shd w:fill="002668" w:val="clear"/>
            <w:tcMar>
              <w:top w:w="0" w:type="dxa"/>
              <w:left w:w="0" w:type="dxa"/>
              <w:right w:w="0" w:type="dxa"/>
            </w:tcMar>
            <w:vAlign w:val="center"/>
          </w:tcPr>
          <w:p>
            <w:pPr>
              <w:pStyle w:val="TableContents"/>
              <w:bidi w:val="0"/>
              <w:spacing w:before="0" w:after="283"/>
              <w:ind w:left="0" w:right="0" w:firstLine="100"/>
              <w:jc w:val="left"/>
              <w:rPr>
                <w:rFonts w:ascii="Arial" w:hAnsi="Arial"/>
                <w:b/>
                <w:color w:val="FFFFFF"/>
                <w:sz w:val="16"/>
              </w:rPr>
            </w:pPr>
            <w:r>
              <w:rPr>
                <w:rFonts w:ascii="Arial" w:hAnsi="Arial"/>
                <w:b/>
                <w:color w:val="FFFFFF"/>
                <w:sz w:val="16"/>
              </w:rPr>
              <w:t>Name of Beneficial Owner (1)</w:t>
            </w:r>
          </w:p>
        </w:tc>
        <w:tc>
          <w:tcPr>
            <w:tcW w:w="146" w:type="dxa"/>
            <w:tcBorders>
              <w:bottom w:val="single" w:sz="4" w:space="0" w:color="0071A2"/>
            </w:tcBorders>
            <w:shd w:fill="002668"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71A2"/>
            </w:tcBorders>
            <w:shd w:fill="002668" w:val="clear"/>
            <w:tcMar>
              <w:top w:w="0" w:type="dxa"/>
              <w:left w:w="0" w:type="dxa"/>
              <w:right w:w="0" w:type="dxa"/>
            </w:tcMar>
            <w:vAlign w:val="center"/>
          </w:tcPr>
          <w:p>
            <w:pPr>
              <w:pStyle w:val="TableContents"/>
              <w:bidi w:val="0"/>
              <w:spacing w:before="0" w:after="283"/>
              <w:jc w:val="right"/>
              <w:rPr>
                <w:rFonts w:ascii="Arial" w:hAnsi="Arial"/>
                <w:b/>
                <w:color w:val="FFFFFF"/>
                <w:sz w:val="16"/>
              </w:rPr>
            </w:pPr>
            <w:r>
              <w:rPr>
                <w:rFonts w:ascii="Arial" w:hAnsi="Arial"/>
                <w:b/>
                <w:color w:val="FFFFFF"/>
                <w:sz w:val="16"/>
              </w:rPr>
              <w:t>Number of</w:t>
              <w:br/>
              <w:t>shares (2)</w:t>
            </w:r>
          </w:p>
        </w:tc>
        <w:tc>
          <w:tcPr>
            <w:tcW w:w="146" w:type="dxa"/>
            <w:tcBorders>
              <w:bottom w:val="single" w:sz="4" w:space="0" w:color="0071A2"/>
            </w:tcBorders>
            <w:shd w:fill="002668" w:val="clear"/>
            <w:tcMar>
              <w:top w:w="0" w:type="dxa"/>
              <w:left w:w="0" w:type="dxa"/>
              <w:right w:w="0" w:type="dxa"/>
            </w:tcMar>
            <w:vAlign w:val="center"/>
          </w:tcPr>
          <w:p>
            <w:pPr>
              <w:pStyle w:val="TableContents"/>
              <w:bidi w:val="0"/>
              <w:spacing w:before="0" w:after="283"/>
              <w:jc w:val="right"/>
              <w:rPr/>
            </w:pPr>
            <w:r>
              <w:rPr/>
              <w:t> </w:t>
            </w:r>
          </w:p>
        </w:tc>
        <w:tc>
          <w:tcPr>
            <w:tcW w:w="316" w:type="dxa"/>
            <w:tcBorders>
              <w:bottom w:val="single" w:sz="4" w:space="0" w:color="0071A2"/>
            </w:tcBorders>
            <w:shd w:fill="002668" w:val="clear"/>
            <w:tcMar>
              <w:top w:w="0" w:type="dxa"/>
              <w:left w:w="0" w:type="dxa"/>
              <w:right w:w="0" w:type="dxa"/>
            </w:tcMar>
            <w:vAlign w:val="center"/>
          </w:tcPr>
          <w:p>
            <w:pPr>
              <w:pStyle w:val="TableContents"/>
              <w:bidi w:val="0"/>
              <w:spacing w:before="0" w:after="283"/>
              <w:jc w:val="left"/>
              <w:rPr/>
            </w:pPr>
            <w:r>
              <w:rPr/>
              <w:t> </w:t>
            </w:r>
          </w:p>
        </w:tc>
        <w:tc>
          <w:tcPr>
            <w:tcW w:w="960" w:type="dxa"/>
            <w:gridSpan w:val="2"/>
            <w:tcBorders>
              <w:bottom w:val="single" w:sz="4" w:space="0" w:color="0071A2"/>
            </w:tcBorders>
            <w:shd w:fill="002668" w:val="clear"/>
            <w:tcMar>
              <w:top w:w="0" w:type="dxa"/>
              <w:left w:w="0" w:type="dxa"/>
              <w:right w:w="0" w:type="dxa"/>
            </w:tcMar>
            <w:vAlign w:val="center"/>
          </w:tcPr>
          <w:p>
            <w:pPr>
              <w:pStyle w:val="TableContents"/>
              <w:bidi w:val="0"/>
              <w:spacing w:before="0" w:after="283"/>
              <w:jc w:val="right"/>
              <w:rPr>
                <w:rFonts w:ascii="Arial" w:hAnsi="Arial"/>
                <w:b/>
                <w:color w:val="FFFFFF"/>
                <w:sz w:val="16"/>
              </w:rPr>
            </w:pPr>
            <w:r>
              <w:rPr>
                <w:rFonts w:ascii="Arial" w:hAnsi="Arial"/>
                <w:b/>
                <w:color w:val="FFFFFF"/>
                <w:sz w:val="16"/>
              </w:rPr>
              <w:t>Percent (2)</w:t>
            </w:r>
          </w:p>
        </w:tc>
        <w:tc>
          <w:tcPr>
            <w:tcW w:w="401" w:type="dxa"/>
            <w:tcBorders>
              <w:bottom w:val="single" w:sz="4" w:space="0" w:color="0071A2"/>
            </w:tcBorders>
            <w:shd w:fill="002668" w:val="clear"/>
            <w:tcMar>
              <w:top w:w="0" w:type="dxa"/>
              <w:left w:w="0" w:type="dxa"/>
              <w:right w:w="0" w:type="dxa"/>
            </w:tcMar>
            <w:vAlign w:val="center"/>
          </w:tcPr>
          <w:p>
            <w:pPr>
              <w:pStyle w:val="TableContents"/>
              <w:bidi w:val="0"/>
              <w:spacing w:before="0" w:after="283"/>
              <w:ind w:left="0" w:right="0" w:firstLine="100"/>
              <w:jc w:val="right"/>
              <w:rPr/>
            </w:pPr>
            <w:r>
              <w:rPr/>
              <w:t> </w:t>
            </w:r>
          </w:p>
        </w:tc>
      </w:tr>
      <w:tr>
        <w:trPr/>
        <w:tc>
          <w:tcPr>
            <w:tcW w:w="4541"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000000"/>
                <w:sz w:val="16"/>
              </w:rPr>
            </w:pPr>
            <w:r>
              <w:rPr>
                <w:rFonts w:ascii="Arial" w:hAnsi="Arial"/>
                <w:b/>
                <w:color w:val="000000"/>
                <w:sz w:val="16"/>
              </w:rPr>
              <w:t>Directors and Executive Officers (including NEOs):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401"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5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Mark P. Smith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322,416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4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541"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Deana L. McPherson</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83,376</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401"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5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Kevin A. Maxwell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51,779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4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541"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Susan J. Cupero</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10,000</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(3)</w:t>
            </w:r>
          </w:p>
        </w:tc>
        <w:tc>
          <w:tcPr>
            <w:tcW w:w="960" w:type="dxa"/>
            <w:gridSpan w:val="2"/>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401"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5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Kyle O. Tengwall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164,333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w:t>
            </w:r>
          </w:p>
        </w:tc>
        <w:tc>
          <w:tcPr>
            <w:tcW w:w="4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541"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Anita D. Britt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68,029</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(4)</w:t>
            </w:r>
          </w:p>
        </w:tc>
        <w:tc>
          <w:tcPr>
            <w:tcW w:w="960" w:type="dxa"/>
            <w:gridSpan w:val="2"/>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401"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5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Fred M. Diaz</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48,615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(4)</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4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541"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Michelle J. Lohmeier</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38,161</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(4)</w:t>
            </w:r>
          </w:p>
        </w:tc>
        <w:tc>
          <w:tcPr>
            <w:tcW w:w="960" w:type="dxa"/>
            <w:gridSpan w:val="2"/>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401"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5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Barry M. Monheit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120,191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(5)</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4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541"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Robert L. Scott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89,391</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(6)</w:t>
            </w:r>
          </w:p>
        </w:tc>
        <w:tc>
          <w:tcPr>
            <w:tcW w:w="960" w:type="dxa"/>
            <w:gridSpan w:val="2"/>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401"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5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Denis G. Suggs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48,315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(4)</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4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541"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All directors and executive officers as a group (10 persons)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1,034,606</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(7)</w:t>
            </w:r>
          </w:p>
        </w:tc>
        <w:tc>
          <w:tcPr>
            <w:tcW w:w="2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2.30</w:t>
            </w:r>
          </w:p>
        </w:tc>
        <w:tc>
          <w:tcPr>
            <w:tcW w:w="401"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w:t>
            </w:r>
          </w:p>
        </w:tc>
      </w:tr>
      <w:tr>
        <w:trPr/>
        <w:tc>
          <w:tcPr>
            <w:tcW w:w="45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000000"/>
                <w:sz w:val="16"/>
              </w:rPr>
            </w:pPr>
            <w:r>
              <w:rPr>
                <w:rFonts w:ascii="Arial" w:hAnsi="Arial"/>
                <w:b/>
                <w:color w:val="000000"/>
                <w:sz w:val="16"/>
              </w:rPr>
              <w:t>Other significant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541"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BlackRock, Inc.</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4,385,051</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(8)</w:t>
            </w:r>
          </w:p>
        </w:tc>
        <w:tc>
          <w:tcPr>
            <w:tcW w:w="2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9.78</w:t>
            </w:r>
          </w:p>
        </w:tc>
        <w:tc>
          <w:tcPr>
            <w:tcW w:w="401"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w:t>
            </w:r>
          </w:p>
        </w:tc>
      </w:tr>
      <w:tr>
        <w:trPr/>
        <w:tc>
          <w:tcPr>
            <w:tcW w:w="45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Dimensional Fund Advisors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2,473,250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(9)</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5.52</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541" w:type="dxa"/>
            <w:tcBorders>
              <w:bottom w:val="single" w:sz="4"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71A2"/>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71A2"/>
            </w:tcBorders>
            <w:shd w:fill="FFFFFF" w:val="clear"/>
            <w:tcMar>
              <w:top w:w="0" w:type="dxa"/>
              <w:left w:w="0" w:type="dxa"/>
              <w:right w:w="0" w:type="dxa"/>
            </w:tcMar>
            <w:vAlign w:val="center"/>
          </w:tcPr>
          <w:p>
            <w:pPr>
              <w:pStyle w:val="TableContents"/>
              <w:bidi w:val="0"/>
              <w:spacing w:before="0" w:after="283"/>
              <w:jc w:val="center"/>
              <w:rPr/>
            </w:pPr>
            <w:r>
              <w:rPr/>
              <w:t> </w:t>
            </w:r>
          </w:p>
        </w:tc>
        <w:tc>
          <w:tcPr>
            <w:tcW w:w="316" w:type="dxa"/>
            <w:tcBorders>
              <w:bottom w:val="single" w:sz="4"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960" w:type="dxa"/>
            <w:gridSpan w:val="2"/>
            <w:tcBorders>
              <w:bottom w:val="single" w:sz="4" w:space="0" w:color="0071A2"/>
            </w:tcBorders>
            <w:shd w:fill="FFFFFF" w:val="clear"/>
            <w:tcMar>
              <w:top w:w="0" w:type="dxa"/>
              <w:left w:w="0" w:type="dxa"/>
              <w:right w:w="0" w:type="dxa"/>
            </w:tcMar>
            <w:vAlign w:val="center"/>
          </w:tcPr>
          <w:p>
            <w:pPr>
              <w:pStyle w:val="TableContents"/>
              <w:bidi w:val="0"/>
              <w:spacing w:before="0" w:after="283"/>
              <w:jc w:val="left"/>
              <w:rPr/>
            </w:pPr>
            <w:r>
              <w:rPr/>
              <w:t> </w:t>
            </w:r>
          </w:p>
        </w:tc>
        <w:tc>
          <w:tcPr>
            <w:tcW w:w="401" w:type="dxa"/>
            <w:tcBorders>
              <w:bottom w:val="single" w:sz="4" w:space="0" w:color="0071A2"/>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16"/>
        </w:rPr>
        <w:t>* Percentage of ownership of less than one percent.</w:t>
      </w:r>
      <w:r>
        <w:rPr>
          <w:rFonts w:ascii="Times New Roman" w:hAnsi="Times New Roman"/>
          <w:color w:val="000000"/>
          <w:sz w:val="20"/>
        </w:rPr>
        <w:t xml:space="preserve"> </w:t>
      </w:r>
    </w:p>
    <w:p>
      <w:pPr>
        <w:pStyle w:val="TextBody"/>
        <w:bidi w:val="0"/>
        <w:jc w:val="both"/>
        <w:rPr/>
      </w:pPr>
      <w:r>
        <w:rPr/>
        <w:t> </w:t>
      </w:r>
    </w:p>
    <w:p>
      <w:pPr>
        <w:pStyle w:val="TextBody"/>
        <w:bidi w:val="0"/>
        <w:spacing w:before="0" w:after="0"/>
        <w:jc w:val="both"/>
        <w:rPr>
          <w:rFonts w:ascii="Arial" w:hAnsi="Arial"/>
          <w:color w:val="000000"/>
          <w:sz w:val="16"/>
        </w:rPr>
      </w:pPr>
      <w:r>
        <w:rPr>
          <w:rFonts w:ascii="Arial" w:hAnsi="Arial"/>
          <w:color w:val="000000"/>
          <w:sz w:val="16"/>
        </w:rPr>
        <w:t>(1)</w:t>
      </w:r>
    </w:p>
    <w:p>
      <w:pPr>
        <w:pStyle w:val="TextBody"/>
        <w:bidi w:val="0"/>
        <w:spacing w:before="0" w:after="0"/>
        <w:jc w:val="both"/>
        <w:rPr>
          <w:rFonts w:ascii="Arial" w:hAnsi="Arial"/>
          <w:color w:val="000000"/>
          <w:sz w:val="16"/>
        </w:rPr>
      </w:pPr>
      <w:r>
        <w:rPr>
          <w:rFonts w:ascii="Arial" w:hAnsi="Arial"/>
          <w:color w:val="000000"/>
          <w:sz w:val="16"/>
        </w:rPr>
        <w:t>Except as otherwise indicated, each person named in the table has the sole voting and investment power with respect to all common stock beneficially owned, subject to applicable community property law. Except as otherwise indicated, each person may be reached as follows: c/o Smith &amp; Wesson Brands, Inc., 1852 Proffitt Springs Road, Maryville, Tennessee 37801.</w:t>
      </w:r>
    </w:p>
    <w:p>
      <w:pPr>
        <w:pStyle w:val="TextBody"/>
        <w:bidi w:val="0"/>
        <w:spacing w:before="0" w:after="0"/>
        <w:jc w:val="both"/>
        <w:rPr>
          <w:rFonts w:ascii="Arial" w:hAnsi="Arial"/>
          <w:color w:val="000000"/>
          <w:sz w:val="16"/>
        </w:rPr>
      </w:pPr>
      <w:r>
        <w:rPr>
          <w:rFonts w:ascii="Arial" w:hAnsi="Arial"/>
          <w:color w:val="000000"/>
          <w:sz w:val="16"/>
        </w:rPr>
        <w:t>(2)</w:t>
      </w:r>
    </w:p>
    <w:p>
      <w:pPr>
        <w:pStyle w:val="TextBody"/>
        <w:bidi w:val="0"/>
        <w:spacing w:before="0" w:after="0"/>
        <w:jc w:val="both"/>
        <w:rPr>
          <w:rFonts w:ascii="Arial" w:hAnsi="Arial"/>
          <w:color w:val="000000"/>
          <w:sz w:val="16"/>
        </w:rPr>
      </w:pPr>
      <w:r>
        <w:rPr>
          <w:rFonts w:ascii="Arial" w:hAnsi="Arial"/>
          <w:color w:val="000000"/>
          <w:sz w:val="16"/>
        </w:rPr>
        <w:t>The number of shares beneficially owned by each person or entity is determined under the rules promulgated by the SEC taking into effect shares underlying RSUs that have or will have vested and are deliverable within 60 days of the record date and shares underlying RSUs that have vested, but are not deliverable, within 60 days of the record date. Under such rules, beneficial ownership includes any shares as to which the person or entity has sole or shared voting power or investment power. The number of shares shown includes, when applicable, shares owned of record by the identified person’s minor children and spouse and by other related individuals and entities over whose shares such person has custody, voting control, or power of disposition. The percentages shown are calculated based on 44,839,680 shares outstanding on July 24, 2026. The numbers and percentages shown include shares actually owned on July 24, 2026, shares underlying RSUs that have or will have vested and are deliverable within 60 days of such date, and shares underlying RSUs that have vested, but are not deliverable, within 60 days of such date. In calculating the percentage of ownership, all shares that the identified person or group had the right to acquire within 60 days of July 24, 2026 upon the exercise of options or the delivery of RSUs or PSUs, all shares underlying RSUs that have or will have vested and are deliverable within 60 days of such date, and all shares underlying RSUs that have vested, but are not deliverable, within 60 days of such date are deemed to be outstanding for the purpose of computing the percentage of shares owned by that person or group, but are not deemed to be outstanding for the purpose of computing the percentage of shares owned by any other person or group.</w:t>
      </w:r>
    </w:p>
    <w:p>
      <w:pPr>
        <w:pStyle w:val="TextBody"/>
        <w:bidi w:val="0"/>
        <w:spacing w:before="0" w:after="0"/>
        <w:jc w:val="both"/>
        <w:rPr>
          <w:rFonts w:ascii="Arial" w:hAnsi="Arial"/>
          <w:color w:val="000000"/>
          <w:sz w:val="16"/>
        </w:rPr>
      </w:pPr>
      <w:r>
        <w:rPr>
          <w:rFonts w:ascii="Arial" w:hAnsi="Arial"/>
          <w:color w:val="000000"/>
          <w:sz w:val="16"/>
        </w:rPr>
        <w:t>(3)</w:t>
      </w:r>
    </w:p>
    <w:p>
      <w:pPr>
        <w:pStyle w:val="TextBody"/>
        <w:bidi w:val="0"/>
        <w:spacing w:before="0" w:after="0"/>
        <w:jc w:val="both"/>
        <w:rPr>
          <w:rFonts w:ascii="Arial" w:hAnsi="Arial"/>
          <w:color w:val="000000"/>
          <w:sz w:val="16"/>
        </w:rPr>
      </w:pPr>
      <w:r>
        <w:rPr>
          <w:rFonts w:ascii="Arial" w:hAnsi="Arial"/>
          <w:color w:val="000000"/>
          <w:sz w:val="16"/>
        </w:rPr>
        <w:t>Ms. Cupero retired from the Company effective May 5, 2025.</w:t>
      </w:r>
    </w:p>
    <w:p>
      <w:pPr>
        <w:pStyle w:val="TextBody"/>
        <w:bidi w:val="0"/>
        <w:spacing w:before="0" w:after="0"/>
        <w:jc w:val="both"/>
        <w:rPr>
          <w:rFonts w:ascii="Arial" w:hAnsi="Arial"/>
          <w:color w:val="000000"/>
          <w:sz w:val="16"/>
        </w:rPr>
      </w:pPr>
      <w:r>
        <w:rPr>
          <w:rFonts w:ascii="Arial" w:hAnsi="Arial"/>
          <w:color w:val="000000"/>
          <w:sz w:val="16"/>
        </w:rPr>
        <w:t>(4)</w:t>
      </w:r>
    </w:p>
    <w:p>
      <w:pPr>
        <w:pStyle w:val="TextBody"/>
        <w:bidi w:val="0"/>
        <w:spacing w:before="0" w:after="0"/>
        <w:jc w:val="both"/>
        <w:rPr>
          <w:rFonts w:ascii="Arial" w:hAnsi="Arial"/>
          <w:color w:val="000000"/>
          <w:sz w:val="16"/>
        </w:rPr>
      </w:pPr>
      <w:r>
        <w:rPr>
          <w:rFonts w:ascii="Arial" w:hAnsi="Arial"/>
          <w:color w:val="000000"/>
          <w:sz w:val="16"/>
        </w:rPr>
        <w:t>Includes 12,711 shares underlying RSUs that have or will have vested and are deliverable within 60 days of the record date.</w:t>
      </w:r>
    </w:p>
    <w:p>
      <w:pPr>
        <w:pStyle w:val="TextBody"/>
        <w:bidi w:val="0"/>
        <w:spacing w:before="0" w:after="0"/>
        <w:jc w:val="both"/>
        <w:rPr>
          <w:rFonts w:ascii="Arial" w:hAnsi="Arial"/>
          <w:color w:val="000000"/>
          <w:sz w:val="16"/>
        </w:rPr>
      </w:pPr>
      <w:r>
        <w:rPr>
          <w:rFonts w:ascii="Arial" w:hAnsi="Arial"/>
          <w:color w:val="000000"/>
          <w:sz w:val="16"/>
        </w:rPr>
        <w:t>(5)</w:t>
      </w:r>
    </w:p>
    <w:p>
      <w:pPr>
        <w:pStyle w:val="TextBody"/>
        <w:bidi w:val="0"/>
        <w:spacing w:before="0" w:after="0"/>
        <w:jc w:val="both"/>
        <w:rPr>
          <w:rFonts w:ascii="Arial" w:hAnsi="Arial"/>
          <w:color w:val="000000"/>
          <w:sz w:val="16"/>
        </w:rPr>
      </w:pPr>
      <w:r>
        <w:rPr>
          <w:rFonts w:ascii="Arial" w:hAnsi="Arial"/>
          <w:color w:val="000000"/>
          <w:sz w:val="16"/>
        </w:rPr>
        <w:t>Includes (a) 12,711 shares underlying RSUs that have or will have vested and are deliverable within 60 days of the record date; and (b) 3,000 shares underlying RSUs that have vested but the delivery of which is deferred until retirement from the Board. The shares are held by Barry M. Monheit, Trustee, SEP PROP Monheit Family Trust U/A Dtd 7/16/2002.</w:t>
      </w:r>
    </w:p>
    <w:p>
      <w:pPr>
        <w:pStyle w:val="TextBody"/>
        <w:bidi w:val="0"/>
        <w:spacing w:before="0" w:after="0"/>
        <w:jc w:val="both"/>
        <w:rPr>
          <w:rFonts w:ascii="Arial" w:hAnsi="Arial"/>
          <w:color w:val="000000"/>
          <w:sz w:val="16"/>
        </w:rPr>
      </w:pPr>
      <w:r>
        <w:rPr>
          <w:rFonts w:ascii="Arial" w:hAnsi="Arial"/>
          <w:color w:val="000000"/>
          <w:sz w:val="16"/>
        </w:rPr>
        <w:t>(6)</w:t>
      </w:r>
    </w:p>
    <w:p>
      <w:pPr>
        <w:pStyle w:val="TextBody"/>
        <w:bidi w:val="0"/>
        <w:spacing w:before="0" w:after="0"/>
        <w:jc w:val="both"/>
        <w:rPr>
          <w:rFonts w:ascii="Arial" w:hAnsi="Arial"/>
          <w:color w:val="000000"/>
          <w:sz w:val="16"/>
        </w:rPr>
      </w:pPr>
      <w:r>
        <w:rPr>
          <w:rFonts w:ascii="Arial" w:hAnsi="Arial"/>
          <w:color w:val="000000"/>
          <w:sz w:val="16"/>
        </w:rPr>
        <w:t>Includes (a) 12,711 shares underlying RSUs that have or will have vested and are deliverable within 60 days of the record date; and (b) 3,000 shares underlying RSUs that have vested but the delivery of which is deferred until retirement from the Board.</w:t>
      </w:r>
    </w:p>
    <w:p>
      <w:pPr>
        <w:pStyle w:val="TextBody"/>
        <w:bidi w:val="0"/>
        <w:spacing w:before="0" w:after="0"/>
        <w:jc w:val="both"/>
        <w:rPr>
          <w:rFonts w:ascii="Arial" w:hAnsi="Arial"/>
          <w:color w:val="000000"/>
          <w:sz w:val="16"/>
        </w:rPr>
      </w:pPr>
      <w:r>
        <w:rPr>
          <w:rFonts w:ascii="Arial" w:hAnsi="Arial"/>
          <w:color w:val="000000"/>
          <w:sz w:val="16"/>
        </w:rPr>
        <w:t>(7)</w:t>
      </w:r>
    </w:p>
    <w:p>
      <w:pPr>
        <w:pStyle w:val="TextBody"/>
        <w:bidi w:val="0"/>
        <w:spacing w:before="0" w:after="0"/>
        <w:jc w:val="both"/>
        <w:rPr>
          <w:rFonts w:ascii="Arial" w:hAnsi="Arial"/>
          <w:color w:val="000000"/>
          <w:sz w:val="16"/>
        </w:rPr>
      </w:pPr>
      <w:r>
        <w:rPr>
          <w:rFonts w:ascii="Arial" w:hAnsi="Arial"/>
          <w:color w:val="000000"/>
          <w:sz w:val="16"/>
        </w:rPr>
        <w:t>Includes (a) 76,266 shares underlying RSUs that have or will have vested and are deliverable within 60 days of the record date; and (b) 6,000 shares underlying RSUs that have vested but the delivery of which is deferred until retirement from the Board.</w:t>
      </w:r>
    </w:p>
    <w:p>
      <w:pPr>
        <w:pStyle w:val="TextBody"/>
        <w:bidi w:val="0"/>
        <w:spacing w:before="0" w:after="0"/>
        <w:jc w:val="both"/>
        <w:rPr>
          <w:rFonts w:ascii="Arial" w:hAnsi="Arial"/>
          <w:color w:val="000000"/>
          <w:sz w:val="16"/>
        </w:rPr>
      </w:pPr>
      <w:r>
        <w:rPr>
          <w:rFonts w:ascii="Arial" w:hAnsi="Arial"/>
          <w:color w:val="000000"/>
          <w:sz w:val="16"/>
        </w:rPr>
        <w:t>(8)</w:t>
      </w:r>
    </w:p>
    <w:p>
      <w:pPr>
        <w:pStyle w:val="TextBody"/>
        <w:bidi w:val="0"/>
        <w:spacing w:before="0" w:after="0"/>
        <w:jc w:val="both"/>
        <w:rPr>
          <w:rFonts w:ascii="Arial" w:hAnsi="Arial"/>
          <w:color w:val="000000"/>
          <w:sz w:val="16"/>
        </w:rPr>
      </w:pPr>
      <w:r>
        <w:rPr>
          <w:rFonts w:ascii="Arial" w:hAnsi="Arial"/>
          <w:color w:val="000000"/>
          <w:sz w:val="16"/>
        </w:rPr>
        <w:t>Based on the statement on Amendment No. 15 to Schedule 13G filed with the SEC on January 24, 2024, BlackRock, Inc. has sole voting power over 4,310,550 shares and sole dispositive power over 4,385,051 shares. The address of BlackRock, Inc. is 50 Hudson Yards, New York, NY 10001.</w:t>
      </w:r>
    </w:p>
    <w:p>
      <w:pPr>
        <w:pStyle w:val="TextBody"/>
        <w:bidi w:val="0"/>
        <w:spacing w:before="0" w:after="0"/>
        <w:jc w:val="both"/>
        <w:rPr>
          <w:rFonts w:ascii="Arial" w:hAnsi="Arial"/>
          <w:color w:val="000000"/>
          <w:sz w:val="16"/>
        </w:rPr>
      </w:pPr>
      <w:r>
        <w:rPr>
          <w:rFonts w:ascii="Arial" w:hAnsi="Arial"/>
          <w:color w:val="000000"/>
          <w:sz w:val="16"/>
        </w:rPr>
        <w:t>(9)</w:t>
      </w:r>
    </w:p>
    <w:p>
      <w:pPr>
        <w:pStyle w:val="TextBody"/>
        <w:bidi w:val="0"/>
        <w:jc w:val="both"/>
        <w:rPr>
          <w:rFonts w:ascii="Arial" w:hAnsi="Arial"/>
          <w:color w:val="000000"/>
          <w:sz w:val="16"/>
        </w:rPr>
      </w:pPr>
      <w:r>
        <w:rPr>
          <w:rFonts w:ascii="Arial" w:hAnsi="Arial"/>
          <w:color w:val="000000"/>
          <w:sz w:val="16"/>
        </w:rPr>
        <w:t>Based on the statement on Amendment No. 2 to Schedule 13G filed with the SEC on January 21, 2026, Dimensional Fund Advisors LP has sole voting power over 2,424,631 shares and sole dispositive power over 2,473,250 shares. The address of Dimensional Fund Advisors LP is 6300 Bee Cave Road, Building One, Austin, TX 78746.</w:t>
      </w:r>
    </w:p>
    <w:p>
      <w:pPr>
        <w:pStyle w:val="TextBody"/>
        <w:bidi w:val="0"/>
        <w:jc w:val="left"/>
        <w:rPr/>
      </w:pPr>
      <w:r>
        <w:rPr/>
        <w:t> </w:t>
      </w:r>
    </w:p>
    <w:tbl>
      <w:tblPr>
        <w:tblW w:w="3702" w:type="dxa"/>
        <w:jc w:val="left"/>
        <w:tblInd w:w="0" w:type="dxa"/>
        <w:tblLayout w:type="fixed"/>
        <w:tblCellMar>
          <w:top w:w="28" w:type="dxa"/>
          <w:left w:w="28" w:type="dxa"/>
          <w:bottom w:w="28" w:type="dxa"/>
          <w:right w:w="28" w:type="dxa"/>
        </w:tblCellMar>
      </w:tblPr>
      <w:tblGrid>
        <w:gridCol w:w="1406"/>
        <w:gridCol w:w="2296"/>
      </w:tblGrid>
      <w:tr>
        <w:trPr/>
        <w:tc>
          <w:tcPr>
            <w:tcW w:w="1406"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r>
      <w:tr>
        <w:trPr/>
        <w:tc>
          <w:tcPr>
            <w:tcW w:w="140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828675" cy="190500"/>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embed="rId55"/>
                          <a:stretch>
                            <a:fillRect/>
                          </a:stretch>
                        </pic:blipFill>
                        <pic:spPr bwMode="auto">
                          <a:xfrm>
                            <a:off x="0" y="0"/>
                            <a:ext cx="828675" cy="190500"/>
                          </a:xfrm>
                          <a:prstGeom prst="rect">
                            <a:avLst/>
                          </a:prstGeom>
                        </pic:spPr>
                      </pic:pic>
                    </a:graphicData>
                  </a:graphic>
                </wp:inline>
              </w:drawing>
            </w:r>
          </w:p>
        </w:tc>
        <w:tc>
          <w:tcPr>
            <w:tcW w:w="2296" w:type="dxa"/>
            <w:tcBorders/>
            <w:tcMar>
              <w:top w:w="0" w:type="dxa"/>
              <w:left w:w="0" w:type="dxa"/>
              <w:bottom w:w="0" w:type="dxa"/>
              <w:right w:w="0" w:type="dxa"/>
            </w:tcMar>
            <w:vAlign w:val="center"/>
          </w:tcPr>
          <w:p>
            <w:pPr>
              <w:pStyle w:val="TableContents"/>
              <w:bidi w:val="0"/>
              <w:spacing w:before="0" w:after="283"/>
              <w:jc w:val="right"/>
              <w:rPr>
                <w:rFonts w:ascii="Arial" w:hAnsi="Arial"/>
                <w:color w:val="091F2C"/>
                <w:sz w:val="18"/>
              </w:rPr>
            </w:pPr>
            <w:r>
              <w:rPr>
                <w:rFonts w:ascii="Arial" w:hAnsi="Arial"/>
                <w:color w:val="091F2C"/>
                <w:sz w:val="18"/>
              </w:rPr>
              <w:t>2025 Proxy Statement I 45</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Arial" w:hAnsi="Arial"/>
          <w:color w:val="002668"/>
          <w:sz w:val="20"/>
          <w:u w:val="single"/>
        </w:rPr>
      </w:pPr>
      <w:r>
        <w:rPr>
          <w:rFonts w:ascii="Arial" w:hAnsi="Arial"/>
          <w:color w:val="002668"/>
          <w:sz w:val="20"/>
          <w:u w:val="single"/>
        </w:rPr>
        <w:t>Other Important Information</w:t>
      </w:r>
    </w:p>
    <w:p>
      <w:pPr>
        <w:pStyle w:val="TextBody"/>
        <w:bidi w:val="0"/>
        <w:spacing w:before="120" w:after="283"/>
        <w:jc w:val="both"/>
        <w:rPr>
          <w:rFonts w:ascii="Arial" w:hAnsi="Arial"/>
          <w:b/>
          <w:color w:val="002668"/>
          <w:sz w:val="28"/>
        </w:rPr>
      </w:pPr>
      <w:bookmarkStart w:id="12" w:name="annual_report_on_form_10k"/>
      <w:bookmarkEnd w:id="12"/>
      <w:r>
        <w:rPr>
          <w:rFonts w:ascii="Arial" w:hAnsi="Arial"/>
          <w:b/>
          <w:color w:val="002668"/>
          <w:sz w:val="28"/>
        </w:rPr>
        <w:t>ANNUAL REPORT ON FORM 10-K</w:t>
      </w:r>
    </w:p>
    <w:p>
      <w:pPr>
        <w:pStyle w:val="TextBody"/>
        <w:bidi w:val="0"/>
        <w:jc w:val="both"/>
        <w:rPr>
          <w:rFonts w:ascii="Arial" w:hAnsi="Arial"/>
          <w:color w:val="000000"/>
          <w:sz w:val="20"/>
        </w:rPr>
      </w:pPr>
      <w:r>
        <w:rPr>
          <w:rFonts w:ascii="Arial" w:hAnsi="Arial"/>
          <w:color w:val="000000"/>
          <w:sz w:val="20"/>
        </w:rPr>
        <w:t>We will provide, without charge, a copy of the Form 10-K as filed with the SEC to each stockholder of record as of the record date who requests a copy in writing. Any exhibits listed in the Form 10-K also will be furnished upon request at the actual expense we incur in furnishing such exhibits. Any such requests should be directed to our Secretary at the address of our executive offices set forth in this Proxy Statement.</w:t>
      </w:r>
    </w:p>
    <w:p>
      <w:pPr>
        <w:pStyle w:val="TextBody"/>
        <w:bidi w:val="0"/>
        <w:spacing w:before="360" w:after="283"/>
        <w:jc w:val="both"/>
        <w:rPr>
          <w:rFonts w:ascii="Arial" w:hAnsi="Arial"/>
          <w:b/>
          <w:color w:val="002668"/>
          <w:sz w:val="28"/>
        </w:rPr>
      </w:pPr>
      <w:bookmarkStart w:id="13" w:name="delinquent_section_16a_reports"/>
      <w:bookmarkEnd w:id="13"/>
      <w:r>
        <w:rPr>
          <w:rFonts w:ascii="Arial" w:hAnsi="Arial"/>
          <w:b/>
          <w:color w:val="002668"/>
          <w:sz w:val="28"/>
        </w:rPr>
        <w:t>DELINQUENT SECTION 16(a) REPORTS</w:t>
      </w:r>
    </w:p>
    <w:p>
      <w:pPr>
        <w:pStyle w:val="TextBody"/>
        <w:bidi w:val="0"/>
        <w:jc w:val="both"/>
        <w:rPr>
          <w:rFonts w:ascii="Times New Roman" w:hAnsi="Times New Roman"/>
          <w:sz w:val="20"/>
        </w:rPr>
      </w:pPr>
      <w:r>
        <w:rPr>
          <w:rFonts w:ascii="Arial" w:hAnsi="Arial"/>
          <w:color w:val="000000"/>
          <w:sz w:val="20"/>
        </w:rPr>
        <w:t>Based solely upon our review of the copies of such reports received by us during fiscal 2026, we believe that each person who, at any time during such fiscal year, was a director, officer, or beneficial owner of more than 10 percent of our common stock complied with all Section 16(a) filing requirements during such fiscal year, except that Mr. Tengwall's Form 3 was filed on October 14, 2025, rather than by September 25, 2025, due to administrative errors.</w:t>
      </w:r>
      <w:r>
        <w:rPr>
          <w:rFonts w:ascii="Times New Roman" w:hAnsi="Times New Roman"/>
          <w:color w:val="000000"/>
          <w:sz w:val="20"/>
        </w:rPr>
        <w:t xml:space="preserve"> </w:t>
      </w:r>
    </w:p>
    <w:p>
      <w:pPr>
        <w:pStyle w:val="TextBody"/>
        <w:bidi w:val="0"/>
        <w:spacing w:before="360" w:after="283"/>
        <w:jc w:val="both"/>
        <w:rPr>
          <w:rFonts w:ascii="Arial" w:hAnsi="Arial"/>
          <w:b/>
          <w:color w:val="002668"/>
          <w:sz w:val="28"/>
        </w:rPr>
      </w:pPr>
      <w:bookmarkStart w:id="14" w:name="frequently_asked_questions"/>
      <w:bookmarkEnd w:id="14"/>
      <w:r>
        <w:rPr>
          <w:rFonts w:ascii="Arial" w:hAnsi="Arial"/>
          <w:b/>
          <w:color w:val="002668"/>
          <w:sz w:val="28"/>
        </w:rPr>
        <w:t>FREQUENTLY ASKED QUESTIONS REGARDING THE 2026 ANNUAL MEETING AND VOTING</w:t>
      </w:r>
    </w:p>
    <w:p>
      <w:pPr>
        <w:pStyle w:val="TextBody"/>
        <w:bidi w:val="0"/>
        <w:spacing w:before="120" w:after="283"/>
        <w:jc w:val="both"/>
        <w:rPr>
          <w:rFonts w:ascii="Arial" w:hAnsi="Arial"/>
          <w:color w:val="002668"/>
          <w:sz w:val="24"/>
          <w:u w:val="single"/>
        </w:rPr>
      </w:pPr>
      <w:r>
        <w:rPr>
          <w:rFonts w:ascii="Arial" w:hAnsi="Arial"/>
          <w:color w:val="002668"/>
          <w:sz w:val="24"/>
          <w:u w:val="single"/>
        </w:rPr>
        <w:t>What is the purpose of the 2026 Annual Meeting?</w:t>
      </w:r>
    </w:p>
    <w:p>
      <w:pPr>
        <w:pStyle w:val="TextBody"/>
        <w:bidi w:val="0"/>
        <w:spacing w:before="40" w:after="283"/>
        <w:jc w:val="both"/>
        <w:rPr>
          <w:rFonts w:ascii="Arial" w:hAnsi="Arial"/>
          <w:color w:val="000000"/>
          <w:sz w:val="20"/>
        </w:rPr>
      </w:pPr>
      <w:r>
        <w:rPr>
          <w:rFonts w:ascii="Arial" w:hAnsi="Arial"/>
          <w:color w:val="000000"/>
          <w:sz w:val="20"/>
        </w:rPr>
        <w:t>Stockholders will vote at the 2026 Annual Meeting on the matters summarized in this Proxy Statement.</w:t>
      </w:r>
    </w:p>
    <w:p>
      <w:pPr>
        <w:pStyle w:val="TextBody"/>
        <w:bidi w:val="0"/>
        <w:spacing w:before="240" w:after="283"/>
        <w:jc w:val="both"/>
        <w:rPr>
          <w:rFonts w:ascii="Arial" w:hAnsi="Arial"/>
          <w:color w:val="002668"/>
          <w:sz w:val="24"/>
          <w:u w:val="single"/>
        </w:rPr>
      </w:pPr>
      <w:r>
        <w:rPr>
          <w:rFonts w:ascii="Arial" w:hAnsi="Arial"/>
          <w:color w:val="002668"/>
          <w:sz w:val="24"/>
          <w:u w:val="single"/>
        </w:rPr>
        <w:t>Why did I receive these proxy materials?</w:t>
      </w:r>
    </w:p>
    <w:p>
      <w:pPr>
        <w:pStyle w:val="TextBody"/>
        <w:bidi w:val="0"/>
        <w:spacing w:before="40" w:after="283"/>
        <w:jc w:val="both"/>
        <w:rPr>
          <w:rFonts w:ascii="Arial" w:hAnsi="Arial"/>
          <w:color w:val="000000"/>
          <w:sz w:val="20"/>
        </w:rPr>
      </w:pPr>
      <w:r>
        <w:rPr>
          <w:rFonts w:ascii="Arial" w:hAnsi="Arial"/>
          <w:color w:val="000000"/>
          <w:sz w:val="20"/>
        </w:rPr>
        <w:t>You received these proxy materials because you are a Company stockholder and the Board is soliciting your proxy to vote your shares at the 2026 Annual Meeting. This Proxy Statement includes information that we are required to provide you under SEC rules and is designed to assist you in voting your shares.</w:t>
      </w:r>
    </w:p>
    <w:p>
      <w:pPr>
        <w:pStyle w:val="TextBody"/>
        <w:bidi w:val="0"/>
        <w:spacing w:before="240" w:after="283"/>
        <w:jc w:val="both"/>
        <w:rPr>
          <w:rFonts w:ascii="Arial" w:hAnsi="Arial"/>
          <w:color w:val="002668"/>
          <w:sz w:val="24"/>
          <w:u w:val="single"/>
        </w:rPr>
      </w:pPr>
      <w:r>
        <w:rPr>
          <w:rFonts w:ascii="Arial" w:hAnsi="Arial"/>
          <w:color w:val="002668"/>
          <w:sz w:val="24"/>
          <w:u w:val="single"/>
        </w:rPr>
        <w:t>What is included in these proxy materials? What is a Proxy Statement and a proxy?</w:t>
      </w:r>
    </w:p>
    <w:p>
      <w:pPr>
        <w:pStyle w:val="TextBody"/>
        <w:bidi w:val="0"/>
        <w:spacing w:before="40" w:after="283"/>
        <w:jc w:val="both"/>
        <w:rPr>
          <w:rFonts w:ascii="Times New Roman" w:hAnsi="Times New Roman"/>
          <w:sz w:val="20"/>
        </w:rPr>
      </w:pPr>
      <w:r>
        <w:rPr>
          <w:rFonts w:ascii="Arial" w:hAnsi="Arial"/>
          <w:color w:val="000000"/>
          <w:sz w:val="20"/>
        </w:rPr>
        <w:t>The proxy materials for the 2026 Annual Meeting include the Notice of Annual Meeting of Stockholders, this Proxy Statement, and our annual report. If you received a paper copy of these materials, the proxy materials also include a proxy card or voting instruction form.</w:t>
      </w:r>
      <w:r>
        <w:rPr>
          <w:rFonts w:ascii="Times New Roman" w:hAnsi="Times New Roman"/>
          <w:color w:val="000000"/>
          <w:sz w:val="20"/>
        </w:rPr>
        <w:t xml:space="preserve"> </w:t>
      </w:r>
    </w:p>
    <w:p>
      <w:pPr>
        <w:pStyle w:val="TextBody"/>
        <w:bidi w:val="0"/>
        <w:spacing w:before="40" w:after="283"/>
        <w:jc w:val="both"/>
        <w:rPr/>
      </w:pPr>
      <w:r>
        <w:rPr/>
        <w:t> </w:t>
      </w:r>
    </w:p>
    <w:p>
      <w:pPr>
        <w:pStyle w:val="TextBody"/>
        <w:bidi w:val="0"/>
        <w:spacing w:before="40" w:after="283"/>
        <w:jc w:val="both"/>
        <w:rPr>
          <w:rFonts w:ascii="Arial" w:hAnsi="Arial"/>
          <w:color w:val="000000"/>
          <w:sz w:val="20"/>
        </w:rPr>
      </w:pPr>
      <w:r>
        <w:rPr>
          <w:rFonts w:ascii="Arial" w:hAnsi="Arial"/>
          <w:color w:val="000000"/>
          <w:sz w:val="20"/>
        </w:rPr>
        <w:t>A proxy statement is a document that SEC regulations require us to give you when we ask you to sign a proxy designating individuals to vote on your behalf. A proxy is your legal designation of another person to vote your shares, and that other person is called a proxy. If you designate someone as your proxy in a written document, that document is also called a proxy or a proxy card. We have designated Mark P. Smith and Deana L. McPherson as proxies for the 2026 Annual Meeting.</w:t>
      </w:r>
    </w:p>
    <w:p>
      <w:pPr>
        <w:pStyle w:val="TextBody"/>
        <w:bidi w:val="0"/>
        <w:spacing w:before="240" w:after="283"/>
        <w:jc w:val="both"/>
        <w:rPr>
          <w:rFonts w:ascii="Arial" w:hAnsi="Arial"/>
          <w:color w:val="002668"/>
          <w:sz w:val="24"/>
          <w:u w:val="single"/>
        </w:rPr>
      </w:pPr>
      <w:r>
        <w:rPr>
          <w:rFonts w:ascii="Arial" w:hAnsi="Arial"/>
          <w:color w:val="002668"/>
          <w:sz w:val="24"/>
          <w:u w:val="single"/>
        </w:rPr>
        <w:t>What does it mean if I receive more than one notice, proxy materials email, or proxy card?</w:t>
      </w:r>
    </w:p>
    <w:p>
      <w:pPr>
        <w:pStyle w:val="TextBody"/>
        <w:bidi w:val="0"/>
        <w:spacing w:before="40" w:after="283"/>
        <w:jc w:val="both"/>
        <w:rPr>
          <w:rFonts w:ascii="Arial" w:hAnsi="Arial"/>
          <w:color w:val="000000"/>
          <w:sz w:val="20"/>
        </w:rPr>
      </w:pPr>
      <w:r>
        <w:rPr>
          <w:rFonts w:ascii="Arial" w:hAnsi="Arial"/>
          <w:color w:val="000000"/>
          <w:sz w:val="20"/>
        </w:rPr>
        <w:t>If you receive more than one notice, proxy materials email, or proxy card, you likely have multiple accounts with brokers and/or our transfer agent and will need to vote separately with respect to each notice, proxy materials email, or proxy card you receive.</w:t>
      </w:r>
    </w:p>
    <w:p>
      <w:pPr>
        <w:pStyle w:val="TextBody"/>
        <w:bidi w:val="0"/>
        <w:spacing w:before="40" w:after="283"/>
        <w:jc w:val="both"/>
        <w:rPr/>
      </w:pPr>
      <w:r>
        <w:rPr/>
        <w:t> </w:t>
      </w:r>
    </w:p>
    <w:p>
      <w:pPr>
        <w:pStyle w:val="TextBody"/>
        <w:bidi w:val="0"/>
        <w:spacing w:before="40" w:after="283"/>
        <w:jc w:val="both"/>
        <w:rPr>
          <w:rFonts w:ascii="Arial" w:hAnsi="Arial"/>
          <w:color w:val="002668"/>
          <w:sz w:val="24"/>
          <w:u w:val="single"/>
        </w:rPr>
      </w:pPr>
      <w:r>
        <w:rPr>
          <w:rFonts w:ascii="Arial" w:hAnsi="Arial"/>
          <w:color w:val="002668"/>
          <w:sz w:val="24"/>
          <w:u w:val="single"/>
        </w:rPr>
        <w:t>Why did I receive a one-page notice in the mail regarding the Internet availability of proxy materials instead of a full set of proxy materials?</w:t>
      </w:r>
    </w:p>
    <w:p>
      <w:pPr>
        <w:pStyle w:val="TextBody"/>
        <w:bidi w:val="0"/>
        <w:spacing w:before="40" w:after="283"/>
        <w:jc w:val="both"/>
        <w:rPr>
          <w:rFonts w:ascii="Arial" w:hAnsi="Arial"/>
          <w:color w:val="000000"/>
          <w:sz w:val="20"/>
        </w:rPr>
      </w:pPr>
      <w:r>
        <w:rPr>
          <w:rFonts w:ascii="Arial" w:hAnsi="Arial"/>
          <w:color w:val="000000"/>
          <w:sz w:val="20"/>
        </w:rPr>
        <w:t>The SEC permits us to furnish proxy materials by providing access to those documents on the Internet. Stockholders will not receive printed copies of the proxy materials unless they request them. The notice instructs you as to how to submit your proxy on the Internet. If you would like to receive a paper or email copy of the proxy materials, you should follow the instructions in the notice for requesting those materials.</w:t>
      </w:r>
    </w:p>
    <w:p>
      <w:pPr>
        <w:pStyle w:val="TextBody"/>
        <w:bidi w:val="0"/>
        <w:spacing w:before="240" w:after="283"/>
        <w:jc w:val="both"/>
        <w:rPr>
          <w:rFonts w:ascii="Arial" w:hAnsi="Arial"/>
          <w:color w:val="1F497D"/>
          <w:sz w:val="24"/>
          <w:u w:val="single"/>
        </w:rPr>
      </w:pPr>
      <w:r>
        <w:rPr>
          <w:rFonts w:ascii="Arial" w:hAnsi="Arial"/>
          <w:color w:val="1F497D"/>
          <w:sz w:val="24"/>
          <w:u w:val="single"/>
        </w:rPr>
        <w:t>Who may vote?</w:t>
      </w:r>
    </w:p>
    <w:p>
      <w:pPr>
        <w:pStyle w:val="TextBody"/>
        <w:bidi w:val="0"/>
        <w:spacing w:before="40" w:after="283"/>
        <w:jc w:val="both"/>
        <w:rPr>
          <w:rFonts w:ascii="Arial" w:hAnsi="Arial"/>
          <w:color w:val="000000"/>
          <w:sz w:val="20"/>
        </w:rPr>
      </w:pPr>
      <w:r>
        <w:rPr>
          <w:rFonts w:ascii="Arial" w:hAnsi="Arial"/>
          <w:color w:val="000000"/>
          <w:sz w:val="20"/>
        </w:rPr>
        <w:t>You may vote if you owned common stock as of the close of business on July 24, 2026, the record date.</w:t>
      </w:r>
    </w:p>
    <w:p>
      <w:pPr>
        <w:pStyle w:val="TextBody"/>
        <w:bidi w:val="0"/>
        <w:jc w:val="left"/>
        <w:rPr/>
      </w:pPr>
      <w:r>
        <w:rPr/>
        <w:t> </w:t>
      </w:r>
    </w:p>
    <w:tbl>
      <w:tblPr>
        <w:tblW w:w="3702" w:type="dxa"/>
        <w:jc w:val="left"/>
        <w:tblInd w:w="0" w:type="dxa"/>
        <w:tblLayout w:type="fixed"/>
        <w:tblCellMar>
          <w:top w:w="28" w:type="dxa"/>
          <w:left w:w="28" w:type="dxa"/>
          <w:bottom w:w="28" w:type="dxa"/>
          <w:right w:w="28" w:type="dxa"/>
        </w:tblCellMar>
      </w:tblPr>
      <w:tblGrid>
        <w:gridCol w:w="2266"/>
        <w:gridCol w:w="1436"/>
      </w:tblGrid>
      <w:tr>
        <w:trPr/>
        <w:tc>
          <w:tcPr>
            <w:tcW w:w="2266"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2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91F2C"/>
                <w:sz w:val="18"/>
              </w:rPr>
              <w:t>46</w:t>
            </w:r>
            <w:r>
              <w:rPr>
                <w:rFonts w:ascii="Times New Roman" w:hAnsi="Times New Roman"/>
                <w:color w:val="091F2C"/>
                <w:sz w:val="18"/>
              </w:rPr>
              <w:t> </w:t>
            </w:r>
            <w:r>
              <w:rPr>
                <w:rFonts w:ascii="Arial" w:hAnsi="Arial"/>
                <w:color w:val="091F2C"/>
                <w:sz w:val="18"/>
              </w:rPr>
              <w:t>I 2026 Proxy Statement</w:t>
            </w:r>
          </w:p>
        </w:tc>
        <w:tc>
          <w:tcPr>
            <w:tcW w:w="143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828675" cy="190500"/>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embed="rId56"/>
                          <a:stretch>
                            <a:fillRect/>
                          </a:stretch>
                        </pic:blipFill>
                        <pic:spPr bwMode="auto">
                          <a:xfrm>
                            <a:off x="0" y="0"/>
                            <a:ext cx="828675" cy="190500"/>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Arial" w:hAnsi="Arial"/>
          <w:color w:val="002668"/>
          <w:sz w:val="20"/>
          <w:u w:val="single"/>
        </w:rPr>
      </w:pPr>
      <w:r>
        <w:rPr>
          <w:rFonts w:ascii="Arial" w:hAnsi="Arial"/>
          <w:color w:val="002668"/>
          <w:sz w:val="20"/>
          <w:u w:val="single"/>
        </w:rPr>
        <w:t>Other Important Information</w:t>
      </w:r>
    </w:p>
    <w:p>
      <w:pPr>
        <w:pStyle w:val="TextBody"/>
        <w:bidi w:val="0"/>
        <w:spacing w:before="240" w:after="283"/>
        <w:jc w:val="both"/>
        <w:rPr>
          <w:rFonts w:ascii="Arial" w:hAnsi="Arial"/>
          <w:color w:val="1F497D"/>
          <w:sz w:val="24"/>
          <w:u w:val="single"/>
        </w:rPr>
      </w:pPr>
      <w:r>
        <w:rPr>
          <w:rFonts w:ascii="Arial" w:hAnsi="Arial"/>
          <w:color w:val="1F497D"/>
          <w:sz w:val="24"/>
          <w:u w:val="single"/>
        </w:rPr>
        <w:t>How may I vote?</w:t>
      </w:r>
    </w:p>
    <w:p>
      <w:pPr>
        <w:pStyle w:val="TextBody"/>
        <w:bidi w:val="0"/>
        <w:spacing w:before="40" w:after="283"/>
        <w:jc w:val="both"/>
        <w:rPr>
          <w:rFonts w:ascii="Arial" w:hAnsi="Arial"/>
          <w:color w:val="000000"/>
          <w:sz w:val="20"/>
        </w:rPr>
      </w:pPr>
      <w:r>
        <w:rPr>
          <w:rFonts w:ascii="Arial" w:hAnsi="Arial"/>
          <w:color w:val="000000"/>
          <w:sz w:val="20"/>
        </w:rPr>
        <w:t>You may vote by any of the following methods:</w:t>
      </w:r>
    </w:p>
    <w:p>
      <w:pPr>
        <w:pStyle w:val="TextBody"/>
        <w:bidi w:val="0"/>
        <w:spacing w:before="120" w:after="120"/>
        <w:jc w:val="both"/>
        <w:rPr>
          <w:color w:val="1F497D"/>
        </w:rPr>
      </w:pPr>
      <w:r>
        <w:rPr>
          <w:color w:val="1F497D"/>
        </w:rPr>
        <w:t>•</w:t>
      </w:r>
    </w:p>
    <w:p>
      <w:pPr>
        <w:pStyle w:val="TextBody"/>
        <w:bidi w:val="0"/>
        <w:spacing w:before="120" w:after="120"/>
        <w:jc w:val="both"/>
        <w:rPr>
          <w:rFonts w:ascii="Arial" w:hAnsi="Arial"/>
          <w:color w:val="000000"/>
          <w:sz w:val="20"/>
        </w:rPr>
      </w:pPr>
      <w:r>
        <w:rPr>
          <w:rFonts w:ascii="Arial" w:hAnsi="Arial"/>
          <w:color w:val="000000"/>
          <w:sz w:val="20"/>
        </w:rPr>
        <w:t>Internet – follow the instructions on your notice, proxy and/or voting instruction card, or email notice.</w:t>
      </w:r>
    </w:p>
    <w:p>
      <w:pPr>
        <w:pStyle w:val="TextBody"/>
        <w:bidi w:val="0"/>
        <w:spacing w:before="0" w:after="120"/>
        <w:jc w:val="both"/>
        <w:rPr>
          <w:color w:val="1F497D"/>
        </w:rPr>
      </w:pPr>
      <w:r>
        <w:rPr>
          <w:color w:val="1F497D"/>
        </w:rPr>
        <w:t>•</w:t>
      </w:r>
    </w:p>
    <w:p>
      <w:pPr>
        <w:pStyle w:val="TextBody"/>
        <w:bidi w:val="0"/>
        <w:spacing w:before="0" w:after="120"/>
        <w:jc w:val="both"/>
        <w:rPr>
          <w:rFonts w:ascii="Arial" w:hAnsi="Arial"/>
          <w:color w:val="000000"/>
          <w:sz w:val="20"/>
        </w:rPr>
      </w:pPr>
      <w:r>
        <w:rPr>
          <w:rFonts w:ascii="Arial" w:hAnsi="Arial"/>
          <w:color w:val="000000"/>
          <w:sz w:val="20"/>
        </w:rPr>
        <w:t>Phone – follow the instructions on your notice, proxy and/or voting instruction card, or email notice.</w:t>
      </w:r>
    </w:p>
    <w:p>
      <w:pPr>
        <w:pStyle w:val="TextBody"/>
        <w:bidi w:val="0"/>
        <w:spacing w:before="0" w:after="120"/>
        <w:jc w:val="both"/>
        <w:rPr>
          <w:color w:val="1F497D"/>
        </w:rPr>
      </w:pPr>
      <w:r>
        <w:rPr>
          <w:color w:val="1F497D"/>
        </w:rPr>
        <w:t>•</w:t>
      </w:r>
    </w:p>
    <w:p>
      <w:pPr>
        <w:pStyle w:val="TextBody"/>
        <w:bidi w:val="0"/>
        <w:spacing w:before="0" w:after="120"/>
        <w:jc w:val="both"/>
        <w:rPr>
          <w:rFonts w:ascii="Arial" w:hAnsi="Arial"/>
          <w:color w:val="000000"/>
          <w:sz w:val="20"/>
        </w:rPr>
      </w:pPr>
      <w:r>
        <w:rPr>
          <w:rFonts w:ascii="Arial" w:hAnsi="Arial"/>
          <w:color w:val="000000"/>
          <w:sz w:val="20"/>
        </w:rPr>
        <w:t>Mail – complete, sign, and return the proxy and/or voting instruction card provided.</w:t>
      </w:r>
    </w:p>
    <w:p>
      <w:pPr>
        <w:pStyle w:val="TextBody"/>
        <w:bidi w:val="0"/>
        <w:spacing w:before="0" w:after="0"/>
        <w:jc w:val="both"/>
        <w:rPr>
          <w:color w:val="1F497D"/>
        </w:rPr>
      </w:pPr>
      <w:r>
        <w:rPr>
          <w:color w:val="1F497D"/>
        </w:rPr>
        <w:t>•</w:t>
      </w:r>
    </w:p>
    <w:p>
      <w:pPr>
        <w:pStyle w:val="TextBody"/>
        <w:bidi w:val="0"/>
        <w:jc w:val="both"/>
        <w:rPr>
          <w:rFonts w:ascii="Arial" w:hAnsi="Arial"/>
          <w:color w:val="000000"/>
          <w:sz w:val="20"/>
        </w:rPr>
      </w:pPr>
      <w:r>
        <w:rPr>
          <w:rFonts w:ascii="Arial" w:hAnsi="Arial"/>
          <w:color w:val="000000"/>
          <w:sz w:val="20"/>
        </w:rPr>
        <w:t>Virtually – follow the instructions on the website.</w:t>
      </w:r>
    </w:p>
    <w:p>
      <w:pPr>
        <w:pStyle w:val="TextBody"/>
        <w:bidi w:val="0"/>
        <w:spacing w:before="240" w:after="283"/>
        <w:jc w:val="both"/>
        <w:rPr>
          <w:rFonts w:ascii="Times New Roman" w:hAnsi="Times New Roman"/>
          <w:sz w:val="20"/>
        </w:rPr>
      </w:pPr>
      <w:r>
        <w:rPr>
          <w:rFonts w:ascii="Arial" w:hAnsi="Arial"/>
          <w:color w:val="000000"/>
          <w:sz w:val="20"/>
        </w:rPr>
        <w:t>When voting on Proposal One, you may vote “for all,” “withhold all,” or “for all except.” When voting on Proposals Two and Three, you may vote “for” or “against” the item, or you may abstain from voting.</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Only stockholders of record may vote during the 2026 Annual Meeting. If you are a beneficial owner of shares and wish to vote during the 2026 Annual Meeting, you must obtain a “legal proxy” from your broker, bank, or other nominee that holds your shares giving you the right to vote the shares at the 2026 Annual Meeting.</w:t>
      </w:r>
    </w:p>
    <w:p>
      <w:pPr>
        <w:pStyle w:val="TextBody"/>
        <w:bidi w:val="0"/>
        <w:spacing w:before="240" w:after="283"/>
        <w:jc w:val="both"/>
        <w:rPr>
          <w:rFonts w:ascii="Arial" w:hAnsi="Arial"/>
          <w:color w:val="000000"/>
          <w:sz w:val="20"/>
        </w:rPr>
      </w:pPr>
      <w:r>
        <w:rPr>
          <w:rFonts w:ascii="Arial" w:hAnsi="Arial"/>
          <w:color w:val="000000"/>
          <w:sz w:val="20"/>
        </w:rPr>
        <w:t>We encourage you to vote your proxy by Internet, telephone, or mail prior to the 2026 Annual Meeting, even if you plan to attend the 2026 Annual Meeting virtually.</w:t>
      </w:r>
    </w:p>
    <w:p>
      <w:pPr>
        <w:pStyle w:val="TextBody"/>
        <w:bidi w:val="0"/>
        <w:spacing w:before="240" w:after="283"/>
        <w:jc w:val="both"/>
        <w:rPr>
          <w:rFonts w:ascii="Arial" w:hAnsi="Arial"/>
          <w:color w:val="1F497D"/>
          <w:sz w:val="24"/>
          <w:u w:val="single"/>
        </w:rPr>
      </w:pPr>
      <w:r>
        <w:rPr>
          <w:rFonts w:ascii="Arial" w:hAnsi="Arial"/>
          <w:color w:val="1F497D"/>
          <w:sz w:val="24"/>
          <w:u w:val="single"/>
        </w:rPr>
        <w:t>May I attend the 2026 Annual Meeting in person?</w:t>
      </w:r>
    </w:p>
    <w:p>
      <w:pPr>
        <w:pStyle w:val="TextBody"/>
        <w:bidi w:val="0"/>
        <w:jc w:val="both"/>
        <w:rPr>
          <w:rFonts w:ascii="Times New Roman" w:hAnsi="Times New Roman"/>
          <w:sz w:val="20"/>
        </w:rPr>
      </w:pPr>
      <w:r>
        <w:rPr>
          <w:rFonts w:ascii="Arial" w:hAnsi="Arial"/>
          <w:color w:val="000000"/>
          <w:sz w:val="20"/>
        </w:rPr>
        <w:t xml:space="preserve">The 2026 Annual Meeting will be held exclusively online, with no option to attend in person. You may attend the meeting by visiting </w:t>
      </w:r>
      <w:r>
        <w:rPr>
          <w:rFonts w:ascii="Arial" w:hAnsi="Arial"/>
          <w:i/>
          <w:color w:val="000000"/>
          <w:sz w:val="20"/>
        </w:rPr>
        <w:t>www.virtualshareholdermeeting.com/SWBI2026</w:t>
      </w:r>
      <w:r>
        <w:rPr>
          <w:rFonts w:ascii="Times New Roman" w:hAnsi="Times New Roman"/>
          <w:color w:val="000000"/>
          <w:sz w:val="20"/>
        </w:rPr>
        <w:t xml:space="preserve"> </w:t>
      </w:r>
      <w:r>
        <w:rPr>
          <w:rFonts w:ascii="Arial" w:hAnsi="Arial"/>
          <w:color w:val="000000"/>
          <w:sz w:val="20"/>
        </w:rPr>
        <w:t>and using your 16-digit control number included on your proxy card or in the instructions that accompanied your proxy materials to enter the meeting. If you do not have a 16-digit control number, you may still attend the meeting as a guest in listen-only mode. We encourage stockholders to log in to the website and access the webcast early, beginning approximately 15 minutes before the 2026 Annual Meeting’s 10:00 a.m. Eastern Time start time. If you experience technical difficulties, please contact the technical support telephone number posted on the virtual stockholder meeting login page.</w:t>
      </w:r>
    </w:p>
    <w:p>
      <w:pPr>
        <w:pStyle w:val="TextBody"/>
        <w:bidi w:val="0"/>
        <w:spacing w:before="240" w:after="283"/>
        <w:jc w:val="both"/>
        <w:rPr>
          <w:rFonts w:ascii="Times New Roman" w:hAnsi="Times New Roman"/>
          <w:sz w:val="20"/>
        </w:rPr>
      </w:pPr>
      <w:r>
        <w:rPr>
          <w:rFonts w:ascii="Arial" w:hAnsi="Arial"/>
          <w:color w:val="000000"/>
          <w:sz w:val="20"/>
        </w:rPr>
        <w:t>If, as of the record date, your shares were held in an account at a brokerage firm, bank, or similar organization, then you are the beneficial owner of shares held in “street name,” and you will be required to provide proof of beneficial ownership, such as your most recent account statement as of the record date, a copy of the voting instruction form provided by your broker, bank, trustee, or nominee, or other similar evidence of ownership. If you do not comply with the procedures outlined above, you will not be admitted to the virtual annual meeting.</w:t>
      </w:r>
      <w:r>
        <w:rPr>
          <w:rFonts w:ascii="Times New Roman" w:hAnsi="Times New Roman"/>
          <w:color w:val="000000"/>
          <w:sz w:val="20"/>
        </w:rPr>
        <w:t xml:space="preserve"> </w:t>
      </w:r>
    </w:p>
    <w:p>
      <w:pPr>
        <w:pStyle w:val="TextBody"/>
        <w:bidi w:val="0"/>
        <w:spacing w:before="240" w:after="283"/>
        <w:jc w:val="both"/>
        <w:rPr>
          <w:rFonts w:ascii="Arial" w:hAnsi="Arial"/>
          <w:color w:val="002668"/>
          <w:sz w:val="24"/>
          <w:u w:val="single"/>
        </w:rPr>
      </w:pPr>
      <w:r>
        <w:rPr>
          <w:rFonts w:ascii="Arial" w:hAnsi="Arial"/>
          <w:color w:val="002668"/>
          <w:sz w:val="24"/>
          <w:u w:val="single"/>
        </w:rPr>
        <w:t>Will I be able to ask questions and participate in the virtual annual meeting?</w:t>
      </w:r>
    </w:p>
    <w:p>
      <w:pPr>
        <w:pStyle w:val="TextBody"/>
        <w:bidi w:val="0"/>
        <w:spacing w:before="40" w:after="283"/>
        <w:jc w:val="both"/>
        <w:rPr>
          <w:rFonts w:ascii="Arial" w:hAnsi="Arial"/>
          <w:color w:val="000000"/>
          <w:sz w:val="20"/>
        </w:rPr>
      </w:pPr>
      <w:r>
        <w:rPr>
          <w:rFonts w:ascii="Arial" w:hAnsi="Arial"/>
          <w:color w:val="000000"/>
          <w:sz w:val="20"/>
        </w:rPr>
        <w:t>Stockholders of record and proxy holders that provide their valid 16-digit control number will be able to participate in the 2026 Annual Meeting by asking questions and voting their shares as outlined above.</w:t>
      </w:r>
    </w:p>
    <w:p>
      <w:pPr>
        <w:pStyle w:val="TextBody"/>
        <w:bidi w:val="0"/>
        <w:jc w:val="both"/>
        <w:rPr>
          <w:rFonts w:ascii="Arial" w:hAnsi="Arial"/>
          <w:color w:val="000000"/>
          <w:sz w:val="20"/>
        </w:rPr>
      </w:pPr>
      <w:r>
        <w:rPr>
          <w:rFonts w:ascii="Arial" w:hAnsi="Arial"/>
          <w:color w:val="000000"/>
          <w:sz w:val="20"/>
        </w:rPr>
        <w:t>To submit questions during the meeting, stockholders may log into the virtual meeting website with their 16-digit control number, type the question into the “Ask a Question” field, and click “Submit.”</w:t>
      </w:r>
    </w:p>
    <w:p>
      <w:pPr>
        <w:pStyle w:val="TextBody"/>
        <w:bidi w:val="0"/>
        <w:spacing w:before="240" w:after="283"/>
        <w:jc w:val="both"/>
        <w:rPr>
          <w:rFonts w:ascii="Arial" w:hAnsi="Arial"/>
          <w:color w:val="000000"/>
          <w:sz w:val="20"/>
        </w:rPr>
      </w:pPr>
      <w:r>
        <w:rPr>
          <w:rFonts w:ascii="Arial" w:hAnsi="Arial"/>
          <w:color w:val="000000"/>
          <w:sz w:val="20"/>
        </w:rPr>
        <w:t>Only stockholders with a valid 16-digit control number will be allowed to ask questions and engage in dialogue. Questions and comments pertinent to meeting matters will be answered and addressed during the 2026 Annual Meeting as time allows. If we receive substantially similar written questions, we may group these questions together and provide a single response to avoid repetition and allow time for additional question topics. If we are unable to respond to a stockholder’s properly submitted question due to time constraints, we will endeavor to respond directly to that stockholder using the contact information provided.</w:t>
      </w:r>
    </w:p>
    <w:p>
      <w:pPr>
        <w:pStyle w:val="TextBody"/>
        <w:bidi w:val="0"/>
        <w:spacing w:before="240" w:after="283"/>
        <w:jc w:val="both"/>
        <w:rPr>
          <w:rFonts w:ascii="Arial" w:hAnsi="Arial"/>
          <w:color w:val="000000"/>
          <w:sz w:val="20"/>
        </w:rPr>
      </w:pPr>
      <w:r>
        <w:rPr>
          <w:rFonts w:ascii="Arial" w:hAnsi="Arial"/>
          <w:color w:val="000000"/>
          <w:sz w:val="20"/>
        </w:rPr>
        <w:t>Additional information regarding the rules and procedures for participating in the virtual annual meeting will be provided in our meeting rules of conduct, which stockholders may view during the 2026 Annual Meeting at the meeting website.</w:t>
      </w:r>
    </w:p>
    <w:p>
      <w:pPr>
        <w:pStyle w:val="TextBody"/>
        <w:bidi w:val="0"/>
        <w:jc w:val="left"/>
        <w:rPr/>
      </w:pPr>
      <w:r>
        <w:rPr/>
        <w:t> </w:t>
      </w:r>
    </w:p>
    <w:tbl>
      <w:tblPr>
        <w:tblW w:w="3702" w:type="dxa"/>
        <w:jc w:val="left"/>
        <w:tblInd w:w="0" w:type="dxa"/>
        <w:tblLayout w:type="fixed"/>
        <w:tblCellMar>
          <w:top w:w="28" w:type="dxa"/>
          <w:left w:w="28" w:type="dxa"/>
          <w:bottom w:w="28" w:type="dxa"/>
          <w:right w:w="28" w:type="dxa"/>
        </w:tblCellMar>
      </w:tblPr>
      <w:tblGrid>
        <w:gridCol w:w="2266"/>
        <w:gridCol w:w="1436"/>
      </w:tblGrid>
      <w:tr>
        <w:trPr/>
        <w:tc>
          <w:tcPr>
            <w:tcW w:w="2266"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2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91F2C"/>
                <w:sz w:val="18"/>
              </w:rPr>
              <w:t>47</w:t>
            </w:r>
            <w:r>
              <w:rPr>
                <w:rFonts w:ascii="Times New Roman" w:hAnsi="Times New Roman"/>
                <w:color w:val="091F2C"/>
                <w:sz w:val="18"/>
              </w:rPr>
              <w:t> </w:t>
            </w:r>
            <w:r>
              <w:rPr>
                <w:rFonts w:ascii="Arial" w:hAnsi="Arial"/>
                <w:color w:val="091F2C"/>
                <w:sz w:val="18"/>
              </w:rPr>
              <w:t>I 2026 Proxy Statement</w:t>
            </w:r>
          </w:p>
        </w:tc>
        <w:tc>
          <w:tcPr>
            <w:tcW w:w="143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828675" cy="190500"/>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embed="rId57"/>
                          <a:stretch>
                            <a:fillRect/>
                          </a:stretch>
                        </pic:blipFill>
                        <pic:spPr bwMode="auto">
                          <a:xfrm>
                            <a:off x="0" y="0"/>
                            <a:ext cx="828675" cy="190500"/>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Arial" w:hAnsi="Arial"/>
          <w:color w:val="002668"/>
          <w:sz w:val="20"/>
          <w:u w:val="single"/>
        </w:rPr>
      </w:pPr>
      <w:r>
        <w:rPr>
          <w:rFonts w:ascii="Arial" w:hAnsi="Arial"/>
          <w:color w:val="002668"/>
          <w:sz w:val="20"/>
          <w:u w:val="single"/>
        </w:rPr>
        <w:t>Other Important Information</w:t>
      </w:r>
    </w:p>
    <w:p>
      <w:pPr>
        <w:pStyle w:val="TextBody"/>
        <w:bidi w:val="0"/>
        <w:spacing w:before="240" w:after="283"/>
        <w:jc w:val="both"/>
        <w:rPr>
          <w:rFonts w:ascii="Arial" w:hAnsi="Arial"/>
          <w:color w:val="1F497D"/>
          <w:sz w:val="24"/>
          <w:u w:val="single"/>
        </w:rPr>
      </w:pPr>
      <w:r>
        <w:rPr>
          <w:rFonts w:ascii="Arial" w:hAnsi="Arial"/>
          <w:color w:val="1F497D"/>
          <w:sz w:val="24"/>
          <w:u w:val="single"/>
        </w:rPr>
        <w:t>How many shares of common stock were outstanding and entitled to vote on the record date?</w:t>
      </w:r>
    </w:p>
    <w:p>
      <w:pPr>
        <w:pStyle w:val="TextBody"/>
        <w:bidi w:val="0"/>
        <w:spacing w:before="40" w:after="283"/>
        <w:jc w:val="both"/>
        <w:rPr>
          <w:rFonts w:ascii="Arial" w:hAnsi="Arial"/>
          <w:color w:val="000000"/>
          <w:sz w:val="20"/>
        </w:rPr>
      </w:pPr>
      <w:r>
        <w:rPr>
          <w:rFonts w:ascii="Arial" w:hAnsi="Arial"/>
          <w:color w:val="000000"/>
          <w:sz w:val="20"/>
        </w:rPr>
        <w:t>44,839,680 shares.</w:t>
      </w:r>
    </w:p>
    <w:p>
      <w:pPr>
        <w:pStyle w:val="TextBody"/>
        <w:bidi w:val="0"/>
        <w:spacing w:before="240" w:after="283"/>
        <w:jc w:val="both"/>
        <w:rPr>
          <w:rFonts w:ascii="Arial" w:hAnsi="Arial"/>
          <w:color w:val="1F497D"/>
          <w:sz w:val="24"/>
          <w:u w:val="single"/>
        </w:rPr>
      </w:pPr>
      <w:r>
        <w:rPr>
          <w:rFonts w:ascii="Arial" w:hAnsi="Arial"/>
          <w:color w:val="1F497D"/>
          <w:sz w:val="24"/>
          <w:u w:val="single"/>
        </w:rPr>
        <w:t>Can I change my vote or revoke my proxy after I vote?</w:t>
      </w:r>
    </w:p>
    <w:p>
      <w:pPr>
        <w:pStyle w:val="TextBody"/>
        <w:bidi w:val="0"/>
        <w:spacing w:before="40" w:after="283"/>
        <w:jc w:val="both"/>
        <w:rPr>
          <w:rFonts w:ascii="Times New Roman" w:hAnsi="Times New Roman"/>
          <w:sz w:val="20"/>
        </w:rPr>
      </w:pPr>
      <w:r>
        <w:rPr>
          <w:rFonts w:ascii="Arial" w:hAnsi="Arial"/>
          <w:color w:val="000000"/>
          <w:sz w:val="20"/>
        </w:rPr>
        <w:t>Any person giving a proxy may revoke the proxy at any time before its use by delivering to us either a written notice of revocation or a duly executed proxy bearing a later date or by attending the meeting and voting electronically during the meeting.</w:t>
      </w:r>
      <w:r>
        <w:rPr>
          <w:rFonts w:ascii="Times New Roman" w:hAnsi="Times New Roman"/>
          <w:color w:val="000000"/>
          <w:sz w:val="20"/>
        </w:rPr>
        <w:t xml:space="preserve"> </w:t>
      </w:r>
    </w:p>
    <w:p>
      <w:pPr>
        <w:pStyle w:val="TextBody"/>
        <w:bidi w:val="0"/>
        <w:spacing w:before="240" w:after="283"/>
        <w:jc w:val="both"/>
        <w:rPr>
          <w:rFonts w:ascii="Arial" w:hAnsi="Arial"/>
          <w:color w:val="1F497D"/>
          <w:sz w:val="24"/>
          <w:u w:val="single"/>
        </w:rPr>
      </w:pPr>
      <w:r>
        <w:rPr>
          <w:rFonts w:ascii="Arial" w:hAnsi="Arial"/>
          <w:color w:val="1F497D"/>
          <w:sz w:val="24"/>
          <w:u w:val="single"/>
        </w:rPr>
        <w:t>What constitutes a quorum at the 2026 Annual Meeting, and why is a quorum required?</w:t>
      </w:r>
    </w:p>
    <w:p>
      <w:pPr>
        <w:pStyle w:val="TextBody"/>
        <w:bidi w:val="0"/>
        <w:spacing w:before="40" w:after="283"/>
        <w:jc w:val="both"/>
        <w:rPr>
          <w:rFonts w:ascii="Arial" w:hAnsi="Arial"/>
          <w:color w:val="000000"/>
          <w:sz w:val="20"/>
        </w:rPr>
      </w:pPr>
      <w:r>
        <w:rPr>
          <w:rFonts w:ascii="Arial" w:hAnsi="Arial"/>
          <w:color w:val="000000"/>
          <w:sz w:val="20"/>
        </w:rPr>
        <w:t>The presence at the 2026 Annual Meeting, in person or by proxy, of the holders of a majority of the total number of shares of common stock entitled to vote on the record date will constitute a quorum. Votes cast electronically during the meeting or by proxy at the meeting will be tabulated by the election inspector appointed for the meeting, who will determine whether a quorum is present. A quorum of stockholders is necessary to hold a valid meeting.</w:t>
      </w:r>
    </w:p>
    <w:p>
      <w:pPr>
        <w:pStyle w:val="TextBody"/>
        <w:bidi w:val="0"/>
        <w:spacing w:before="240" w:after="283"/>
        <w:jc w:val="both"/>
        <w:rPr>
          <w:rFonts w:ascii="Arial" w:hAnsi="Arial"/>
          <w:color w:val="002668"/>
          <w:sz w:val="24"/>
          <w:u w:val="single"/>
        </w:rPr>
      </w:pPr>
      <w:r>
        <w:rPr>
          <w:rFonts w:ascii="Arial" w:hAnsi="Arial"/>
          <w:color w:val="002668"/>
          <w:sz w:val="24"/>
          <w:u w:val="single"/>
        </w:rPr>
        <w:t>What is the difference between holding shares as a “registered holder” and as a “beneficial holder?”</w:t>
      </w:r>
    </w:p>
    <w:p>
      <w:pPr>
        <w:pStyle w:val="TextBody"/>
        <w:bidi w:val="0"/>
        <w:spacing w:before="40" w:after="283"/>
        <w:jc w:val="both"/>
        <w:rPr>
          <w:rFonts w:ascii="Arial" w:hAnsi="Arial"/>
          <w:color w:val="000000"/>
          <w:sz w:val="20"/>
        </w:rPr>
      </w:pPr>
      <w:r>
        <w:rPr>
          <w:rFonts w:ascii="Arial" w:hAnsi="Arial"/>
          <w:color w:val="000000"/>
          <w:sz w:val="20"/>
        </w:rPr>
        <w:t>If your shares are registered directly in your name with our transfer agent, you are a registered holder. If your shares are held in the name of a bank, brokerage, or other nominee as custodian on your behalf, you are a beneficial holder.</w:t>
      </w:r>
    </w:p>
    <w:p>
      <w:pPr>
        <w:pStyle w:val="TextBody"/>
        <w:bidi w:val="0"/>
        <w:spacing w:before="240" w:after="283"/>
        <w:jc w:val="both"/>
        <w:rPr>
          <w:rFonts w:ascii="Arial" w:hAnsi="Arial"/>
          <w:color w:val="002668"/>
          <w:sz w:val="24"/>
          <w:u w:val="single"/>
        </w:rPr>
      </w:pPr>
      <w:r>
        <w:rPr>
          <w:rFonts w:ascii="Arial" w:hAnsi="Arial"/>
          <w:color w:val="002668"/>
          <w:sz w:val="24"/>
          <w:u w:val="single"/>
        </w:rPr>
        <w:t>What if I am a beneficial holder and do not give voting instructions to my broker?</w:t>
      </w:r>
    </w:p>
    <w:p>
      <w:pPr>
        <w:pStyle w:val="TextBody"/>
        <w:bidi w:val="0"/>
        <w:spacing w:before="40" w:after="283"/>
        <w:jc w:val="both"/>
        <w:rPr>
          <w:rFonts w:ascii="Times New Roman" w:hAnsi="Times New Roman"/>
          <w:sz w:val="20"/>
        </w:rPr>
      </w:pPr>
      <w:r>
        <w:rPr>
          <w:rFonts w:ascii="Arial" w:hAnsi="Arial"/>
          <w:color w:val="000000"/>
          <w:sz w:val="20"/>
        </w:rPr>
        <w:t>As a beneficial holder, you must provide voting instructions to your bank, broker, or other nominee by the deadline provided in the materials you receive from your bank, broker, or other nominee to ensure your shares are voted in the way you would like. If you do not provide voting instructions to your bank, broker, or other nominee, whether your shares can be voted by such person will depend on the type of item being considered for vote. All proposals, other than Proposal Three, are “non-routine” matters and therefore non-discretionary items in that they may not be voted on by brokers, banks, or other nominees who have not received specific voting instructions from beneficial holders (so called “broker non-votes”). Proposal Three is a “routine” matter and, therefore, a discretionary matter in that banks, brokers, and other nominees that do not receive voting instructions from beneficial holders may generally vote on this proposal in their discretion.</w:t>
      </w:r>
      <w:r>
        <w:rPr>
          <w:rFonts w:ascii="Times New Roman" w:hAnsi="Times New Roman"/>
          <w:color w:val="000000"/>
          <w:sz w:val="20"/>
        </w:rPr>
        <w:t xml:space="preserve"> </w:t>
      </w:r>
    </w:p>
    <w:p>
      <w:pPr>
        <w:pStyle w:val="TextBody"/>
        <w:bidi w:val="0"/>
        <w:spacing w:before="40" w:after="283"/>
        <w:jc w:val="both"/>
        <w:rPr/>
      </w:pPr>
      <w:r>
        <w:rPr/>
        <w:t> </w:t>
      </w:r>
    </w:p>
    <w:p>
      <w:pPr>
        <w:pStyle w:val="TextBody"/>
        <w:bidi w:val="0"/>
        <w:jc w:val="both"/>
        <w:rPr>
          <w:rFonts w:ascii="Arial" w:hAnsi="Arial"/>
          <w:color w:val="002668"/>
          <w:sz w:val="24"/>
          <w:u w:val="single"/>
        </w:rPr>
      </w:pPr>
      <w:r>
        <w:rPr>
          <w:rFonts w:ascii="Arial" w:hAnsi="Arial"/>
          <w:color w:val="002668"/>
          <w:sz w:val="24"/>
          <w:u w:val="single"/>
        </w:rPr>
        <w:t>Will any other business be conducted at the 2026 Annual Meeting?</w:t>
      </w:r>
    </w:p>
    <w:p>
      <w:pPr>
        <w:pStyle w:val="TextBody"/>
        <w:bidi w:val="0"/>
        <w:jc w:val="both"/>
        <w:rPr>
          <w:rFonts w:ascii="Arial" w:hAnsi="Arial"/>
          <w:color w:val="000000"/>
          <w:sz w:val="20"/>
        </w:rPr>
      </w:pPr>
      <w:r>
        <w:rPr>
          <w:rFonts w:ascii="Arial" w:hAnsi="Arial"/>
          <w:color w:val="000000"/>
          <w:sz w:val="20"/>
        </w:rPr>
        <w:t>We are not aware of any items, other than those referred to in this Proxy Statement, that may properly come before the 2026 Annual Meeting. If other matters are properly brought before the 2026 Annual Meeting, the accompanying proxy will be voted at the discretion of the proxy holders.</w:t>
      </w:r>
    </w:p>
    <w:p>
      <w:pPr>
        <w:pStyle w:val="TextBody"/>
        <w:bidi w:val="0"/>
        <w:jc w:val="both"/>
        <w:rPr/>
      </w:pPr>
      <w:r>
        <w:rPr/>
        <w:t> </w:t>
      </w:r>
    </w:p>
    <w:p>
      <w:pPr>
        <w:pStyle w:val="TextBody"/>
        <w:bidi w:val="0"/>
        <w:jc w:val="both"/>
        <w:rPr>
          <w:rFonts w:ascii="Arial" w:hAnsi="Arial"/>
          <w:color w:val="1F497D"/>
          <w:sz w:val="24"/>
          <w:u w:val="single"/>
        </w:rPr>
      </w:pPr>
      <w:r>
        <w:rPr>
          <w:rFonts w:ascii="Arial" w:hAnsi="Arial"/>
          <w:color w:val="1F497D"/>
          <w:sz w:val="24"/>
          <w:u w:val="single"/>
        </w:rPr>
        <w:t>What is householding?</w:t>
      </w:r>
    </w:p>
    <w:p>
      <w:pPr>
        <w:pStyle w:val="TextBody"/>
        <w:bidi w:val="0"/>
        <w:jc w:val="both"/>
        <w:rPr>
          <w:rFonts w:ascii="Arial" w:hAnsi="Arial"/>
          <w:color w:val="000000"/>
          <w:sz w:val="20"/>
        </w:rPr>
      </w:pPr>
      <w:r>
        <w:rPr>
          <w:rFonts w:ascii="Arial" w:hAnsi="Arial"/>
          <w:color w:val="000000"/>
          <w:sz w:val="20"/>
        </w:rPr>
        <w:t>Beneficial holders who share a single address may receive only one copy of the notice or the proxy materials, as the case may be, unless their broker, bank, or other nominee has received contrary instructions from any beneficial holder at that address. This is known as householding. If any beneficial holder(s) sharing a single address wishes to discontinue householding and/or receive a separate copy of the notice or the proxy materials or wishes to enroll in householding, the beneficial holder(s) should contact its broker, bank, or other nominee directly. Alternatively, if any such beneficial holder(s) wishes to receive a separate copy of the proxy materials, we will deliver them promptly upon request in writing (by mailing a request to our principal executive offices).</w:t>
      </w:r>
    </w:p>
    <w:p>
      <w:pPr>
        <w:pStyle w:val="TextBody"/>
        <w:bidi w:val="0"/>
        <w:spacing w:before="240" w:after="283"/>
        <w:jc w:val="both"/>
        <w:rPr>
          <w:rFonts w:ascii="Arial" w:hAnsi="Arial"/>
          <w:color w:val="002668"/>
          <w:sz w:val="24"/>
          <w:u w:val="single"/>
        </w:rPr>
      </w:pPr>
      <w:r>
        <w:rPr>
          <w:rFonts w:ascii="Arial" w:hAnsi="Arial"/>
          <w:color w:val="002668"/>
          <w:sz w:val="24"/>
          <w:u w:val="single"/>
        </w:rPr>
        <w:t>Who pays for this proxy solicitation?</w:t>
      </w:r>
    </w:p>
    <w:p>
      <w:pPr>
        <w:pStyle w:val="TextBody"/>
        <w:bidi w:val="0"/>
        <w:spacing w:before="40" w:after="283"/>
        <w:jc w:val="both"/>
        <w:rPr>
          <w:rFonts w:ascii="Times New Roman" w:hAnsi="Times New Roman"/>
          <w:sz w:val="20"/>
        </w:rPr>
      </w:pPr>
      <w:r>
        <w:rPr>
          <w:rFonts w:ascii="Arial" w:hAnsi="Arial"/>
          <w:color w:val="000000"/>
          <w:sz w:val="20"/>
        </w:rPr>
        <w:t xml:space="preserve">We bear the costs of soliciting proxies. </w:t>
      </w:r>
      <w:r>
        <w:rPr>
          <w:rFonts w:ascii="Arial" w:hAnsi="Arial"/>
          <w:color w:val="1A1A1A"/>
          <w:sz w:val="20"/>
        </w:rPr>
        <w:t xml:space="preserve">We will reimburse brokerage firms and other persons representing beneficial owners of shares for expenses incurred </w:t>
      </w:r>
      <w:r>
        <w:rPr>
          <w:rFonts w:ascii="Arial" w:hAnsi="Arial"/>
          <w:color w:val="000000"/>
          <w:sz w:val="20"/>
        </w:rPr>
        <w:t>in forwarding solicitation materials to such beneficial</w:t>
      </w:r>
      <w:r>
        <w:rPr>
          <w:rFonts w:ascii="Times New Roman" w:hAnsi="Times New Roman"/>
          <w:color w:val="000000"/>
          <w:sz w:val="20"/>
        </w:rPr>
        <w:t xml:space="preserve"> </w:t>
      </w:r>
    </w:p>
    <w:p>
      <w:pPr>
        <w:pStyle w:val="TextBody"/>
        <w:bidi w:val="0"/>
        <w:jc w:val="left"/>
        <w:rPr/>
      </w:pPr>
      <w:r>
        <w:rPr/>
        <w:t> </w:t>
      </w:r>
    </w:p>
    <w:tbl>
      <w:tblPr>
        <w:tblW w:w="3702" w:type="dxa"/>
        <w:jc w:val="left"/>
        <w:tblInd w:w="0" w:type="dxa"/>
        <w:tblLayout w:type="fixed"/>
        <w:tblCellMar>
          <w:top w:w="28" w:type="dxa"/>
          <w:left w:w="28" w:type="dxa"/>
          <w:bottom w:w="28" w:type="dxa"/>
          <w:right w:w="28" w:type="dxa"/>
        </w:tblCellMar>
      </w:tblPr>
      <w:tblGrid>
        <w:gridCol w:w="2266"/>
        <w:gridCol w:w="1436"/>
      </w:tblGrid>
      <w:tr>
        <w:trPr/>
        <w:tc>
          <w:tcPr>
            <w:tcW w:w="2266"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2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91F2C"/>
                <w:sz w:val="18"/>
              </w:rPr>
              <w:t>48</w:t>
            </w:r>
            <w:r>
              <w:rPr>
                <w:rFonts w:ascii="Times New Roman" w:hAnsi="Times New Roman"/>
                <w:color w:val="091F2C"/>
                <w:sz w:val="18"/>
              </w:rPr>
              <w:t> </w:t>
            </w:r>
            <w:r>
              <w:rPr>
                <w:rFonts w:ascii="Arial" w:hAnsi="Arial"/>
                <w:color w:val="091F2C"/>
                <w:sz w:val="18"/>
              </w:rPr>
              <w:t>I 2026 Proxy Statement</w:t>
            </w:r>
          </w:p>
        </w:tc>
        <w:tc>
          <w:tcPr>
            <w:tcW w:w="143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828675" cy="190500"/>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embed="rId58"/>
                          <a:stretch>
                            <a:fillRect/>
                          </a:stretch>
                        </pic:blipFill>
                        <pic:spPr bwMode="auto">
                          <a:xfrm>
                            <a:off x="0" y="0"/>
                            <a:ext cx="828675" cy="190500"/>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Arial" w:hAnsi="Arial"/>
          <w:color w:val="002668"/>
          <w:sz w:val="20"/>
          <w:u w:val="single"/>
        </w:rPr>
      </w:pPr>
      <w:r>
        <w:rPr>
          <w:rFonts w:ascii="Arial" w:hAnsi="Arial"/>
          <w:color w:val="002668"/>
          <w:sz w:val="20"/>
          <w:u w:val="single"/>
        </w:rPr>
        <w:t>Other Important Information</w:t>
      </w:r>
    </w:p>
    <w:p>
      <w:pPr>
        <w:pStyle w:val="TextBody"/>
        <w:bidi w:val="0"/>
        <w:spacing w:before="40" w:after="283"/>
        <w:jc w:val="both"/>
        <w:rPr>
          <w:rFonts w:ascii="Arial" w:hAnsi="Arial"/>
          <w:color w:val="000000"/>
          <w:sz w:val="20"/>
        </w:rPr>
      </w:pPr>
      <w:r>
        <w:rPr>
          <w:rFonts w:ascii="Arial" w:hAnsi="Arial"/>
          <w:color w:val="000000"/>
          <w:sz w:val="20"/>
        </w:rPr>
        <w:t>owners. Proxies also may be solicited by certain of our directors and officers, personally or by telephone or e-mail, without additional compensation.</w:t>
      </w:r>
    </w:p>
    <w:p>
      <w:pPr>
        <w:pStyle w:val="TextBody"/>
        <w:bidi w:val="0"/>
        <w:spacing w:before="240" w:after="283"/>
        <w:jc w:val="both"/>
        <w:rPr>
          <w:rFonts w:ascii="Arial" w:hAnsi="Arial"/>
          <w:color w:val="002668"/>
          <w:sz w:val="24"/>
          <w:u w:val="single"/>
        </w:rPr>
      </w:pPr>
      <w:r>
        <w:rPr>
          <w:rFonts w:ascii="Arial" w:hAnsi="Arial"/>
          <w:color w:val="002668"/>
          <w:sz w:val="24"/>
          <w:u w:val="single"/>
        </w:rPr>
        <w:t>When will the Company announce the voting results?</w:t>
      </w:r>
    </w:p>
    <w:p>
      <w:pPr>
        <w:pStyle w:val="TextBody"/>
        <w:bidi w:val="0"/>
        <w:spacing w:before="40" w:after="283"/>
        <w:jc w:val="both"/>
        <w:rPr>
          <w:rFonts w:ascii="Arial" w:hAnsi="Arial"/>
          <w:color w:val="000000"/>
          <w:sz w:val="20"/>
        </w:rPr>
      </w:pPr>
      <w:r>
        <w:rPr>
          <w:rFonts w:ascii="Arial" w:hAnsi="Arial"/>
          <w:color w:val="000000"/>
          <w:sz w:val="20"/>
        </w:rPr>
        <w:t>We will announce preliminary voting results at the 2026 Annual Meeting and report the final results on our website and in a current report on Form 8-K filed with the SEC.</w:t>
      </w:r>
    </w:p>
    <w:p>
      <w:pPr>
        <w:pStyle w:val="TextBody"/>
        <w:bidi w:val="0"/>
        <w:spacing w:before="240" w:after="283"/>
        <w:jc w:val="both"/>
        <w:rPr>
          <w:rFonts w:ascii="Times New Roman" w:hAnsi="Times New Roman"/>
          <w:sz w:val="20"/>
        </w:rPr>
      </w:pPr>
      <w:r>
        <w:rPr>
          <w:rFonts w:ascii="Arial" w:hAnsi="Arial"/>
          <w:color w:val="002668"/>
          <w:sz w:val="24"/>
          <w:u w:val="single"/>
        </w:rPr>
        <w:t>Important Notice Regarding the Availability of Proxy Materials for the Stockholder Meeting To Be Held on September 15, 2026.</w:t>
      </w:r>
      <w:r>
        <w:rPr>
          <w:rFonts w:ascii="Times New Roman" w:hAnsi="Times New Roman"/>
          <w:color w:val="002668"/>
          <w:sz w:val="20"/>
        </w:rPr>
        <w:t xml:space="preserve"> </w:t>
      </w:r>
    </w:p>
    <w:p>
      <w:pPr>
        <w:pStyle w:val="TextBody"/>
        <w:bidi w:val="0"/>
        <w:jc w:val="both"/>
        <w:rPr>
          <w:rFonts w:ascii="Times New Roman" w:hAnsi="Times New Roman"/>
          <w:sz w:val="20"/>
        </w:rPr>
      </w:pPr>
      <w:r>
        <w:rPr>
          <w:rFonts w:ascii="Arial" w:hAnsi="Arial"/>
          <w:color w:val="000000"/>
          <w:sz w:val="20"/>
        </w:rPr>
        <w:t xml:space="preserve">These proxy materials, which include the Notice of Annual Meeting of Stockholders, this Proxy Statement, and our annual report, are available at </w:t>
      </w:r>
      <w:r>
        <w:rPr>
          <w:rFonts w:ascii="Arial" w:hAnsi="Arial"/>
          <w:i/>
          <w:color w:val="000000"/>
          <w:sz w:val="20"/>
        </w:rPr>
        <w:t>www.proxyvote.com</w:t>
      </w:r>
      <w:r>
        <w:rPr>
          <w:rFonts w:ascii="Arial" w:hAnsi="Arial"/>
          <w:color w:val="000000"/>
          <w:sz w:val="20"/>
        </w:rPr>
        <w: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2668"/>
          <w:sz w:val="24"/>
          <w:u w:val="single"/>
        </w:rPr>
        <w:t>How does the Board recommend that you vote?</w:t>
      </w:r>
      <w:r>
        <w:rPr>
          <w:rFonts w:ascii="Times New Roman" w:hAnsi="Times New Roman"/>
          <w:color w:val="002668"/>
          <w:sz w:val="20"/>
        </w:rPr>
        <w:t xml:space="preserve"> </w:t>
      </w:r>
    </w:p>
    <w:p>
      <w:pPr>
        <w:pStyle w:val="TextBody"/>
        <w:bidi w:val="0"/>
        <w:spacing w:before="40" w:after="283"/>
        <w:jc w:val="both"/>
        <w:rPr>
          <w:rFonts w:ascii="Times New Roman" w:hAnsi="Times New Roman"/>
          <w:sz w:val="20"/>
        </w:rPr>
      </w:pPr>
      <w:r>
        <w:rPr>
          <w:rFonts w:ascii="Arial" w:hAnsi="Arial"/>
          <w:color w:val="000000"/>
          <w:sz w:val="20"/>
        </w:rPr>
        <w:t>The Board recommends that you vote as follows:</w:t>
      </w:r>
      <w:r>
        <w:rPr>
          <w:rFonts w:ascii="Times New Roman" w:hAnsi="Times New Roman"/>
          <w:color w:val="000000"/>
          <w:sz w:val="20"/>
        </w:rPr>
        <w:t xml:space="preserve"> </w:t>
      </w:r>
    </w:p>
    <w:p>
      <w:pPr>
        <w:pStyle w:val="TextBody"/>
        <w:bidi w:val="0"/>
        <w:spacing w:before="120" w:after="283"/>
        <w:jc w:val="both"/>
        <w:rPr>
          <w:color w:val="1F497D"/>
        </w:rPr>
      </w:pPr>
      <w:r>
        <w:rPr>
          <w:color w:val="1F497D"/>
        </w:rPr>
        <w:t>•</w:t>
      </w:r>
    </w:p>
    <w:p>
      <w:pPr>
        <w:pStyle w:val="TextBody"/>
        <w:bidi w:val="0"/>
        <w:spacing w:before="120" w:after="283"/>
        <w:jc w:val="both"/>
        <w:rPr/>
      </w:pPr>
      <w:r>
        <w:rPr>
          <w:rFonts w:ascii="Arial" w:hAnsi="Arial"/>
          <w:b/>
          <w:color w:val="000000"/>
          <w:sz w:val="20"/>
        </w:rPr>
        <w:t>FOR</w:t>
      </w:r>
      <w:r>
        <w:rPr>
          <w:color w:val="000000"/>
        </w:rPr>
        <w:t xml:space="preserve"> </w:t>
      </w:r>
      <w:r>
        <w:rPr>
          <w:rFonts w:ascii="Arial" w:hAnsi="Arial"/>
          <w:color w:val="000000"/>
          <w:sz w:val="20"/>
        </w:rPr>
        <w:t>the election of each of the six director nominees (Proposal One)</w:t>
      </w:r>
    </w:p>
    <w:p>
      <w:pPr>
        <w:pStyle w:val="TextBody"/>
        <w:bidi w:val="0"/>
        <w:spacing w:before="120" w:after="283"/>
        <w:jc w:val="both"/>
        <w:rPr>
          <w:color w:val="1F497D"/>
        </w:rPr>
      </w:pPr>
      <w:r>
        <w:rPr>
          <w:color w:val="1F497D"/>
        </w:rPr>
        <w:t>•</w:t>
      </w:r>
    </w:p>
    <w:p>
      <w:pPr>
        <w:pStyle w:val="TextBody"/>
        <w:bidi w:val="0"/>
        <w:spacing w:before="120" w:after="283"/>
        <w:jc w:val="both"/>
        <w:rPr/>
      </w:pPr>
      <w:r>
        <w:rPr>
          <w:rFonts w:ascii="Arial" w:hAnsi="Arial"/>
          <w:b/>
          <w:color w:val="000000"/>
          <w:sz w:val="20"/>
        </w:rPr>
        <w:t>FOR</w:t>
      </w:r>
      <w:r>
        <w:rPr>
          <w:color w:val="000000"/>
        </w:rPr>
        <w:t xml:space="preserve"> </w:t>
      </w:r>
      <w:r>
        <w:rPr>
          <w:rFonts w:ascii="Arial" w:hAnsi="Arial"/>
          <w:color w:val="000000"/>
          <w:sz w:val="20"/>
        </w:rPr>
        <w:t>the advisory vote on the compensation of our NEOs for fiscal 2026 (Proposal Two)</w:t>
      </w:r>
    </w:p>
    <w:p>
      <w:pPr>
        <w:pStyle w:val="TextBody"/>
        <w:bidi w:val="0"/>
        <w:spacing w:before="120" w:after="283"/>
        <w:jc w:val="both"/>
        <w:rPr>
          <w:color w:val="1F497D"/>
        </w:rPr>
      </w:pPr>
      <w:r>
        <w:rPr>
          <w:color w:val="1F497D"/>
        </w:rPr>
        <w:t>•</w:t>
      </w:r>
    </w:p>
    <w:p>
      <w:pPr>
        <w:pStyle w:val="TextBody"/>
        <w:bidi w:val="0"/>
        <w:spacing w:before="120" w:after="283"/>
        <w:jc w:val="both"/>
        <w:rPr/>
      </w:pPr>
      <w:r>
        <w:rPr>
          <w:rFonts w:ascii="Arial" w:hAnsi="Arial"/>
          <w:b/>
          <w:color w:val="000000"/>
          <w:sz w:val="20"/>
        </w:rPr>
        <w:t>FOR</w:t>
      </w:r>
      <w:r>
        <w:rPr>
          <w:color w:val="FF0000"/>
        </w:rPr>
        <w:t xml:space="preserve"> </w:t>
      </w:r>
      <w:r>
        <w:rPr>
          <w:rFonts w:ascii="Arial" w:hAnsi="Arial"/>
          <w:color w:val="000000"/>
          <w:sz w:val="20"/>
        </w:rPr>
        <w:t>the ratification of the appointment of KPMG LLP as our independent registered public accounting firm for fiscal 2027 (Proposal Three)</w:t>
      </w:r>
    </w:p>
    <w:p>
      <w:pPr>
        <w:pStyle w:val="TextBody"/>
        <w:bidi w:val="0"/>
        <w:jc w:val="both"/>
        <w:rPr/>
      </w:pPr>
      <w:r>
        <w:rPr/>
        <w:t> </w:t>
      </w:r>
    </w:p>
    <w:p>
      <w:pPr>
        <w:pStyle w:val="TextBody"/>
        <w:bidi w:val="0"/>
        <w:spacing w:before="120" w:after="283"/>
        <w:jc w:val="both"/>
        <w:rPr>
          <w:rFonts w:ascii="Arial" w:hAnsi="Arial"/>
          <w:b/>
          <w:color w:val="002668"/>
          <w:sz w:val="28"/>
        </w:rPr>
      </w:pPr>
      <w:bookmarkStart w:id="15" w:name="ny_nominations"/>
      <w:bookmarkEnd w:id="15"/>
      <w:r>
        <w:rPr>
          <w:rFonts w:ascii="Arial" w:hAnsi="Arial"/>
          <w:b/>
          <w:color w:val="002668"/>
          <w:sz w:val="28"/>
        </w:rPr>
        <w:t>STOCKHOLDER PROPOSALS OR DIRECTOR NOMINATIONS FOR 2027 ANNUAL MEETING</w:t>
      </w:r>
    </w:p>
    <w:p>
      <w:pPr>
        <w:pStyle w:val="TextBody"/>
        <w:bidi w:val="0"/>
        <w:jc w:val="both"/>
        <w:rPr>
          <w:rFonts w:ascii="Arial" w:hAnsi="Arial"/>
          <w:color w:val="000000"/>
          <w:sz w:val="20"/>
        </w:rPr>
      </w:pPr>
      <w:r>
        <w:rPr>
          <w:rFonts w:ascii="Arial" w:hAnsi="Arial"/>
          <w:color w:val="000000"/>
          <w:sz w:val="20"/>
        </w:rPr>
        <w:t>SEC rules permit stockholders to submit proposals for inclusion in our proxy statement if the stockholder and the proposal meet the requirements specified in Rule 14a-8 under the Exchange Act. To be considered for inclusion in next year’s proxy statement, a stockholder proposal submitted in accordance with Rule 14a-8 must be received by us at our principal executive offices by no later than April 8, 2027, unless the date of the 2027 Annual Meeting shall have been accelerated or delayed by more than 30 days from September 15, 2027, in which case the deadline for submission of the stockholder proposal is a reasonable time before we begin to print and disseminate our definitive proxy materials.</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Our Bylaws provide that any stockholder proposal (including director nominations) that is not submitted for inclusion in next year’s proxy statement under Rule 14a-8, but is instead sought to be presented directly at the 2027 Annual Meeting must be delivered to our principal executive offices not later than the close of business on the 90th day nor earlier than the close of business on the 120th day prior to the first anniversary of the 2026 Annual Meeting. In each case, the notice must include the information specified in our Bylaws. If the 2027 Annual Meeting is held more than 30 days before or more than 70 days after the anniversary date of the 2026 Annual Meeting, notice must be delivered not earlier than the close of business on the 120th day prior to the 2027 Annual Meeting and not later than the close of business on the later of the 90th day prior to the 2027 Annual Meeting or the 10</w:t>
      </w:r>
      <w:r>
        <w:rPr>
          <w:rFonts w:ascii="Arial" w:hAnsi="Arial"/>
          <w:color w:val="000000"/>
          <w:sz w:val="13"/>
        </w:rPr>
        <w:t>th</w:t>
      </w:r>
      <w:r>
        <w:rPr>
          <w:rFonts w:ascii="Times New Roman" w:hAnsi="Times New Roman"/>
          <w:color w:val="000000"/>
          <w:sz w:val="20"/>
        </w:rPr>
        <w:t xml:space="preserve"> </w:t>
      </w:r>
      <w:r>
        <w:rPr>
          <w:rFonts w:ascii="Arial" w:hAnsi="Arial"/>
          <w:color w:val="000000"/>
          <w:sz w:val="20"/>
        </w:rPr>
        <w:t>day after the date on which a public announcement of the date of the 2027 Annual Meeting is first made by us. Accordingly, to submit any such proposal, stockholders must submit the required notice no earlier than the close of business on May 18, 2027 and no later than the close of business on June 17, 2027, except as described above.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Our Bylaws permit any eligible stockholder, or any group comprised of up to 20 eligible stockholders, who has beneficially owned 3% or more of our outstanding common stock continuously for at least three years to submit director nominations for inclusion in our proxy materials. The maximum number of qualified director nominees that may be submitted for inclusion in our proxy materials pursuant to this bylaw (commonly referred to as “proxy access”) is the greater of (i) two or (ii) 20% of the total number of directors then serving in office at the deadline for proxy access nominations (rounded down to the nearest whole number). Any eligible stockholder desiring to nominate a qualified director for our 2027 Annual Meeting pursuant to our proxy access bylaw must give timely written notice of the nomination to our principal executive offices. To be timely, the notice must be delivered not later than the close of business on April 8, 2027, nor earlier than the close of business on March 9, 2027, unless the date of the 2027 Annual Meeting</w:t>
      </w:r>
      <w:r>
        <w:rPr>
          <w:rFonts w:ascii="Times New Roman" w:hAnsi="Times New Roman"/>
          <w:color w:val="000000"/>
          <w:sz w:val="20"/>
        </w:rPr>
        <w:t xml:space="preserve"> </w:t>
      </w:r>
    </w:p>
    <w:p>
      <w:pPr>
        <w:pStyle w:val="TextBody"/>
        <w:bidi w:val="0"/>
        <w:jc w:val="left"/>
        <w:rPr/>
      </w:pPr>
      <w:r>
        <w:rPr/>
        <w:t> </w:t>
      </w:r>
    </w:p>
    <w:tbl>
      <w:tblPr>
        <w:tblW w:w="3702" w:type="dxa"/>
        <w:jc w:val="left"/>
        <w:tblInd w:w="0" w:type="dxa"/>
        <w:tblLayout w:type="fixed"/>
        <w:tblCellMar>
          <w:top w:w="28" w:type="dxa"/>
          <w:left w:w="28" w:type="dxa"/>
          <w:bottom w:w="28" w:type="dxa"/>
          <w:right w:w="28" w:type="dxa"/>
        </w:tblCellMar>
      </w:tblPr>
      <w:tblGrid>
        <w:gridCol w:w="2266"/>
        <w:gridCol w:w="1436"/>
      </w:tblGrid>
      <w:tr>
        <w:trPr/>
        <w:tc>
          <w:tcPr>
            <w:tcW w:w="2266"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2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91F2C"/>
                <w:sz w:val="18"/>
              </w:rPr>
              <w:t>49</w:t>
            </w:r>
            <w:r>
              <w:rPr>
                <w:rFonts w:ascii="Times New Roman" w:hAnsi="Times New Roman"/>
                <w:color w:val="091F2C"/>
                <w:sz w:val="18"/>
              </w:rPr>
              <w:t> </w:t>
            </w:r>
            <w:r>
              <w:rPr>
                <w:rFonts w:ascii="Arial" w:hAnsi="Arial"/>
                <w:color w:val="091F2C"/>
                <w:sz w:val="18"/>
              </w:rPr>
              <w:t>I 2026 Proxy Statement</w:t>
            </w:r>
          </w:p>
        </w:tc>
        <w:tc>
          <w:tcPr>
            <w:tcW w:w="143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828675" cy="190500"/>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embed="rId59"/>
                          <a:stretch>
                            <a:fillRect/>
                          </a:stretch>
                        </pic:blipFill>
                        <pic:spPr bwMode="auto">
                          <a:xfrm>
                            <a:off x="0" y="0"/>
                            <a:ext cx="828675" cy="190500"/>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Arial" w:hAnsi="Arial"/>
          <w:color w:val="002668"/>
          <w:sz w:val="20"/>
          <w:u w:val="single"/>
        </w:rPr>
      </w:pPr>
      <w:r>
        <w:rPr>
          <w:rFonts w:ascii="Arial" w:hAnsi="Arial"/>
          <w:color w:val="002668"/>
          <w:sz w:val="20"/>
          <w:u w:val="single"/>
        </w:rPr>
        <w:t>Other Important Information</w:t>
      </w:r>
    </w:p>
    <w:p>
      <w:pPr>
        <w:pStyle w:val="TextBody"/>
        <w:bidi w:val="0"/>
        <w:jc w:val="both"/>
        <w:rPr>
          <w:rFonts w:ascii="Arial" w:hAnsi="Arial"/>
          <w:color w:val="000000"/>
          <w:sz w:val="20"/>
        </w:rPr>
      </w:pPr>
      <w:r>
        <w:rPr>
          <w:rFonts w:ascii="Arial" w:hAnsi="Arial"/>
          <w:color w:val="000000"/>
          <w:sz w:val="20"/>
        </w:rPr>
        <w:t>is scheduled more than 30 days prior to or more than 60 days following the anniversary of the prior year's annual meeting, in which case the notice must be delivered not earlier than the close of business on the 120th day prior to the 2027 Annual Meeting and not later than the close of business on the later of (i) the 90th day prior to the 2027 Annual Meeting or (ii) the 10th day after the date on which a public announcement of the date of the 2027 Annual Meeting is first made by us. Our Bylaws also provide that a stockholder is not eligible to submit a director nomination pursuant to our proxy access bylaw, and an individual is not qualified to be a director nominee pursuant to our proxy access bylaw, if such stockholder or individual, as the case may be, at any time during the three years prior to the date of such notice of nomination or our 2027 Annual Meeting, has initiated, financially sponsored, supported, or otherwise actively participated in any initiative, campaign, or other process seeking to (i) advance an agenda not directly related to the enhancement of stockholder value or (ii) restrict, eliminate, or declare unlawful any business or operation of our company or any of our subsidiaries that has generated revenue, positive earnings, and/or net income in fiscal 2026.</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In addition, to comply with the universal proxy rules, stockholders who intend to solicit proxies in support of director nominees other than the Company's nominees for election at the 2027 Annual Meeting must provide notice that sets forth the information required by Rule 14a-19 under the Exchange Act no later than July 17, 2027. Stockholders must also comply with the other applicable requirements of Rule 14a-19.</w:t>
      </w:r>
    </w:p>
    <w:p>
      <w:pPr>
        <w:pStyle w:val="TextBody"/>
        <w:bidi w:val="0"/>
        <w:spacing w:before="240" w:after="283"/>
        <w:jc w:val="both"/>
        <w:rPr>
          <w:rFonts w:ascii="Arial" w:hAnsi="Arial"/>
          <w:color w:val="000000"/>
          <w:sz w:val="20"/>
        </w:rPr>
      </w:pPr>
      <w:r>
        <w:rPr>
          <w:rFonts w:ascii="Arial" w:hAnsi="Arial"/>
          <w:color w:val="000000"/>
          <w:sz w:val="20"/>
        </w:rPr>
        <w:t>Prior to making any submission to us, we encourage our stockholders to carefully review, as applicable, the full text of SEC Rule, 14a-19 and the full text of our Bylaws for additional requirements to nominate a person for election to the Board or to submit a proposal for other business at the 2027 Annual Meeting. Proposals should be delivered to our principal executive offices to the attention of our Secretary. Delivery by email does not constitute delivery to our principal executive offices.</w:t>
      </w:r>
    </w:p>
    <w:p>
      <w:pPr>
        <w:pStyle w:val="TextBody"/>
        <w:bidi w:val="0"/>
        <w:spacing w:before="240" w:after="283"/>
        <w:jc w:val="both"/>
        <w:rPr/>
      </w:pPr>
      <w:r>
        <w:rPr/>
        <w:t> </w:t>
      </w:r>
    </w:p>
    <w:p>
      <w:pPr>
        <w:pStyle w:val="TextBody"/>
        <w:bidi w:val="0"/>
        <w:spacing w:before="240" w:after="283"/>
        <w:jc w:val="both"/>
        <w:rPr/>
      </w:pPr>
      <w:r>
        <w:rPr/>
        <w:t> </w:t>
      </w:r>
    </w:p>
    <w:p>
      <w:pPr>
        <w:pStyle w:val="TextBody"/>
        <w:bidi w:val="0"/>
        <w:spacing w:before="240" w:after="283"/>
        <w:jc w:val="both"/>
        <w:rPr/>
      </w:pPr>
      <w:r>
        <w:rPr/>
        <w:t> </w:t>
      </w:r>
    </w:p>
    <w:p>
      <w:pPr>
        <w:pStyle w:val="TextBody"/>
        <w:bidi w:val="0"/>
        <w:spacing w:before="240" w:after="283"/>
        <w:jc w:val="both"/>
        <w:rPr/>
      </w:pPr>
      <w:r>
        <w:rPr/>
        <w:t> </w:t>
      </w:r>
    </w:p>
    <w:p>
      <w:pPr>
        <w:pStyle w:val="TextBody"/>
        <w:bidi w:val="0"/>
        <w:spacing w:before="240" w:after="283"/>
        <w:jc w:val="both"/>
        <w:rPr/>
      </w:pPr>
      <w:r>
        <w:rPr/>
        <w:t> </w:t>
      </w:r>
    </w:p>
    <w:p>
      <w:pPr>
        <w:pStyle w:val="TextBody"/>
        <w:bidi w:val="0"/>
        <w:spacing w:before="240" w:after="283"/>
        <w:jc w:val="both"/>
        <w:rPr/>
      </w:pPr>
      <w:r>
        <w:rPr/>
        <w:t> </w:t>
      </w:r>
    </w:p>
    <w:p>
      <w:pPr>
        <w:pStyle w:val="TextBody"/>
        <w:bidi w:val="0"/>
        <w:spacing w:before="240" w:after="283"/>
        <w:jc w:val="both"/>
        <w:rPr/>
      </w:pPr>
      <w:r>
        <w:rPr/>
        <w:t> </w:t>
      </w:r>
    </w:p>
    <w:p>
      <w:pPr>
        <w:pStyle w:val="TextBody"/>
        <w:bidi w:val="0"/>
        <w:spacing w:before="240" w:after="283"/>
        <w:jc w:val="both"/>
        <w:rPr/>
      </w:pPr>
      <w:r>
        <w:rPr/>
        <w:t> </w:t>
      </w:r>
    </w:p>
    <w:p>
      <w:pPr>
        <w:pStyle w:val="TextBody"/>
        <w:bidi w:val="0"/>
        <w:jc w:val="left"/>
        <w:rPr/>
      </w:pPr>
      <w:r>
        <w:rPr/>
        <w:t> </w:t>
      </w:r>
    </w:p>
    <w:tbl>
      <w:tblPr>
        <w:tblW w:w="3702" w:type="dxa"/>
        <w:jc w:val="left"/>
        <w:tblInd w:w="0" w:type="dxa"/>
        <w:tblLayout w:type="fixed"/>
        <w:tblCellMar>
          <w:top w:w="28" w:type="dxa"/>
          <w:left w:w="28" w:type="dxa"/>
          <w:bottom w:w="28" w:type="dxa"/>
          <w:right w:w="28" w:type="dxa"/>
        </w:tblCellMar>
      </w:tblPr>
      <w:tblGrid>
        <w:gridCol w:w="2266"/>
        <w:gridCol w:w="1436"/>
      </w:tblGrid>
      <w:tr>
        <w:trPr/>
        <w:tc>
          <w:tcPr>
            <w:tcW w:w="2266"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2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91F2C"/>
                <w:sz w:val="18"/>
              </w:rPr>
              <w:t>50</w:t>
            </w:r>
            <w:r>
              <w:rPr>
                <w:rFonts w:ascii="Times New Roman" w:hAnsi="Times New Roman"/>
                <w:color w:val="091F2C"/>
                <w:sz w:val="18"/>
              </w:rPr>
              <w:t> </w:t>
            </w:r>
            <w:r>
              <w:rPr>
                <w:rFonts w:ascii="Arial" w:hAnsi="Arial"/>
                <w:color w:val="091F2C"/>
                <w:sz w:val="18"/>
              </w:rPr>
              <w:t>I 2026 Proxy Statement</w:t>
            </w:r>
          </w:p>
        </w:tc>
        <w:tc>
          <w:tcPr>
            <w:tcW w:w="143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828675" cy="190500"/>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embed="rId60"/>
                          <a:stretch>
                            <a:fillRect/>
                          </a:stretch>
                        </pic:blipFill>
                        <pic:spPr bwMode="auto">
                          <a:xfrm>
                            <a:off x="0" y="0"/>
                            <a:ext cx="828675" cy="190500"/>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center"/>
        <w:rPr/>
      </w:pPr>
      <w:r>
        <w:rPr/>
        <w:drawing>
          <wp:inline distT="0" distB="0" distL="0" distR="0">
            <wp:extent cx="5943600" cy="768667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embed="rId61"/>
                    <a:stretch>
                      <a:fillRect/>
                    </a:stretch>
                  </pic:blipFill>
                  <pic:spPr bwMode="auto">
                    <a:xfrm>
                      <a:off x="0" y="0"/>
                      <a:ext cx="5943600" cy="7686675"/>
                    </a:xfrm>
                    <a:prstGeom prst="rect">
                      <a:avLst/>
                    </a:prstGeom>
                  </pic:spPr>
                </pic:pic>
              </a:graphicData>
            </a:graphic>
          </wp:inline>
        </w:drawing>
      </w:r>
      <w:r>
        <w:rPr>
          <w:rFonts w:ascii="sans-serif" w:hAnsi="sans-serif"/>
          <w:color w:val="FFFFFF"/>
          <w:sz w:val="2"/>
        </w:rPr>
        <w:t>Your Vote Counts! SMITH &amp; WESSON BRANDS, INC. 2026 Annual Meeting Vote by September 14, 2026 11:59 PM ET SMITH &amp; WESSON BRANDS, INC. 1852 PROFFITT SPRINGS RD. MARYVILLE, TN 37801 T02170-P55617 You invested in SMITH &amp; WESSON BRANDS, INC. and it’s time to vote! You have the right to vote on proposals being presented at the Annual Meeting. This is an important notice regarding the availability of proxy materials for the stockholder meeting to be held on September 15, 2026. Get informed before you vote View the Notice and Proxy Statement and Annual Report online OR you can receive a free paper or email copy of the material(s) by requesting them prior to September 1, 2026. If you would like to request a copy of the material(s) for this and/or future stockholder meetings, you may (1) visit www.ProxyVote.com, (2) call 1-800-579-1639 or (3) send an email to sendmaterial@proxyvote.com. If sending an email, please include your control number (indicated below) in the subject line. Unless requested, you will not otherwise receive a paper or email copy. For complete information and to vote, visit www.ProxyVote.com Control # Smartphone users Point your camera here and vote without entering a control number Vote Virtually at the Meeting* September 15, 2026 10:00 a.m., Eastern Time Virtually at: www.virtualshareholdermeeting.com/SWBI2026 *Please check the meeting materials for any special requirements for meeting attendance.</w:t>
        <w:br/>
        <w:t>Vote at www.ProxyVote.com THIS IS NOT A VOTABLE BALLOT This is an overview of the proposals being presented at the upcoming annual meeting of stockholders. Please follow the instructions on the reverse side to vote these important matters. Board Voting Items Recommends 1. PROPOSAL 1: ELECTION OF DIRECTORS: To elect as directors all of the nominees listed below to serve until our next annual meeting of stockholders and until their successors are elected and qualified: Nominees: 01) Anita D. Britt 04) Robert L. Scott 02) Michelle J. Lohmeier 05) Mark P. Smith 03) Barry M. Monheit 06) Denis G. Suggs For 2. PROPOSAL 2: To approve on an advisory basis the compensation of our named executive officers for fiscal 2026 (“say-on-pay”). For 3. PROPOSAL 3: To ratify the appointment of KPMG LLP, an independent registered public accounting firm, as our independent registered public accounting firm for fiscal 2027. For and upon such matters which may properly come before the meeting or any adjournment or postponement thereof. The shares represented by this proxy, when properly executed, will be voted in the manner directed herein by the undersigned stockholder(s). If no directions are made, this proxy will be voted FOR all director nominees, FOR proposal 2, and FOR proposal 3. If any other matters properly come before the meeting, the persons named in this proxy will vote in their discretion. Prefer to receive an email instead? While voting on www.ProxyVote.com, be sure to click “Delivery Settings”. T02171-P55617</w:t>
      </w:r>
      <w:r>
        <w:rPr>
          <w:rFonts w:ascii="Times New Roman" w:hAnsi="Times New Roman"/>
          <w:color w:val="FFFFFF"/>
          <w:sz w:val="20"/>
        </w:rPr>
        <w:t xml:space="preserve">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drawing>
          <wp:inline distT="0" distB="0" distL="0" distR="0">
            <wp:extent cx="5943600" cy="768667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embed="rId62"/>
                    <a:stretch>
                      <a:fillRect/>
                    </a:stretch>
                  </pic:blipFill>
                  <pic:spPr bwMode="auto">
                    <a:xfrm>
                      <a:off x="0" y="0"/>
                      <a:ext cx="5943600" cy="7686675"/>
                    </a:xfrm>
                    <a:prstGeom prst="rect">
                      <a:avLst/>
                    </a:prstGeom>
                  </pic:spPr>
                </pic:pic>
              </a:graphicData>
            </a:graphic>
          </wp:inline>
        </w:drawing>
      </w:r>
      <w:r>
        <w:rPr>
          <w:rFonts w:ascii="sans-serif" w:hAnsi="sans-serif"/>
          <w:color w:val="FFFFFF"/>
          <w:sz w:val="2"/>
        </w:rPr>
        <w:t xml:space="preserve">SCAN TO VIEW MATERIALS &amp; VOTEw SMITH &amp; WESSON BRANDS, INC. 1852 PROFFITT SPRINGS RD. MARYVILLE, TN 37801 VOTE BY INTERNET Before The Meeting - Go to www.proxyvote.com or scan the QR Barcode above Use the Internet to transmit your voting instructions and for electronic delivery of informationup until 11:59 P.M. Eastern Time the day before the cut-off date or meeting date. Have your proxy card in hand when you access the web site and follow the instructions to obtain your records and to create an electronic voting instruction form. During The Meeting - Go to www.virtualshareholdermeeting.com/SWBI2026 You may attend the meeting via the Internet and vote during the meeting. Have the information that is printed in the box marked by the arrow available and follow theinstructions. VOTE BY PHONE - 1-800-690-6903 Use any touch-tone telephone to transmit your voting instructions up until 11:59 P.M. Eastern Time the day before the cut-off date or meeting date. Have your proxy card in hand when you call and then follow the instructions. VOTE BY MAIL Mark, sign, and date your proxy card and return it in the postage-paid envelope wehave provided or return it to Vote Processing, c/o Broadridge, 51 Mercedes Way, Edgewood, NY 11717. T02168-P55617 SMITH &amp; WESSON BRANDS, INC.ForWithholdForAll To withhold authority to vote for any individualAll AllExceptnominee(s), mark "For All Except" and write the The Board of Directors recommends you vote FOR number(s) of the nominee(s) on the line below. the following: 1.PROPOSAL 1: ELECTION OF DIRECTORS:!!! To elect as directors all of the nominees listed below to serve until our next annual meeting of stockholders and until their successors are elected and qualified: Nominees: 01)Anita D. Britt04)Robert L. Scott 02)Michelle J. Lohmeier05)Mark P. Smith 03)Barry M. Monheit06)Denis G. Suggs The Board of Directors recommends you vote FOR the following proposals:ForAgainstAbstain 2.PROPOSAL 2: To approve on an advisory basis the compensation of our named executive officers for fiscal 2026 ("say-on-pay").!!! 3.PROPOSAL 3: To ratify the appointment of KPMG LLP, an independent registered public accounting firm, as our independent registered public accounting!!! firm for fiscal 2027. and upon such matters which may properly come before the meeting or any adjournment or postponement thereof. The shares represented by this proxy, when properly executed, will be voted in the manner directed herein by the undersigned stockholder(s). If no directions are made, this proxy will be voted FOR all director nominees, FOR proposal 2, and FOR proposal 3. If any other matters properly come before the meeting, the persons named in this proxy will vote in their discretion. Please email address changes or comments to: investorrelations@smith-wesson.com. NOTE: Please sign exactly as your name or names appear(s) on this proxy. When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 </w:t>
        <w:br/>
        <w:t>Important Notice Regarding the Availability of Proxy Materials for the Annual Meeting: The Notice and Proxy Statement and Annual Report are available at www.proxyvote.com. T02169-P55617 SMITH &amp; WESSON BRANDS, INC. THIS PROXY IS SOLICITED ON BEHALF OF THE BOARD OF DIRECTORS 2026 ANNUAL MEETING OF STOCKHOLDERS September 15, 2026 The undersigned stockholder(s) of SMITH &amp; WESSON BRANDS, INC., a Nevada corporation (the "Company"), hereby acknowledges receipt of the Notice of Annual Meeting of Stockholders and Proxy Statement of the Company and hereby appoints Mark P. Smith and Deana L. McPherson and each of them, proxies and attorneys-in-fact, with full power to each of substitution, on behalf and in the name of the undersigned, to represent the undersigned at the 2026 Annual Meeting of Stockholders of the Company, to be held on Tuesday, September 15, 2026, at 10:00 a.m., Eastern Time, online at www.virtualshareholdermeeting.com/SWBI2026 and at any adjournment or postponement thereof, and to vote all shares of the Company's common stock that the undersigned would be entitled to vote if then and there personally present, on the matters set forth on the reverse side. This Proxy will be voted as directed or, if no contrary direction is indicated, will be voted FOR the election of all director nominees; FOR the say-on-pay proposal; FOR the ratification of the appointment of KPMG LLP as the independent registered public accounting firm of the Company for fiscal 2027; and as said proxies deem advisable on such other matters as may come before the meeting. A majority of such proxies or substitutes as shall be present and shall act at the meeting or any adjournment or postponement thereof (or if only one shall be present and act, then that one) shall have and may exercise all of the powers of said proxies hereunder. THE BOARD OF DIRECTORS RECOMMENDS A VOTE “FOR” THE ELECTION OF ALL DIRECTOR NOMINEES, “FOR” THE SAY-ON-PAY PROPOSAL, AND “FOR” THE RATIFICATION OF THE APPOINTMENT OF KPMG LLP AS THE INDEPENDENT REGISTERED PUBLIC ACCOUNTING FIRM OF THE COMPANY FOR FISCAL 2027. PLEASE MARK, SIGN, DATE, AND RETURN THIS PROXY CARD PROMPTLY USING THE ENCLOSED REPLY ENVELOPE. CONTINUED AND TO BE SIGNED ON REVERSE SIDE.</w:t>
      </w:r>
      <w:r>
        <w:rPr>
          <w:rFonts w:ascii="Times New Roman" w:hAnsi="Times New Roman"/>
          <w:color w:val="FFFFFF"/>
          <w:sz w:val="20"/>
        </w:rPr>
        <w:t xml:space="preserve">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6.jpeg"/><Relationship Id="rId9" Type="http://schemas.openxmlformats.org/officeDocument/2006/relationships/image" Target="media/image6.jpeg"/><Relationship Id="rId10" Type="http://schemas.openxmlformats.org/officeDocument/2006/relationships/image" Target="media/image6.jpeg"/><Relationship Id="rId11" Type="http://schemas.openxmlformats.org/officeDocument/2006/relationships/image" Target="media/image6.jpeg"/><Relationship Id="rId12" Type="http://schemas.openxmlformats.org/officeDocument/2006/relationships/image" Target="media/image6.jpeg"/><Relationship Id="rId13" Type="http://schemas.openxmlformats.org/officeDocument/2006/relationships/image" Target="media/image6.jpeg"/><Relationship Id="rId14" Type="http://schemas.openxmlformats.org/officeDocument/2006/relationships/image" Target="media/image6.jpeg"/><Relationship Id="rId15" Type="http://schemas.openxmlformats.org/officeDocument/2006/relationships/image" Target="media/image6.jpeg"/><Relationship Id="rId16" Type="http://schemas.openxmlformats.org/officeDocument/2006/relationships/image" Target="media/image6.jpeg"/><Relationship Id="rId17" Type="http://schemas.openxmlformats.org/officeDocument/2006/relationships/image" Target="media/image6.jpeg"/><Relationship Id="rId18" Type="http://schemas.openxmlformats.org/officeDocument/2006/relationships/image" Target="media/image6.jpeg"/><Relationship Id="rId19" Type="http://schemas.openxmlformats.org/officeDocument/2006/relationships/image" Target="media/image6.jpeg"/><Relationship Id="rId20" Type="http://schemas.openxmlformats.org/officeDocument/2006/relationships/image" Target="media/image6.jpeg"/><Relationship Id="rId21" Type="http://schemas.openxmlformats.org/officeDocument/2006/relationships/image" Target="media/image6.jpeg"/><Relationship Id="rId22" Type="http://schemas.openxmlformats.org/officeDocument/2006/relationships/image" Target="media/image6.jpeg"/><Relationship Id="rId23" Type="http://schemas.openxmlformats.org/officeDocument/2006/relationships/image" Target="media/image6.jpeg"/><Relationship Id="rId24" Type="http://schemas.openxmlformats.org/officeDocument/2006/relationships/image" Target="media/image6.jpeg"/><Relationship Id="rId25" Type="http://schemas.openxmlformats.org/officeDocument/2006/relationships/image" Target="media/image6.jpeg"/><Relationship Id="rId26" Type="http://schemas.openxmlformats.org/officeDocument/2006/relationships/image" Target="media/image6.jpeg"/><Relationship Id="rId27" Type="http://schemas.openxmlformats.org/officeDocument/2006/relationships/image" Target="media/image6.jpeg"/><Relationship Id="rId28" Type="http://schemas.openxmlformats.org/officeDocument/2006/relationships/image" Target="media/image6.jpeg"/><Relationship Id="rId29" Type="http://schemas.openxmlformats.org/officeDocument/2006/relationships/image" Target="media/image6.jpeg"/><Relationship Id="rId30" Type="http://schemas.openxmlformats.org/officeDocument/2006/relationships/image" Target="media/image6.jpeg"/><Relationship Id="rId31" Type="http://schemas.openxmlformats.org/officeDocument/2006/relationships/image" Target="media/image6.jpeg"/><Relationship Id="rId32" Type="http://schemas.openxmlformats.org/officeDocument/2006/relationships/image" Target="media/image6.jpeg"/><Relationship Id="rId33" Type="http://schemas.openxmlformats.org/officeDocument/2006/relationships/image" Target="media/image6.jpeg"/><Relationship Id="rId34" Type="http://schemas.openxmlformats.org/officeDocument/2006/relationships/image" Target="media/image6.jpeg"/><Relationship Id="rId35" Type="http://schemas.openxmlformats.org/officeDocument/2006/relationships/image" Target="media/image6.jpeg"/><Relationship Id="rId36" Type="http://schemas.openxmlformats.org/officeDocument/2006/relationships/image" Target="media/image6.jpeg"/><Relationship Id="rId37" Type="http://schemas.openxmlformats.org/officeDocument/2006/relationships/image" Target="media/image6.jpeg"/><Relationship Id="rId38" Type="http://schemas.openxmlformats.org/officeDocument/2006/relationships/image" Target="media/image6.jpeg"/><Relationship Id="rId39" Type="http://schemas.openxmlformats.org/officeDocument/2006/relationships/image" Target="media/image6.jpeg"/><Relationship Id="rId40" Type="http://schemas.openxmlformats.org/officeDocument/2006/relationships/image" Target="media/image6.jpeg"/><Relationship Id="rId41" Type="http://schemas.openxmlformats.org/officeDocument/2006/relationships/image" Target="media/image6.jpeg"/><Relationship Id="rId42" Type="http://schemas.openxmlformats.org/officeDocument/2006/relationships/image" Target="media/image6.jpeg"/><Relationship Id="rId43" Type="http://schemas.openxmlformats.org/officeDocument/2006/relationships/image" Target="media/image6.jpeg"/><Relationship Id="rId44" Type="http://schemas.openxmlformats.org/officeDocument/2006/relationships/image" Target="media/image6.jpeg"/><Relationship Id="rId45" Type="http://schemas.openxmlformats.org/officeDocument/2006/relationships/image" Target="media/image7.jpeg"/><Relationship Id="rId46" Type="http://schemas.openxmlformats.org/officeDocument/2006/relationships/image" Target="media/image6.jpeg"/><Relationship Id="rId47" Type="http://schemas.openxmlformats.org/officeDocument/2006/relationships/image" Target="media/image8.jpeg"/><Relationship Id="rId48" Type="http://schemas.openxmlformats.org/officeDocument/2006/relationships/image" Target="media/image6.jpeg"/><Relationship Id="rId49" Type="http://schemas.openxmlformats.org/officeDocument/2006/relationships/image" Target="media/image9.jpeg"/><Relationship Id="rId50" Type="http://schemas.openxmlformats.org/officeDocument/2006/relationships/image" Target="media/image6.jpeg"/><Relationship Id="rId51" Type="http://schemas.openxmlformats.org/officeDocument/2006/relationships/image" Target="media/image10.jpeg"/><Relationship Id="rId52" Type="http://schemas.openxmlformats.org/officeDocument/2006/relationships/image" Target="media/image6.jpeg"/><Relationship Id="rId53" Type="http://schemas.openxmlformats.org/officeDocument/2006/relationships/image" Target="media/image6.jpeg"/><Relationship Id="rId54" Type="http://schemas.openxmlformats.org/officeDocument/2006/relationships/image" Target="media/image6.jpeg"/><Relationship Id="rId55" Type="http://schemas.openxmlformats.org/officeDocument/2006/relationships/image" Target="media/image6.jpeg"/><Relationship Id="rId56" Type="http://schemas.openxmlformats.org/officeDocument/2006/relationships/image" Target="media/image6.jpeg"/><Relationship Id="rId57" Type="http://schemas.openxmlformats.org/officeDocument/2006/relationships/image" Target="media/image6.jpeg"/><Relationship Id="rId58" Type="http://schemas.openxmlformats.org/officeDocument/2006/relationships/image" Target="media/image6.jpeg"/><Relationship Id="rId59" Type="http://schemas.openxmlformats.org/officeDocument/2006/relationships/image" Target="media/image6.jpeg"/><Relationship Id="rId60" Type="http://schemas.openxmlformats.org/officeDocument/2006/relationships/image" Target="media/image6.jpeg"/><Relationship Id="rId61" Type="http://schemas.openxmlformats.org/officeDocument/2006/relationships/image" Target="media/image11.jpeg"/><Relationship Id="rId62" Type="http://schemas.openxmlformats.org/officeDocument/2006/relationships/image" Target="media/image12.jpeg"/><Relationship Id="rId63" Type="http://schemas.openxmlformats.org/officeDocument/2006/relationships/fontTable" Target="fontTable.xml"/><Relationship Id="rId6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26050</Words>
  <Characters>141037</Characters>
  <CharactersWithSpaces>168192</CharactersWithSpaces>
  <Paragraphs>6232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