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Smith &amp; Wesson Brands,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84"/>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001-31552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87-0543688</w:t>
      </w:r>
    </w:p>
    <w:p>
      <w:pPr>
        <w:spacing w:after="0" w:line="23"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2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ind w:left="4484"/>
        <w:spacing w:after="0"/>
        <w:rPr>
          <w:sz w:val="20"/>
          <w:szCs w:val="20"/>
          <w:color w:val="auto"/>
        </w:rPr>
      </w:pPr>
      <w:r>
        <w:rPr>
          <w:rFonts w:ascii="Times New Roman" w:cs="Times New Roman" w:eastAsia="Times New Roman" w:hAnsi="Times New Roman"/>
          <w:sz w:val="18"/>
          <w:szCs w:val="18"/>
          <w:b w:val="1"/>
          <w:bCs w:val="1"/>
          <w:color w:val="auto"/>
        </w:rPr>
        <w:t>1852 Proffitt Springs Road</w:t>
      </w:r>
    </w:p>
    <w:p>
      <w:pPr>
        <w:spacing w:after="0" w:line="31" w:lineRule="exact"/>
        <w:rPr>
          <w:sz w:val="24"/>
          <w:szCs w:val="24"/>
          <w:color w:val="auto"/>
        </w:rPr>
      </w:pPr>
    </w:p>
    <w:p>
      <w:pPr>
        <w:ind w:left="4464"/>
        <w:spacing w:after="0"/>
        <w:rPr>
          <w:sz w:val="20"/>
          <w:szCs w:val="20"/>
          <w:color w:val="auto"/>
        </w:rPr>
      </w:pPr>
      <w:r>
        <w:rPr>
          <w:rFonts w:ascii="Times New Roman" w:cs="Times New Roman" w:eastAsia="Times New Roman" w:hAnsi="Times New Roman"/>
          <w:sz w:val="18"/>
          <w:szCs w:val="18"/>
          <w:b w:val="1"/>
          <w:bCs w:val="1"/>
          <w:color w:val="auto"/>
        </w:rPr>
        <w:t>Maryville, Tennessee 37801</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(800) 331-0852</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SWBI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We are furnishing the disclosure in this Item 2.02 in connection with the disclosure of information in the form of the textual information from a press release issued on March 5, 2026.</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this Item 2.02 (including Exhibit 99.1) is furnished pursuant to Item 2.02 and shall not be deemed to be “filed” for the purpose of Section 18 of the Securities Exchange Act of 1934, as amended, or otherwise subject to the liabilities of that section.</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We do not have, and expressly disclaim, any obligation to release publicly any updates or any changes in our expectations or any change in events, conditions, or circumstances on which any forward-looking statement is based.</w:t>
      </w:r>
    </w:p>
    <w:p>
      <w:pPr>
        <w:spacing w:after="0" w:line="160" w:lineRule="exact"/>
        <w:rPr>
          <w:sz w:val="20"/>
          <w:szCs w:val="20"/>
          <w:color w:val="auto"/>
        </w:rPr>
      </w:pPr>
    </w:p>
    <w:p>
      <w:pPr>
        <w:ind w:right="2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The text included with this Current Report on Form 8-K is available on our website at </w:t>
      </w:r>
      <w:r>
        <w:rPr>
          <w:rFonts w:ascii="Times New Roman" w:cs="Times New Roman" w:eastAsia="Times New Roman" w:hAnsi="Times New Roman"/>
          <w:sz w:val="18"/>
          <w:szCs w:val="18"/>
          <w:i w:val="1"/>
          <w:iCs w:val="1"/>
          <w:color w:val="auto"/>
        </w:rPr>
        <w:t>www.smith-wesson.com</w:t>
      </w:r>
      <w:r>
        <w:rPr>
          <w:rFonts w:ascii="Times New Roman" w:cs="Times New Roman" w:eastAsia="Times New Roman" w:hAnsi="Times New Roman"/>
          <w:sz w:val="18"/>
          <w:szCs w:val="18"/>
          <w:color w:val="auto"/>
        </w:rPr>
        <w:t>, although we reserve the right to discontinue that availability at any time.</w:t>
      </w:r>
    </w:p>
    <w:p>
      <w:pPr>
        <w:spacing w:after="0" w:line="30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9" w:lineRule="exact"/>
        <w:rPr>
          <w:sz w:val="20"/>
          <w:szCs w:val="20"/>
          <w:color w:val="auto"/>
        </w:rPr>
      </w:pPr>
    </w:p>
    <w:p>
      <w:pPr>
        <w:ind w:left="1240" w:hanging="253"/>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jc w:val="center"/>
        <w:ind w:right="10580"/>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jc w:val="center"/>
        <w:ind w:right="10580"/>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74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from Smith &amp; Wesson Brands, Inc., dated March 5, 2026, entitled “Smith &amp; Wesson Brands, Inc. Reports Third Quarter Fiscal</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u w:val="single" w:color="auto"/>
          <w:color w:val="0000EE"/>
        </w:rPr>
        <w:t>2026 Financial Results</w:t>
      </w:r>
    </w:p>
    <w:p>
      <w:pPr>
        <w:spacing w:after="0" w:line="9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SMITH &amp; WESSON BRANDS,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March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Deana L. McPherson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Deana L. McPherson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Treasurer, and Assistant Secretary</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173990</wp:posOffset>
            </wp:positionV>
            <wp:extent cx="6111875"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1187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Smith &amp; Wesson Brands, Inc. Reports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Quarter Fiscal 2026 Financial Results</w:t>
      </w:r>
    </w:p>
    <w:p>
      <w:pPr>
        <w:spacing w:after="0" w:line="230" w:lineRule="exact"/>
        <w:rPr>
          <w:sz w:val="20"/>
          <w:szCs w:val="20"/>
          <w:color w:val="auto"/>
        </w:rPr>
      </w:pPr>
    </w:p>
    <w:p>
      <w:pPr>
        <w:ind w:left="3840" w:hanging="442"/>
        <w:spacing w:after="0"/>
        <w:tabs>
          <w:tab w:leader="none" w:pos="3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Q3 Net Sales of $135.7 Million</w:t>
      </w:r>
    </w:p>
    <w:p>
      <w:pPr>
        <w:spacing w:after="0" w:line="31" w:lineRule="exact"/>
        <w:rPr>
          <w:rFonts w:ascii="Times New Roman" w:cs="Times New Roman" w:eastAsia="Times New Roman" w:hAnsi="Times New Roman"/>
          <w:sz w:val="18"/>
          <w:szCs w:val="18"/>
          <w:color w:val="auto"/>
        </w:rPr>
      </w:pPr>
    </w:p>
    <w:p>
      <w:pPr>
        <w:ind w:left="3840" w:hanging="442"/>
        <w:spacing w:after="0"/>
        <w:tabs>
          <w:tab w:leader="none" w:pos="3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Q3 Gross Margin of 26.2%; Non-GAAP Gross Margin of 26.1%</w:t>
      </w:r>
    </w:p>
    <w:p>
      <w:pPr>
        <w:spacing w:after="0" w:line="9" w:lineRule="exact"/>
        <w:rPr>
          <w:rFonts w:ascii="Times New Roman" w:cs="Times New Roman" w:eastAsia="Times New Roman" w:hAnsi="Times New Roman"/>
          <w:sz w:val="18"/>
          <w:szCs w:val="18"/>
          <w:color w:val="auto"/>
        </w:rPr>
      </w:pPr>
    </w:p>
    <w:p>
      <w:pPr>
        <w:ind w:left="3840" w:hanging="442"/>
        <w:spacing w:after="0"/>
        <w:tabs>
          <w:tab w:leader="none" w:pos="3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Q3 EPS of $0.08/Share; Q3 Adjusted EPS of $0.08/Share</w:t>
      </w:r>
    </w:p>
    <w:p>
      <w:pPr>
        <w:spacing w:after="0" w:line="203"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color w:val="auto"/>
        </w:rPr>
        <w:t>MARYVILLE, Tenn., March 5, 2026 – Smith &amp; Wesson Brands, Inc. (NASDAQ Global Select: SWBI)</w:t>
      </w:r>
      <w:r>
        <w:rPr>
          <w:rFonts w:ascii="Times New Roman" w:cs="Times New Roman" w:eastAsia="Times New Roman" w:hAnsi="Times New Roman"/>
          <w:sz w:val="18"/>
          <w:szCs w:val="18"/>
          <w:color w:val="auto"/>
        </w:rPr>
        <w:t>, a U.S.-based leader in firearm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and design, today announced financial results for the third quarter of fiscal 2026, ended January 31, 2026.</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Highlights</w:t>
      </w:r>
    </w:p>
    <w:p>
      <w:pPr>
        <w:spacing w:after="0" w:line="135" w:lineRule="exact"/>
        <w:rPr>
          <w:sz w:val="20"/>
          <w:szCs w:val="20"/>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$135.7 million, an increase of $19.8 million, or 17.1%, from the comparable quarter last year.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was 26.2% compared with 24.1% in the comparable quarter last year.</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$3.8 million, or $0.08 per diluted share, compared with $2.1 million, or $0.05 per diluted share, for the comparable quarter last year.</w:t>
      </w:r>
    </w:p>
    <w:p>
      <w:pPr>
        <w:spacing w:after="0" w:line="67" w:lineRule="exact"/>
        <w:rPr>
          <w:rFonts w:ascii="Times New Roman" w:cs="Times New Roman" w:eastAsia="Times New Roman" w:hAnsi="Times New Roman"/>
          <w:sz w:val="18"/>
          <w:szCs w:val="18"/>
          <w:color w:val="auto"/>
        </w:rPr>
      </w:pPr>
    </w:p>
    <w:p>
      <w:pPr>
        <w:ind w:left="960" w:right="180" w:hanging="424"/>
        <w:spacing w:after="0" w:line="261"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was $3.6 million, or $0.08 per diluted share, compared with $1.4 million, or $0.03 per diluted share, for the comparable quarter last year. GAAP to non-GAAP adjustments for income exclude costs related to the relocation, expenses related to the grand opening of the Smith &amp; Wesson Academy, and a gain on sale of certain real estate. For a detailed reconciliation, see the schedules that follow in this release.</w:t>
      </w:r>
    </w:p>
    <w:p>
      <w:pPr>
        <w:spacing w:after="0" w:line="85"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EBITDAS was $16.8 million, or 12.4% of net sales, compared with $13.9 million, or 12.0% of net sales, for the comparable quarter last year.</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Mark Smith, President and Chief Executive Officer, commented, “We were very pleased with our third quarter results, which demonstrated continued market share growth – while simultaneously maintaining resiliency in our pricing power and profitability. In particular, our handgun results were exceptional, with unit shipments into the sporting goods channel up 28%, while NICS was down 2.2%. Our momentum is strong and building, our brand and product assortment are driving continued healthy profitability, and we remain confident in the direction and trajectory of our business against the backdrop of a healthy and stable market.”</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Deana McPherson, Executive Vice President and Chief Financial Officer, commented, “Having focused on driving inventory levels down during the last twelve months, we are now turning our focus to increasing production to meet market demand, which should continue to have a positive impact on margins. We believe the strength of our brand, product assortment, and new product offerings are helping us drive growth and take share in an otherwise stable market. Therefore, we expect our fourth quarter sales will be up 10-12% over fiscal 2025 fourth quarter sales.” Consistent with our capital allocation strategy, our board of directors has authorized a $0.13 per share quarterly dividend, which will be paid to stockholders of record on March 19, 2026 with payment to be made on April 2, 2026.”</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and Webcast</w:t>
      </w:r>
    </w:p>
    <w:p>
      <w:pPr>
        <w:spacing w:after="0" w:line="12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The company will host a conference call and webcast on March 5, 2026 to discuss its third quarter fiscal 2026 financial and operational results. Speakers on the conference call will include Mark Smith, President and Chief Executive Officer, and Deana McPherson, Executive Vice President and Chief Financial Officer. The conference call may include forward-looking statements. The conference call and webcast will begin at 5:00 p.m. Eastern</w:t>
      </w:r>
    </w:p>
    <w:p>
      <w:pPr>
        <w:spacing w:after="0" w:line="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Time (2:00 p.m. Pacific Time). Interested parties in North America are invited to participate by dialing 1-877-704-4453. Interested parties from outside North America are invited to participate by dialing 1-201-389-0920. Participants should dial in at least 10 minutes prior to the start of the call. A live and archived webcast of the event will be available on the company’s website at www.smith-wesson.com under the Investor Relations section.</w:t>
      </w:r>
    </w:p>
    <w:p>
      <w:pPr>
        <w:sectPr>
          <w:pgSz w:w="11900" w:h="16838" w:orient="portrait"/>
          <w:cols w:equalWidth="0" w:num="1">
            <w:col w:w="11020"/>
          </w:cols>
          <w:pgMar w:left="440" w:top="117" w:right="43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Reconciliation of U.S. GAAP to Non-GAAP Financial Measures</w:t>
      </w:r>
    </w:p>
    <w:p>
      <w:pPr>
        <w:spacing w:after="0" w:line="121" w:lineRule="exact"/>
        <w:rPr>
          <w:sz w:val="20"/>
          <w:szCs w:val="20"/>
          <w:color w:val="auto"/>
        </w:rPr>
      </w:pPr>
    </w:p>
    <w:p>
      <w:pPr>
        <w:ind w:left="4" w:right="60"/>
        <w:spacing w:after="0" w:line="252" w:lineRule="auto"/>
        <w:rPr>
          <w:sz w:val="20"/>
          <w:szCs w:val="20"/>
          <w:color w:val="auto"/>
        </w:rPr>
      </w:pPr>
      <w:r>
        <w:rPr>
          <w:rFonts w:ascii="Times New Roman" w:cs="Times New Roman" w:eastAsia="Times New Roman" w:hAnsi="Times New Roman"/>
          <w:sz w:val="18"/>
          <w:szCs w:val="18"/>
          <w:color w:val="auto"/>
        </w:rPr>
        <w:t>In this press release, certain non-GAAP financial measures, including “non-GAAP net sales,” “non-GAAP gross profit,” “non-GAAP gross margin,” “non-GAAP operating expenses,” “non-GAAP operating income,” “non-GAAP net income,” “Non-GAAP net income per share – diluted,” “Adjusted EBITDAS,” “Adjusted EBITDAS Margin,” and “free cash flow” are presented. We use these non-GAAP financial measures to facilitate a comparison of our operating performance on a consistent basis from period to period that, when viewed in combination with our results prepared in accordance with GAAP, provides a more complete understanding of factors and trends affecting our business than does GAAP measures alone. We believe these financial measures assist our board of directors, management, investors, and other users of the financial statements in comparing our results on a consistent basis from period to period because it removes certain non-cash items and other items that we do not consider to be indicative of our core and/or ongoing operations. We believe it is useful for us and the reader to review, as applicable, both (1) GAAP measures that include (i) interest expense, (ii) income tax expense, (iii) depreciation and amortization, (iv) stock-based compensation expense, (v) an accrued legal settlement,</w:t>
      </w:r>
    </w:p>
    <w:p>
      <w:pPr>
        <w:spacing w:after="0" w:line="6" w:lineRule="exact"/>
        <w:rPr>
          <w:sz w:val="20"/>
          <w:szCs w:val="20"/>
          <w:color w:val="auto"/>
        </w:rPr>
      </w:pPr>
    </w:p>
    <w:p>
      <w:pPr>
        <w:ind w:left="4" w:right="60" w:hanging="4"/>
        <w:spacing w:after="0" w:line="251" w:lineRule="auto"/>
        <w:tabs>
          <w:tab w:leader="none" w:pos="30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Smith &amp; Wesson Academy grand opening expenses, (vii) relocation expense, including non-recurring third-party wind-down net sales and cost of sales related to the closure of an immaterial manufacturing location that was shut down as a result of the relocation, (xiii) a gain on sale of certain real estate, and (ix) the tax effect of non-GAAP adjustments; and (2) the non-GAAP measures that exclude such information. We present these non-GAAP measures because we consider them an important supplemental measure of our performance. Our definition of these adjusted financial measures may differ from similarly named measures used by others. We believe these measures facilitate operating performance comparisons from period to period by eliminating potential differences caused by the existence and timing of certain expense items that would not otherwise be apparent on a GAAP basis. These non-GAAP measures have limitations as an analytical tool and should not be considered in isolation or as a substitute for our GAAP measures. The principal limitations of these measures are that they do not reflect our actual expenses and may thus have the effect of inflating our financial measures on a GAAP basis.</w:t>
      </w:r>
    </w:p>
    <w:p>
      <w:pPr>
        <w:spacing w:after="0" w:line="29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About Smith &amp; Wesson Brands, Inc.</w:t>
      </w:r>
    </w:p>
    <w:p>
      <w:pPr>
        <w:spacing w:after="0" w:line="121" w:lineRule="exact"/>
        <w:rPr>
          <w:sz w:val="20"/>
          <w:szCs w:val="20"/>
          <w:color w:val="auto"/>
        </w:rPr>
      </w:pPr>
    </w:p>
    <w:p>
      <w:pPr>
        <w:ind w:left="4" w:right="40"/>
        <w:spacing w:after="0" w:line="201" w:lineRule="auto"/>
        <w:rPr>
          <w:sz w:val="20"/>
          <w:szCs w:val="20"/>
          <w:color w:val="auto"/>
        </w:rPr>
      </w:pPr>
      <w:r>
        <w:rPr>
          <w:rFonts w:ascii="Times New Roman" w:cs="Times New Roman" w:eastAsia="Times New Roman" w:hAnsi="Times New Roman"/>
          <w:sz w:val="18"/>
          <w:szCs w:val="18"/>
          <w:color w:val="auto"/>
        </w:rPr>
        <w:t>Smith &amp; Wesson Brands, Inc. (NASDAQ Global Select: SWBI) is a U.S.-based leader in firearm manufacturing and design, delivering a broad portfolio of quality handgun, long gun, and suppressor products to the global consumer and professional markets under the iconic Smith &amp; Wesson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Gemtech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brands. Additionally, the company provides manufacturing services such as forging and machining to third parties and offers world-class firearm training programs to Law Enforcement/Military departments and civilians at the Smith &amp; Wesson Academy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Maryville, TN. For more information call (844) 363-5386 or visit www.smith-wesson.com.</w:t>
      </w:r>
    </w:p>
    <w:p>
      <w:pPr>
        <w:spacing w:after="0" w:line="3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Statement</w:t>
      </w:r>
    </w:p>
    <w:p>
      <w:pPr>
        <w:spacing w:after="0" w:line="121"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press release may be deemed to be forward-looking statements under federal securities laws, and we intend that such forward-looking statements be subject to the safe-harbor created thereby. Such forward-looking statements include, among others, that (i) our momentum is strong and building, our brand and product assortment are driving continued healthy profitability, and we remain confident in the direction and trajectory of our business against the backdrop of a healthy and stable market; (ii) we are now turning our focus to increasing production to meet market demand, which should continue to have a positive impact on margins; (iii) we believe the strength of our brand, product assortment, and new product offerings are helping us drive growth and take share in an otherwise stable market; and (iv) we expect our fourth quarter sales will be up</w:t>
      </w:r>
    </w:p>
    <w:p>
      <w:pPr>
        <w:spacing w:after="0" w:line="5"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10-12% over fiscal 2025 fourth quarter sales. We caution that these statements are qualified by important risks, uncertainties, and other factors that could cause actual results to differ materially from those reflected by such forward-looking statements. Such factors include, among others, economic, social, political, legislative, and regulatory factors; the impact of tariffs; the potential for increased regulation of firearms and firearm-related products; actions of social activists that could have an adverse effect on our business; the impact of lawsuits; the demand for our products; the state of the U.S. economy in general and the firearm industry in particular; general economic conditions and consumer spending patterns; our competitive environment; the supply, availability, and costs of raw materials and components; our anticipated growth and growth opportunities; our strategies; our ability to maintain and enhance brand recognition and reputation; our ability to effectively manage and execute the relocation; our ability to introduce new products and the success of new products; the potential for cancellation of orders from our backlog; and other risks detailed from time to time in our reports filed with the Securities and Exchange Commission, including our Annual Report on Form 10-K for the fiscal year ended April 30, 2025.</w:t>
      </w:r>
    </w:p>
    <w:p>
      <w:pPr>
        <w:sectPr>
          <w:pgSz w:w="11900" w:h="16838" w:orient="portrait"/>
          <w:cols w:equalWidth="0" w:num="1">
            <w:col w:w="11004"/>
          </w:cols>
          <w:pgMar w:left="436" w:top="266"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investorrelations@smith-wesson.com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(413) 747-3448</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SMITH &amp;WESSON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January 31, 2026</w:t>
            </w: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April 30, 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40" w:type="dxa"/>
            <w:vAlign w:val="bottom"/>
            <w:gridSpan w:val="5"/>
          </w:tcPr>
          <w:p>
            <w:pPr>
              <w:jc w:val="right"/>
              <w:ind w:right="131"/>
              <w:spacing w:after="0" w:line="142" w:lineRule="exact"/>
              <w:rPr>
                <w:sz w:val="20"/>
                <w:szCs w:val="20"/>
                <w:color w:val="auto"/>
              </w:rPr>
            </w:pPr>
            <w:r>
              <w:rPr>
                <w:rFonts w:ascii="Times New Roman" w:cs="Times New Roman" w:eastAsia="Times New Roman" w:hAnsi="Times New Roman"/>
                <w:sz w:val="14"/>
                <w:szCs w:val="14"/>
                <w:color w:val="auto"/>
              </w:rPr>
              <w:t>(In thousands, except par value and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51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18,421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25,231</w:t>
            </w:r>
          </w:p>
        </w:tc>
        <w:tc>
          <w:tcPr>
            <w:tcW w:w="0" w:type="dxa"/>
            <w:vAlign w:val="bottom"/>
          </w:tcPr>
          <w:p>
            <w:pPr>
              <w:spacing w:after="0"/>
              <w:rPr>
                <w:sz w:val="1"/>
                <w:szCs w:val="1"/>
                <w:color w:val="auto"/>
              </w:rPr>
            </w:pPr>
          </w:p>
        </w:tc>
      </w:tr>
      <w:tr>
        <w:trPr>
          <w:trHeight w:val="216"/>
        </w:trPr>
        <w:tc>
          <w:tcPr>
            <w:tcW w:w="7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5,041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774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allowances for credit losses of $5 on January 31, 2026 and</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April 30, 2025</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50,834</w:t>
            </w: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55,868</w:t>
            </w:r>
          </w:p>
        </w:tc>
        <w:tc>
          <w:tcPr>
            <w:tcW w:w="0" w:type="dxa"/>
            <w:vAlign w:val="bottom"/>
          </w:tcPr>
          <w:p>
            <w:pPr>
              <w:spacing w:after="0"/>
              <w:rPr>
                <w:sz w:val="1"/>
                <w:szCs w:val="1"/>
                <w:color w:val="auto"/>
              </w:rPr>
            </w:pPr>
          </w:p>
        </w:tc>
      </w:tr>
      <w:tr>
        <w:trPr>
          <w:trHeight w:val="216"/>
        </w:trPr>
        <w:tc>
          <w:tcPr>
            <w:tcW w:w="7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175,264</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189,840</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7,702</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6,260</w:t>
            </w:r>
          </w:p>
        </w:tc>
        <w:tc>
          <w:tcPr>
            <w:tcW w:w="0" w:type="dxa"/>
            <w:vAlign w:val="bottom"/>
          </w:tcPr>
          <w:p>
            <w:pPr>
              <w:spacing w:after="0"/>
              <w:rPr>
                <w:sz w:val="1"/>
                <w:szCs w:val="1"/>
                <w:color w:val="auto"/>
              </w:rPr>
            </w:pPr>
          </w:p>
        </w:tc>
      </w:tr>
      <w:tr>
        <w:trPr>
          <w:trHeight w:val="216"/>
        </w:trPr>
        <w:tc>
          <w:tcPr>
            <w:tcW w:w="7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 receivable</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261,533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277,265</w:t>
            </w:r>
          </w:p>
        </w:tc>
        <w:tc>
          <w:tcPr>
            <w:tcW w:w="0" w:type="dxa"/>
            <w:vAlign w:val="bottom"/>
          </w:tcPr>
          <w:p>
            <w:pPr>
              <w:spacing w:after="0"/>
              <w:rPr>
                <w:sz w:val="1"/>
                <w:szCs w:val="1"/>
                <w:color w:val="auto"/>
              </w:rPr>
            </w:pPr>
          </w:p>
        </w:tc>
      </w:tr>
      <w:tr>
        <w:trPr>
          <w:trHeight w:val="205"/>
        </w:trPr>
        <w:tc>
          <w:tcPr>
            <w:tcW w:w="7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Property, plant, and equipment, net of accumulated depreciation and amortization of $390,467 on</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January 31, 2026 and $368,811 on April 30, 2025</w:t>
            </w:r>
          </w:p>
        </w:tc>
        <w:tc>
          <w:tcPr>
            <w:tcW w:w="1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238,578</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242,648</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2,195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2,409</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19,024</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19,024</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9,584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10,260</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8,006</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538,004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559,612</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35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25,494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26,887</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18,770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24,678</w:t>
            </w:r>
          </w:p>
        </w:tc>
        <w:tc>
          <w:tcPr>
            <w:tcW w:w="0" w:type="dxa"/>
            <w:vAlign w:val="bottom"/>
          </w:tcPr>
          <w:p>
            <w:pPr>
              <w:spacing w:after="0"/>
              <w:rPr>
                <w:sz w:val="1"/>
                <w:szCs w:val="1"/>
                <w:color w:val="auto"/>
              </w:rPr>
            </w:pPr>
          </w:p>
        </w:tc>
      </w:tr>
      <w:tr>
        <w:trPr>
          <w:trHeight w:val="216"/>
        </w:trPr>
        <w:tc>
          <w:tcPr>
            <w:tcW w:w="7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payroll and incentives</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11,246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9,060</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profit sharing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4,636</w:t>
            </w:r>
          </w:p>
        </w:tc>
        <w:tc>
          <w:tcPr>
            <w:tcW w:w="0" w:type="dxa"/>
            <w:vAlign w:val="bottom"/>
          </w:tcPr>
          <w:p>
            <w:pPr>
              <w:spacing w:after="0"/>
              <w:rPr>
                <w:sz w:val="1"/>
                <w:szCs w:val="1"/>
                <w:color w:val="auto"/>
              </w:rPr>
            </w:pPr>
          </w:p>
        </w:tc>
      </w:tr>
      <w:tr>
        <w:trPr>
          <w:trHeight w:val="216"/>
        </w:trPr>
        <w:tc>
          <w:tcPr>
            <w:tcW w:w="7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warranty</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66,640</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Notes and loans payable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74,056</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payable, net of current portion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32,644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33,703</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9,743</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7,719</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174,586</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187,158</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40" w:type="dxa"/>
            <w:vAlign w:val="bottom"/>
          </w:tcPr>
          <w:p>
            <w:pPr>
              <w:ind w:left="72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20,000,000 shares authorized, no shares issued or</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outstanding</w:t>
            </w:r>
          </w:p>
        </w:tc>
        <w:tc>
          <w:tcPr>
            <w:tcW w:w="1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774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 shares authorized, 44,493,745 shares</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issued and outstanding on January 31, 2026 and 75,789,455 shares issued and</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44,111,461 shares outstanding on April 30, 2025</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7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298,075</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363,374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532,615</w:t>
            </w:r>
          </w:p>
        </w:tc>
        <w:tc>
          <w:tcPr>
            <w:tcW w:w="0" w:type="dxa"/>
            <w:vAlign w:val="bottom"/>
          </w:tcPr>
          <w:p>
            <w:pPr>
              <w:spacing w:after="0"/>
              <w:rPr>
                <w:sz w:val="1"/>
                <w:szCs w:val="1"/>
                <w:color w:val="auto"/>
              </w:rPr>
            </w:pPr>
          </w:p>
        </w:tc>
      </w:tr>
      <w:tr>
        <w:trPr>
          <w:trHeight w:val="198"/>
        </w:trPr>
        <w:tc>
          <w:tcPr>
            <w:tcW w:w="7740" w:type="dxa"/>
            <w:vAlign w:val="bottom"/>
          </w:tcPr>
          <w:p>
            <w:pPr>
              <w:ind w:left="720"/>
              <w:spacing w:after="0" w:line="198" w:lineRule="exact"/>
              <w:rPr>
                <w:sz w:val="20"/>
                <w:szCs w:val="20"/>
                <w:color w:val="auto"/>
              </w:rPr>
            </w:pPr>
            <w:r>
              <w:rPr>
                <w:rFonts w:ascii="Times New Roman" w:cs="Times New Roman" w:eastAsia="Times New Roman" w:hAnsi="Times New Roman"/>
                <w:sz w:val="18"/>
                <w:szCs w:val="18"/>
                <w:color w:val="auto"/>
              </w:rPr>
              <w:t>Treasury stock, at cost (no shares on January 31, 2026 and 31,677,994 shares on April 30,</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(458,312)</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363,418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372,454</w:t>
            </w:r>
          </w:p>
        </w:tc>
        <w:tc>
          <w:tcPr>
            <w:tcW w:w="0" w:type="dxa"/>
            <w:vAlign w:val="bottom"/>
          </w:tcPr>
          <w:p>
            <w:pPr>
              <w:spacing w:after="0"/>
              <w:rPr>
                <w:sz w:val="1"/>
                <w:szCs w:val="1"/>
                <w:color w:val="auto"/>
              </w:rPr>
            </w:pPr>
          </w:p>
        </w:tc>
      </w:tr>
      <w:tr>
        <w:trPr>
          <w:trHeight w:val="223"/>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538,004</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559,612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SMITH &amp; WESSON BRANDS,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0" w:type="dxa"/>
            <w:vAlign w:val="bottom"/>
          </w:tcPr>
          <w:p>
            <w:pPr>
              <w:spacing w:after="0"/>
              <w:rPr>
                <w:sz w:val="13"/>
                <w:szCs w:val="13"/>
                <w:color w:val="auto"/>
              </w:rPr>
            </w:pPr>
          </w:p>
        </w:tc>
        <w:tc>
          <w:tcPr>
            <w:tcW w:w="162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Ended January 31,</w:t>
            </w:r>
          </w:p>
        </w:tc>
        <w:tc>
          <w:tcPr>
            <w:tcW w:w="80" w:type="dxa"/>
            <w:vAlign w:val="bottom"/>
          </w:tcPr>
          <w:p>
            <w:pPr>
              <w:spacing w:after="0"/>
              <w:rPr>
                <w:sz w:val="15"/>
                <w:szCs w:val="15"/>
                <w:color w:val="auto"/>
              </w:rPr>
            </w:pPr>
          </w:p>
        </w:tc>
        <w:tc>
          <w:tcPr>
            <w:tcW w:w="162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Ended January 31,</w:t>
            </w:r>
          </w:p>
        </w:tc>
        <w:tc>
          <w:tcPr>
            <w:tcW w:w="0" w:type="dxa"/>
            <w:vAlign w:val="bottom"/>
          </w:tcPr>
          <w:p>
            <w:pPr>
              <w:spacing w:after="0"/>
              <w:rPr>
                <w:sz w:val="1"/>
                <w:szCs w:val="1"/>
                <w:color w:val="auto"/>
              </w:rPr>
            </w:pPr>
          </w:p>
        </w:tc>
      </w:tr>
      <w:tr>
        <w:trPr>
          <w:trHeight w:val="142"/>
        </w:trPr>
        <w:tc>
          <w:tcPr>
            <w:tcW w:w="58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10"/>
          </w:tcPr>
          <w:p>
            <w:pPr>
              <w:jc w:val="right"/>
              <w:spacing w:after="0" w:line="142" w:lineRule="exact"/>
              <w:rPr>
                <w:sz w:val="20"/>
                <w:szCs w:val="20"/>
                <w:color w:val="auto"/>
              </w:rPr>
            </w:pPr>
            <w:r>
              <w:rPr>
                <w:rFonts w:ascii="Times New Roman" w:cs="Times New Roman" w:eastAsia="Times New Roman" w:hAnsi="Times New Roman"/>
                <w:sz w:val="14"/>
                <w:szCs w:val="14"/>
                <w:color w:val="auto"/>
              </w:rPr>
              <w:t>(In thousands, except per share data)</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135,709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115,885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345,457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333,899</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100,120</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87,938</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257,444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247,261</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35,589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27,947</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88,013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86,638</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7,605</w:t>
            </w:r>
          </w:p>
        </w:tc>
        <w:tc>
          <w:tcPr>
            <w:tcW w:w="0" w:type="dxa"/>
            <w:vAlign w:val="bottom"/>
          </w:tcPr>
          <w:p>
            <w:pPr>
              <w:spacing w:after="0"/>
              <w:rPr>
                <w:sz w:val="1"/>
                <w:szCs w:val="1"/>
                <w:color w:val="auto"/>
              </w:rPr>
            </w:pPr>
          </w:p>
        </w:tc>
      </w:tr>
      <w:tr>
        <w:trPr>
          <w:trHeight w:val="216"/>
        </w:trPr>
        <w:tc>
          <w:tcPr>
            <w:tcW w:w="5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11,170</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10,336</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30,259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29,839</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15,482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12,379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42,263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40,959</w:t>
            </w:r>
          </w:p>
        </w:tc>
        <w:tc>
          <w:tcPr>
            <w:tcW w:w="0" w:type="dxa"/>
            <w:vAlign w:val="bottom"/>
          </w:tcPr>
          <w:p>
            <w:pPr>
              <w:spacing w:after="0"/>
              <w:rPr>
                <w:sz w:val="1"/>
                <w:szCs w:val="1"/>
                <w:color w:val="auto"/>
              </w:rPr>
            </w:pPr>
          </w:p>
        </w:tc>
      </w:tr>
      <w:tr>
        <w:trPr>
          <w:trHeight w:val="216"/>
        </w:trPr>
        <w:tc>
          <w:tcPr>
            <w:tcW w:w="5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Gain on sale/disposition of assets, net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(2,382)</w:t>
            </w: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(2,521)</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28,876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23,202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80,143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75,882</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income/(expense), net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Interest expense, net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(1,723)</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(3,875)</w:t>
            </w:r>
          </w:p>
        </w:tc>
        <w:tc>
          <w:tcPr>
            <w:tcW w:w="0" w:type="dxa"/>
            <w:vAlign w:val="bottom"/>
          </w:tcPr>
          <w:p>
            <w:pPr>
              <w:spacing w:after="0"/>
              <w:rPr>
                <w:sz w:val="1"/>
                <w:szCs w:val="1"/>
                <w:color w:val="auto"/>
              </w:rPr>
            </w:pPr>
          </w:p>
        </w:tc>
      </w:tr>
      <w:tr>
        <w:trPr>
          <w:trHeight w:val="230"/>
        </w:trPr>
        <w:tc>
          <w:tcPr>
            <w:tcW w:w="58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other expense, net</w:t>
            </w:r>
          </w:p>
        </w:tc>
        <w:tc>
          <w:tcPr>
            <w:tcW w:w="1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6,870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920</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2,078</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2,259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4,792</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 - net income</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Diluted - net income</w:t>
            </w: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44,493</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44,038</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44,384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44,627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44,982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44,398</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44,825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45,069</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SMITH &amp; WESSON BRANDS,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 the Nine Months Ended January 31,</w:t>
            </w:r>
          </w:p>
        </w:tc>
        <w:tc>
          <w:tcPr>
            <w:tcW w:w="0" w:type="dxa"/>
            <w:vAlign w:val="bottom"/>
          </w:tcPr>
          <w:p>
            <w:pPr>
              <w:spacing w:after="0"/>
              <w:rPr>
                <w:sz w:val="1"/>
                <w:szCs w:val="1"/>
                <w:color w:val="auto"/>
              </w:rPr>
            </w:pPr>
          </w:p>
        </w:tc>
      </w:tr>
      <w:tr>
        <w:trPr>
          <w:trHeight w:val="142"/>
        </w:trPr>
        <w:tc>
          <w:tcPr>
            <w:tcW w:w="7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3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3"/>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2,259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4,792</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by/(used in) operating activities: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23,706</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23,860</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Gain on sale/disposition of assets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(2,521)</w:t>
            </w:r>
          </w:p>
        </w:tc>
        <w:tc>
          <w:tcPr>
            <w:tcW w:w="0" w:type="dxa"/>
            <w:vAlign w:val="bottom"/>
          </w:tcPr>
          <w:p>
            <w:pPr>
              <w:spacing w:after="0"/>
              <w:rPr>
                <w:sz w:val="1"/>
                <w:szCs w:val="1"/>
                <w:color w:val="auto"/>
              </w:rPr>
            </w:pPr>
          </w:p>
        </w:tc>
      </w:tr>
      <w:tr>
        <w:trPr>
          <w:trHeight w:val="216"/>
        </w:trPr>
        <w:tc>
          <w:tcPr>
            <w:tcW w:w="7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income taxes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676</w:t>
            </w: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6,364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5,724</w:t>
            </w:r>
          </w:p>
        </w:tc>
        <w:tc>
          <w:tcPr>
            <w:tcW w:w="0" w:type="dxa"/>
            <w:vAlign w:val="bottom"/>
          </w:tcPr>
          <w:p>
            <w:pPr>
              <w:spacing w:after="0"/>
              <w:rPr>
                <w:sz w:val="1"/>
                <w:szCs w:val="1"/>
                <w:color w:val="auto"/>
              </w:rPr>
            </w:pPr>
          </w:p>
        </w:tc>
      </w:tr>
      <w:tr>
        <w:trPr>
          <w:trHeight w:val="216"/>
        </w:trPr>
        <w:tc>
          <w:tcPr>
            <w:tcW w:w="7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Non-cash sublease income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(1,341)</w:t>
            </w: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(1,287)</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(407)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receivable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5,034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1,629</w:t>
            </w:r>
          </w:p>
        </w:tc>
        <w:tc>
          <w:tcPr>
            <w:tcW w:w="0" w:type="dxa"/>
            <w:vAlign w:val="bottom"/>
          </w:tcPr>
          <w:p>
            <w:pPr>
              <w:spacing w:after="0"/>
              <w:rPr>
                <w:sz w:val="1"/>
                <w:szCs w:val="1"/>
                <w:color w:val="auto"/>
              </w:rPr>
            </w:pPr>
          </w:p>
        </w:tc>
      </w:tr>
      <w:tr>
        <w:trPr>
          <w:trHeight w:val="216"/>
        </w:trPr>
        <w:tc>
          <w:tcPr>
            <w:tcW w:w="75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Inventories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14,576</w:t>
            </w: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(38,439)</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(1,442)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(3,015)</w:t>
            </w:r>
          </w:p>
        </w:tc>
        <w:tc>
          <w:tcPr>
            <w:tcW w:w="0" w:type="dxa"/>
            <w:vAlign w:val="bottom"/>
          </w:tcPr>
          <w:p>
            <w:pPr>
              <w:spacing w:after="0"/>
              <w:rPr>
                <w:sz w:val="1"/>
                <w:szCs w:val="1"/>
                <w:color w:val="auto"/>
              </w:rPr>
            </w:pPr>
          </w:p>
        </w:tc>
      </w:tr>
      <w:tr>
        <w:trPr>
          <w:trHeight w:val="216"/>
        </w:trPr>
        <w:tc>
          <w:tcPr>
            <w:tcW w:w="75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Income taxes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(4,205)</w:t>
            </w: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(4,713)</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payable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(893)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(16,750)</w:t>
            </w:r>
          </w:p>
        </w:tc>
        <w:tc>
          <w:tcPr>
            <w:tcW w:w="0" w:type="dxa"/>
            <w:vAlign w:val="bottom"/>
          </w:tcPr>
          <w:p>
            <w:pPr>
              <w:spacing w:after="0"/>
              <w:rPr>
                <w:sz w:val="1"/>
                <w:szCs w:val="1"/>
                <w:color w:val="auto"/>
              </w:rPr>
            </w:pPr>
          </w:p>
        </w:tc>
      </w:tr>
      <w:tr>
        <w:trPr>
          <w:trHeight w:val="216"/>
        </w:trPr>
        <w:tc>
          <w:tcPr>
            <w:tcW w:w="75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Accrued payroll and incentives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2,186</w:t>
            </w: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(8,160)</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Accrued profit sharing</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(3,247)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(7,201)</w:t>
            </w:r>
          </w:p>
        </w:tc>
        <w:tc>
          <w:tcPr>
            <w:tcW w:w="0" w:type="dxa"/>
            <w:vAlign w:val="bottom"/>
          </w:tcPr>
          <w:p>
            <w:pPr>
              <w:spacing w:after="0"/>
              <w:rPr>
                <w:sz w:val="1"/>
                <w:szCs w:val="1"/>
                <w:color w:val="auto"/>
              </w:rPr>
            </w:pPr>
          </w:p>
        </w:tc>
      </w:tr>
      <w:tr>
        <w:trPr>
          <w:trHeight w:val="216"/>
        </w:trPr>
        <w:tc>
          <w:tcPr>
            <w:tcW w:w="75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(3,268)</w:t>
            </w: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Accrued warranty</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75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Other assets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30"/>
        </w:trPr>
        <w:tc>
          <w:tcPr>
            <w:tcW w:w="75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39,614</w:t>
            </w:r>
          </w:p>
        </w:tc>
        <w:tc>
          <w:tcPr>
            <w:tcW w:w="44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(4,634)</w:t>
            </w:r>
          </w:p>
        </w:tc>
        <w:tc>
          <w:tcPr>
            <w:tcW w:w="3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to acquire patents and software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136</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2,668</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to acquire property and equipment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(18,914)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(14,314)</w:t>
            </w:r>
          </w:p>
        </w:tc>
        <w:tc>
          <w:tcPr>
            <w:tcW w:w="0" w:type="dxa"/>
            <w:vAlign w:val="bottom"/>
          </w:tcPr>
          <w:p>
            <w:pPr>
              <w:spacing w:after="0"/>
              <w:rPr>
                <w:sz w:val="1"/>
                <w:szCs w:val="1"/>
                <w:color w:val="auto"/>
              </w:rPr>
            </w:pPr>
          </w:p>
        </w:tc>
      </w:tr>
      <w:tr>
        <w:trPr>
          <w:trHeight w:val="230"/>
        </w:trPr>
        <w:tc>
          <w:tcPr>
            <w:tcW w:w="75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(23,474)</w:t>
            </w:r>
          </w:p>
        </w:tc>
        <w:tc>
          <w:tcPr>
            <w:tcW w:w="44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loans and notes payable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25,000</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on notes and loans payable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(30,000)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debt issuance costs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(219)</w:t>
            </w: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on finance lease obligation</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to acquire treasury stock</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(25,468)</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 distribution</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(17,444)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(17,375)</w:t>
            </w: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to acquire common stock from employee stock purchase plan</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743</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employee withholding tax related to restricted stock units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(886)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30"/>
        </w:trPr>
        <w:tc>
          <w:tcPr>
            <w:tcW w:w="75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44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(6,810)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(34,135)</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25,231</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60,839</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18,421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26,704</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4,464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4,219</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taxes</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3,743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7,098</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8" w:name="page9"/>
    <w:bookmarkEnd w:id="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SMITH &amp; WESSON BRANDS, INC. AND SUBSIDIARIES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RECONCILIATION OF GAAP FINANCIAL MEASURES TO NON-GAAP FINANCIAL MEASURES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4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5"/>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January 31, 2026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January 31, 2025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5"/>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January 31, 2026</w:t>
            </w:r>
          </w:p>
        </w:tc>
        <w:tc>
          <w:tcPr>
            <w:tcW w:w="140" w:type="dxa"/>
            <w:vAlign w:val="bottom"/>
          </w:tcPr>
          <w:p>
            <w:pPr>
              <w:spacing w:after="0"/>
              <w:rPr>
                <w:sz w:val="12"/>
                <w:szCs w:val="12"/>
                <w:color w:val="auto"/>
              </w:rPr>
            </w:pPr>
          </w:p>
        </w:tc>
        <w:tc>
          <w:tcPr>
            <w:tcW w:w="146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January 31, 2025</w:t>
            </w:r>
          </w:p>
        </w:tc>
        <w:tc>
          <w:tcPr>
            <w:tcW w:w="220" w:type="dxa"/>
            <w:vAlign w:val="bottom"/>
          </w:tcPr>
          <w:p>
            <w:pPr>
              <w:spacing w:after="0"/>
              <w:rPr>
                <w:sz w:val="12"/>
                <w:szCs w:val="12"/>
                <w:color w:val="auto"/>
              </w:rPr>
            </w:pPr>
          </w:p>
        </w:tc>
      </w:tr>
      <w:tr>
        <w:trPr>
          <w:trHeight w:val="142"/>
        </w:trPr>
        <w:tc>
          <w:tcPr>
            <w:tcW w:w="3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 of Sales</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 of Sales</w:t>
            </w:r>
          </w:p>
        </w:tc>
        <w:tc>
          <w:tcPr>
            <w:tcW w:w="3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 of Sales</w:t>
            </w:r>
          </w:p>
        </w:tc>
        <w:tc>
          <w:tcPr>
            <w:tcW w:w="3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 of Sales</w:t>
            </w:r>
          </w:p>
        </w:tc>
        <w:tc>
          <w:tcPr>
            <w:tcW w:w="220" w:type="dxa"/>
            <w:vAlign w:val="bottom"/>
            <w:tcBorders>
              <w:bottom w:val="single" w:sz="8" w:color="CCEEFF"/>
            </w:tcBorders>
          </w:tcPr>
          <w:p>
            <w:pPr>
              <w:spacing w:after="0"/>
              <w:rPr>
                <w:sz w:val="12"/>
                <w:szCs w:val="12"/>
                <w:color w:val="auto"/>
              </w:rPr>
            </w:pPr>
          </w:p>
        </w:tc>
      </w:tr>
      <w:tr>
        <w:trPr>
          <w:trHeight w:val="209"/>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sales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$115,885</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$345,457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$333,899</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Relocation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(4,416)</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7"/>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sales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135,709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115,682</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345,457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329,483</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
        </w:trPr>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gross profit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35,589</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c>
          <w:tcPr>
            <w:tcW w:w="10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$ 27,947</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88,013</w:t>
            </w: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86,638</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Relocation expenses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1,096</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2,830</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35,460</w:t>
            </w:r>
          </w:p>
        </w:tc>
        <w:tc>
          <w:tcPr>
            <w:tcW w:w="12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$ 29,043</w:t>
            </w:r>
          </w:p>
        </w:tc>
        <w:tc>
          <w:tcPr>
            <w:tcW w:w="2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87,880</w:t>
            </w:r>
          </w:p>
        </w:tc>
        <w:tc>
          <w:tcPr>
            <w:tcW w:w="160" w:type="dxa"/>
            <w:vAlign w:val="bottom"/>
          </w:tcPr>
          <w:p>
            <w:pPr>
              <w:spacing w:after="0"/>
              <w:rPr>
                <w:sz w:val="19"/>
                <w:szCs w:val="19"/>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89,538</w:t>
            </w:r>
          </w:p>
        </w:tc>
        <w:tc>
          <w:tcPr>
            <w:tcW w:w="2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27.2%</w:t>
            </w:r>
          </w:p>
        </w:tc>
      </w:tr>
      <w:tr>
        <w:trPr>
          <w:trHeight w:val="20"/>
        </w:trPr>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operating expenses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28,876</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c>
          <w:tcPr>
            <w:tcW w:w="10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$ 23,202</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80,143</w:t>
            </w: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75,882</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Relocation expenses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(586)</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S&amp;W Academy grand opening</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of asset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2,257</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2,257</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7"/>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28,920</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c>
          <w:tcPr>
            <w:tcW w:w="10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$ 25,310</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80,063</w:t>
            </w: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77,553</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23.5%</w:t>
            </w:r>
          </w:p>
        </w:tc>
      </w:tr>
      <w:tr>
        <w:trPr>
          <w:trHeight w:val="20"/>
        </w:trPr>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operating income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6,713</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4,745</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7,870</w:t>
            </w: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10,756</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Settlement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Relocation expenses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1,245</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3,416</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S&amp;W Academy grand opening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asset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(2,257)</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(2,257)</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income</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12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3"/>
              </w:rPr>
              <w:t>3,733</w:t>
            </w:r>
          </w:p>
        </w:tc>
        <w:tc>
          <w:tcPr>
            <w:tcW w:w="2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7,817</w:t>
            </w:r>
          </w:p>
        </w:tc>
        <w:tc>
          <w:tcPr>
            <w:tcW w:w="160" w:type="dxa"/>
            <w:vAlign w:val="bottom"/>
          </w:tcPr>
          <w:p>
            <w:pPr>
              <w:spacing w:after="0"/>
              <w:rPr>
                <w:sz w:val="19"/>
                <w:szCs w:val="19"/>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11,985</w:t>
            </w:r>
          </w:p>
        </w:tc>
        <w:tc>
          <w:tcPr>
            <w:tcW w:w="2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3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3,753</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2,102</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2,259</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4,792</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Relocation expenses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1,245</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3,416</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S&amp;W Academy grand opening</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of asset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(2,257)</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(2,257)</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effect of non-GAAP adjustments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311</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(381)</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2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3"/>
              </w:rPr>
              <w:t>1,401</w:t>
            </w:r>
          </w:p>
        </w:tc>
        <w:tc>
          <w:tcPr>
            <w:tcW w:w="2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60" w:type="dxa"/>
            <w:vAlign w:val="bottom"/>
          </w:tcPr>
          <w:p>
            <w:pPr>
              <w:spacing w:after="0"/>
              <w:rPr>
                <w:sz w:val="19"/>
                <w:szCs w:val="19"/>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5,640</w:t>
            </w:r>
          </w:p>
        </w:tc>
        <w:tc>
          <w:tcPr>
            <w:tcW w:w="2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 per share—diluted</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0.05</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0.11</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Settlement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Relocation expenses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0.03</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0.08</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S&amp;W Academy grand opening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asset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(0.05)</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effect of non-GAAP adjustments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0.01</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7"/>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per share - diluted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03</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05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13</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
        </w:trPr>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per share does not foot due to rounding.</w:t>
      </w:r>
    </w:p>
    <w:p>
      <w:pPr>
        <w:sectPr>
          <w:pgSz w:w="11900" w:h="16838" w:orient="portrait"/>
          <w:cols w:equalWidth="0" w:num="1">
            <w:col w:w="11024"/>
          </w:cols>
          <w:pgMar w:left="436" w:top="266"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SMITH &amp; WESSON BRANDS,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GAAP NET INCOME TO NON-GAAP ADJUSTED EBITDAS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80" w:type="dxa"/>
            <w:vAlign w:val="bottom"/>
            <w:gridSpan w:val="5"/>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00" w:type="dxa"/>
            <w:vAlign w:val="bottom"/>
          </w:tcPr>
          <w:p>
            <w:pPr>
              <w:spacing w:after="0"/>
              <w:rPr>
                <w:sz w:val="15"/>
                <w:szCs w:val="15"/>
                <w:color w:val="auto"/>
              </w:rPr>
            </w:pPr>
          </w:p>
        </w:tc>
        <w:tc>
          <w:tcPr>
            <w:tcW w:w="19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4700" w:type="dxa"/>
            <w:vAlign w:val="bottom"/>
          </w:tcPr>
          <w:p>
            <w:pPr>
              <w:spacing w:after="0"/>
              <w:rPr>
                <w:sz w:val="12"/>
                <w:szCs w:val="12"/>
                <w:color w:val="auto"/>
              </w:rPr>
            </w:pPr>
          </w:p>
        </w:tc>
        <w:tc>
          <w:tcPr>
            <w:tcW w:w="16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January 31, 2026</w:t>
            </w:r>
          </w:p>
        </w:tc>
        <w:tc>
          <w:tcPr>
            <w:tcW w:w="10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January 31, 2025</w:t>
            </w:r>
          </w:p>
        </w:tc>
        <w:tc>
          <w:tcPr>
            <w:tcW w:w="620" w:type="dxa"/>
            <w:vAlign w:val="bottom"/>
          </w:tcPr>
          <w:p>
            <w:pPr>
              <w:spacing w:after="0"/>
              <w:rPr>
                <w:sz w:val="12"/>
                <w:szCs w:val="12"/>
                <w:color w:val="auto"/>
              </w:rPr>
            </w:pPr>
          </w:p>
        </w:tc>
        <w:tc>
          <w:tcPr>
            <w:tcW w:w="170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January 31, 2026</w:t>
            </w:r>
          </w:p>
        </w:tc>
        <w:tc>
          <w:tcPr>
            <w:tcW w:w="10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January 31, 2025</w:t>
            </w:r>
          </w:p>
        </w:tc>
        <w:tc>
          <w:tcPr>
            <w:tcW w:w="220" w:type="dxa"/>
            <w:vAlign w:val="bottom"/>
          </w:tcPr>
          <w:p>
            <w:pPr>
              <w:spacing w:after="0"/>
              <w:rPr>
                <w:sz w:val="12"/>
                <w:szCs w:val="12"/>
                <w:color w:val="auto"/>
              </w:rPr>
            </w:pPr>
          </w:p>
        </w:tc>
      </w:tr>
      <w:tr>
        <w:trPr>
          <w:trHeight w:val="209"/>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6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6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6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2,081</w:t>
            </w:r>
          </w:p>
        </w:tc>
        <w:tc>
          <w:tcPr>
            <w:tcW w:w="32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2,355</w:t>
            </w:r>
          </w:p>
        </w:tc>
        <w:tc>
          <w:tcPr>
            <w:tcW w:w="30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5,900</w:t>
            </w:r>
          </w:p>
        </w:tc>
        <w:tc>
          <w:tcPr>
            <w:tcW w:w="5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5,881</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1,618</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920</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2,017</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2,079</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7,177</w:t>
            </w:r>
          </w:p>
        </w:tc>
        <w:tc>
          <w:tcPr>
            <w:tcW w:w="32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7,548</w:t>
            </w:r>
          </w:p>
        </w:tc>
        <w:tc>
          <w:tcPr>
            <w:tcW w:w="30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23,527</w:t>
            </w:r>
          </w:p>
        </w:tc>
        <w:tc>
          <w:tcPr>
            <w:tcW w:w="5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23,754</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2,374</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2,002</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6,364</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5,724</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S&amp;W Academy grand opening expense</w:t>
            </w:r>
          </w:p>
        </w:tc>
        <w:tc>
          <w:tcPr>
            <w:tcW w:w="28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452</w:t>
            </w:r>
          </w:p>
        </w:tc>
        <w:tc>
          <w:tcPr>
            <w:tcW w:w="5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asset</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(2,257)</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(2,257)</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Settlement</w:t>
            </w:r>
          </w:p>
        </w:tc>
        <w:tc>
          <w:tcPr>
            <w:tcW w:w="28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Relocation expense</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(139)</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1,230</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(505)</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3,143</w:t>
            </w:r>
          </w:p>
        </w:tc>
      </w:tr>
      <w:tr>
        <w:trPr>
          <w:trHeight w:val="22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Non-GAAP Adjusted EBITDAS</w:t>
            </w: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16,830</w:t>
            </w:r>
          </w:p>
        </w:tc>
        <w:tc>
          <w:tcPr>
            <w:tcW w:w="6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13,900</w:t>
            </w:r>
          </w:p>
        </w:tc>
        <w:tc>
          <w:tcPr>
            <w:tcW w:w="6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40,014</w:t>
            </w:r>
          </w:p>
        </w:tc>
        <w:tc>
          <w:tcPr>
            <w:tcW w:w="64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43,186</w:t>
            </w:r>
          </w:p>
        </w:tc>
        <w:tc>
          <w:tcPr>
            <w:tcW w:w="22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Adjusted EBITDAS Margin</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12.4%</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12.0%</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11.6%</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w:t>
            </w:r>
          </w:p>
        </w:tc>
      </w:tr>
    </w:tbl>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NET CASH (USED IN) / PROVIDED BY OPERATING ACTIVITIES TO FREE CASH FLOW</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42"/>
        </w:trPr>
        <w:tc>
          <w:tcPr>
            <w:tcW w:w="4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80" w:type="dxa"/>
            <w:vAlign w:val="bottom"/>
            <w:tcBorders>
              <w:top w:val="single" w:sz="8" w:color="auto"/>
            </w:tcBorders>
            <w:gridSpan w:val="3"/>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January 31, 2026</w:t>
            </w:r>
          </w:p>
        </w:tc>
        <w:tc>
          <w:tcPr>
            <w:tcW w:w="10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January 31, 2025</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Borders>
              <w:top w:val="single" w:sz="8" w:color="auto"/>
            </w:tcBorders>
            <w:gridSpan w:val="3"/>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January 31, 2026</w:t>
            </w:r>
          </w:p>
        </w:tc>
        <w:tc>
          <w:tcPr>
            <w:tcW w:w="10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January 31, 2025</w:t>
            </w:r>
          </w:p>
        </w:tc>
        <w:tc>
          <w:tcPr>
            <w:tcW w:w="120" w:type="dxa"/>
            <w:vAlign w:val="bottom"/>
          </w:tcPr>
          <w:p>
            <w:pPr>
              <w:spacing w:after="0"/>
              <w:rPr>
                <w:sz w:val="12"/>
                <w:szCs w:val="12"/>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20,456</w:t>
            </w:r>
          </w:p>
        </w:tc>
        <w:tc>
          <w:tcPr>
            <w:tcW w:w="5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39,614</w:t>
            </w:r>
          </w:p>
        </w:tc>
        <w:tc>
          <w:tcPr>
            <w:tcW w:w="5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7"/>
              </w:rPr>
              <w:t>(48,051)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Payments to acquire property and equipment</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(3,633)</w:t>
            </w:r>
          </w:p>
        </w:tc>
        <w:tc>
          <w:tcPr>
            <w:tcW w:w="2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(6,310)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(18,914)</w:t>
            </w:r>
          </w:p>
        </w:tc>
        <w:tc>
          <w:tcPr>
            <w:tcW w:w="280" w:type="dxa"/>
            <w:vAlign w:val="bottom"/>
          </w:tcPr>
          <w:p>
            <w:pPr>
              <w:spacing w:after="0"/>
              <w:rPr>
                <w:sz w:val="18"/>
                <w:szCs w:val="18"/>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(14,314)</w:t>
            </w:r>
          </w:p>
        </w:tc>
      </w:tr>
      <w:tr>
        <w:trPr>
          <w:trHeight w:val="27"/>
        </w:trPr>
        <w:tc>
          <w:tcPr>
            <w:tcW w:w="4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98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16,823</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(16,149)</w:t>
            </w:r>
          </w:p>
        </w:tc>
        <w:tc>
          <w:tcPr>
            <w:tcW w:w="5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20,700</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(62,365)</w:t>
            </w:r>
          </w:p>
        </w:tc>
      </w:tr>
      <w:tr>
        <w:trPr>
          <w:trHeight w:val="20"/>
        </w:trPr>
        <w:tc>
          <w:tcPr>
            <w:tcW w:w="4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6"/>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2026-03-05T15:15:38Z</dcterms:created>
  <dcterms:modified xsi:type="dcterms:W3CDTF">2026-03-05T15:15:38Z</dcterms:modified>
</cp:coreProperties>
</file>