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111760</wp:posOffset>
            </wp:positionV>
            <wp:extent cx="300990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American Outdoor Brands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3520" w:type="dxa"/>
            <w:vAlign w:val="bottom"/>
          </w:tcPr>
          <w:p>
            <w:pPr>
              <w:jc w:val="center"/>
              <w:ind w:left="978"/>
              <w:spacing w:after="0"/>
              <w:rPr>
                <w:sz w:val="20"/>
                <w:szCs w:val="20"/>
                <w:color w:val="auto"/>
              </w:rPr>
            </w:pPr>
            <w:r>
              <w:rPr>
                <w:rFonts w:ascii="Arial" w:cs="Arial" w:eastAsia="Arial" w:hAnsi="Arial"/>
                <w:sz w:val="18"/>
                <w:szCs w:val="18"/>
                <w:b w:val="1"/>
                <w:bCs w:val="1"/>
                <w:color w:val="auto"/>
                <w:w w:val="90"/>
              </w:rPr>
              <w:t>Nevada</w:t>
            </w: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tcPr>
          <w:p>
            <w:pPr>
              <w:jc w:val="right"/>
              <w:ind w:right="1780"/>
              <w:spacing w:after="0"/>
              <w:rPr>
                <w:sz w:val="20"/>
                <w:szCs w:val="20"/>
                <w:color w:val="auto"/>
              </w:rPr>
            </w:pPr>
            <w:r>
              <w:rPr>
                <w:rFonts w:ascii="Arial" w:cs="Arial" w:eastAsia="Arial" w:hAnsi="Arial"/>
                <w:sz w:val="18"/>
                <w:szCs w:val="18"/>
                <w:b w:val="1"/>
                <w:bCs w:val="1"/>
                <w:color w:val="auto"/>
              </w:rPr>
              <w:t>87-0543688</w:t>
            </w:r>
          </w:p>
        </w:tc>
      </w:tr>
      <w:tr>
        <w:trPr>
          <w:trHeight w:val="149"/>
        </w:trPr>
        <w:tc>
          <w:tcPr>
            <w:tcW w:w="3520" w:type="dxa"/>
            <w:vAlign w:val="bottom"/>
          </w:tcPr>
          <w:p>
            <w:pPr>
              <w:jc w:val="center"/>
              <w:ind w:left="978"/>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20" w:type="dxa"/>
            <w:vAlign w:val="bottom"/>
          </w:tcPr>
          <w:p>
            <w:pPr>
              <w:jc w:val="center"/>
              <w:ind w:right="13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20" w:type="dxa"/>
            <w:vAlign w:val="bottom"/>
          </w:tcPr>
          <w:p>
            <w:pPr>
              <w:jc w:val="center"/>
              <w:ind w:left="978"/>
              <w:spacing w:after="0"/>
              <w:rPr>
                <w:sz w:val="20"/>
                <w:szCs w:val="20"/>
                <w:color w:val="auto"/>
              </w:rPr>
            </w:pPr>
            <w:r>
              <w:rPr>
                <w:rFonts w:ascii="Arial" w:cs="Arial" w:eastAsia="Arial" w:hAnsi="Arial"/>
                <w:sz w:val="14"/>
                <w:szCs w:val="14"/>
                <w:b w:val="1"/>
                <w:bCs w:val="1"/>
                <w:color w:val="auto"/>
                <w:w w:val="93"/>
              </w:rPr>
              <w:t>incorporation or organization)</w:t>
            </w: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20" w:type="dxa"/>
            <w:vAlign w:val="bottom"/>
          </w:tcPr>
          <w:p>
            <w:pPr>
              <w:jc w:val="center"/>
              <w:ind w:right="13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520" w:type="dxa"/>
            <w:vAlign w:val="bottom"/>
          </w:tcPr>
          <w:p>
            <w:pPr>
              <w:jc w:val="center"/>
              <w:ind w:left="978"/>
              <w:spacing w:after="0"/>
              <w:rPr>
                <w:sz w:val="20"/>
                <w:szCs w:val="20"/>
                <w:color w:val="auto"/>
              </w:rPr>
            </w:pPr>
            <w:r>
              <w:rPr>
                <w:rFonts w:ascii="Arial" w:cs="Arial" w:eastAsia="Arial" w:hAnsi="Arial"/>
                <w:sz w:val="18"/>
                <w:szCs w:val="18"/>
                <w:b w:val="1"/>
                <w:bCs w:val="1"/>
                <w:color w:val="auto"/>
                <w:w w:val="86"/>
              </w:rPr>
              <w:t>2100 Roosevelt Avenue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2"/>
        </w:trPr>
        <w:tc>
          <w:tcPr>
            <w:tcW w:w="3520" w:type="dxa"/>
            <w:vAlign w:val="bottom"/>
          </w:tcPr>
          <w:p>
            <w:pPr>
              <w:jc w:val="center"/>
              <w:ind w:left="978"/>
              <w:spacing w:after="0"/>
              <w:rPr>
                <w:sz w:val="20"/>
                <w:szCs w:val="20"/>
                <w:color w:val="auto"/>
              </w:rPr>
            </w:pPr>
            <w:r>
              <w:rPr>
                <w:rFonts w:ascii="Arial" w:cs="Arial" w:eastAsia="Arial" w:hAnsi="Arial"/>
                <w:sz w:val="18"/>
                <w:szCs w:val="18"/>
                <w:b w:val="1"/>
                <w:bCs w:val="1"/>
                <w:color w:val="auto"/>
                <w:w w:val="88"/>
              </w:rPr>
              <w:t>Springfield, Massachusetts</w:t>
            </w: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tcPr>
          <w:p>
            <w:pPr>
              <w:jc w:val="right"/>
              <w:ind w:right="2000"/>
              <w:spacing w:after="0"/>
              <w:rPr>
                <w:sz w:val="20"/>
                <w:szCs w:val="20"/>
                <w:color w:val="auto"/>
              </w:rPr>
            </w:pPr>
            <w:r>
              <w:rPr>
                <w:rFonts w:ascii="Arial" w:cs="Arial" w:eastAsia="Arial" w:hAnsi="Arial"/>
                <w:sz w:val="18"/>
                <w:szCs w:val="18"/>
                <w:b w:val="1"/>
                <w:bCs w:val="1"/>
                <w:color w:val="auto"/>
              </w:rPr>
              <w:t>01104</w:t>
            </w:r>
          </w:p>
        </w:tc>
      </w:tr>
      <w:tr>
        <w:trPr>
          <w:trHeight w:val="186"/>
        </w:trPr>
        <w:tc>
          <w:tcPr>
            <w:tcW w:w="3520" w:type="dxa"/>
            <w:vAlign w:val="bottom"/>
          </w:tcPr>
          <w:p>
            <w:pPr>
              <w:jc w:val="center"/>
              <w:ind w:left="9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20" w:type="dxa"/>
            <w:vAlign w:val="bottom"/>
          </w:tcPr>
          <w:p>
            <w:pPr>
              <w:jc w:val="center"/>
              <w:ind w:right="128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3520" w:type="dxa"/>
            <w:vAlign w:val="bottom"/>
          </w:tcPr>
          <w:p>
            <w:pPr>
              <w:spacing w:after="0"/>
              <w:rPr>
                <w:sz w:val="24"/>
                <w:szCs w:val="24"/>
                <w:color w:val="auto"/>
              </w:rPr>
            </w:pPr>
          </w:p>
        </w:tc>
        <w:tc>
          <w:tcPr>
            <w:tcW w:w="2820" w:type="dxa"/>
            <w:vAlign w:val="bottom"/>
            <w:gridSpan w:val="2"/>
          </w:tcPr>
          <w:p>
            <w:pPr>
              <w:jc w:val="center"/>
              <w:ind w:left="459"/>
              <w:spacing w:after="0"/>
              <w:rPr>
                <w:sz w:val="20"/>
                <w:szCs w:val="20"/>
                <w:color w:val="auto"/>
              </w:rPr>
            </w:pPr>
            <w:r>
              <w:rPr>
                <w:rFonts w:ascii="Arial" w:cs="Arial" w:eastAsia="Arial" w:hAnsi="Arial"/>
                <w:sz w:val="18"/>
                <w:szCs w:val="18"/>
                <w:b w:val="1"/>
                <w:bCs w:val="1"/>
                <w:color w:val="auto"/>
                <w:w w:val="90"/>
              </w:rPr>
              <w:t>(800) 331-0852</w:t>
            </w: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6"/>
        </w:trPr>
        <w:tc>
          <w:tcPr>
            <w:tcW w:w="3520" w:type="dxa"/>
            <w:vAlign w:val="bottom"/>
          </w:tcPr>
          <w:p>
            <w:pPr>
              <w:spacing w:after="0"/>
              <w:rPr>
                <w:sz w:val="16"/>
                <w:szCs w:val="16"/>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20" w:type="dxa"/>
            <w:vAlign w:val="bottom"/>
          </w:tcPr>
          <w:p>
            <w:pPr>
              <w:spacing w:after="0"/>
              <w:rPr>
                <w:sz w:val="16"/>
                <w:szCs w:val="16"/>
                <w:color w:val="auto"/>
              </w:rPr>
            </w:pPr>
          </w:p>
        </w:tc>
      </w:tr>
      <w:tr>
        <w:trPr>
          <w:trHeight w:val="134"/>
        </w:trPr>
        <w:tc>
          <w:tcPr>
            <w:tcW w:w="4060" w:type="dxa"/>
            <w:vAlign w:val="bottom"/>
            <w:gridSpan w:val="2"/>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318"/>
        </w:trPr>
        <w:tc>
          <w:tcPr>
            <w:tcW w:w="71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20" w:type="dxa"/>
            <w:vAlign w:val="bottom"/>
          </w:tcPr>
          <w:p>
            <w:pPr>
              <w:spacing w:after="0"/>
              <w:rPr>
                <w:sz w:val="24"/>
                <w:szCs w:val="24"/>
                <w:color w:val="auto"/>
              </w:rPr>
            </w:pPr>
          </w:p>
        </w:tc>
      </w:tr>
      <w:tr>
        <w:trPr>
          <w:trHeight w:val="319"/>
        </w:trPr>
        <w:tc>
          <w:tcPr>
            <w:tcW w:w="3520" w:type="dxa"/>
            <w:vAlign w:val="bottom"/>
          </w:tcPr>
          <w:p>
            <w:pPr>
              <w:jc w:val="center"/>
              <w:ind w:right="658"/>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4"/>
                <w:szCs w:val="24"/>
                <w:color w:val="auto"/>
              </w:rPr>
            </w:pPr>
          </w:p>
        </w:tc>
        <w:tc>
          <w:tcPr>
            <w:tcW w:w="31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Trading Symbol</w:t>
            </w:r>
          </w:p>
        </w:tc>
        <w:tc>
          <w:tcPr>
            <w:tcW w:w="3220" w:type="dxa"/>
            <w:vAlign w:val="bottom"/>
          </w:tcPr>
          <w:p>
            <w:pPr>
              <w:jc w:val="center"/>
              <w:ind w:left="340"/>
              <w:spacing w:after="0"/>
              <w:rPr>
                <w:sz w:val="20"/>
                <w:szCs w:val="20"/>
                <w:color w:val="auto"/>
              </w:rPr>
            </w:pPr>
            <w:r>
              <w:rPr>
                <w:rFonts w:ascii="Arial" w:cs="Arial" w:eastAsia="Arial" w:hAnsi="Arial"/>
                <w:sz w:val="18"/>
                <w:szCs w:val="18"/>
                <w:color w:val="auto"/>
                <w:w w:val="89"/>
              </w:rPr>
              <w:t>Name of exchange on which registered</w:t>
            </w:r>
          </w:p>
        </w:tc>
      </w:tr>
      <w:tr>
        <w:trPr>
          <w:trHeight w:val="182"/>
        </w:trPr>
        <w:tc>
          <w:tcPr>
            <w:tcW w:w="3520" w:type="dxa"/>
            <w:vAlign w:val="bottom"/>
          </w:tcPr>
          <w:p>
            <w:pPr>
              <w:jc w:val="center"/>
              <w:ind w:right="658"/>
              <w:spacing w:after="0"/>
              <w:rPr>
                <w:sz w:val="20"/>
                <w:szCs w:val="20"/>
                <w:color w:val="auto"/>
              </w:rPr>
            </w:pPr>
            <w:r>
              <w:rPr>
                <w:rFonts w:ascii="Arial" w:cs="Arial" w:eastAsia="Arial" w:hAnsi="Arial"/>
                <w:sz w:val="14"/>
                <w:szCs w:val="14"/>
                <w:color w:val="auto"/>
                <w:w w:val="91"/>
              </w:rPr>
              <w:t>Common Stock, par value $.001 per share</w:t>
            </w:r>
          </w:p>
        </w:tc>
        <w:tc>
          <w:tcPr>
            <w:tcW w:w="540" w:type="dxa"/>
            <w:vAlign w:val="bottom"/>
          </w:tcPr>
          <w:p>
            <w:pPr>
              <w:spacing w:after="0"/>
              <w:rPr>
                <w:sz w:val="15"/>
                <w:szCs w:val="15"/>
                <w:color w:val="auto"/>
              </w:rPr>
            </w:pPr>
          </w:p>
        </w:tc>
        <w:tc>
          <w:tcPr>
            <w:tcW w:w="3120" w:type="dxa"/>
            <w:vAlign w:val="bottom"/>
            <w:gridSpan w:val="2"/>
          </w:tcPr>
          <w:p>
            <w:pPr>
              <w:jc w:val="center"/>
              <w:ind w:right="840"/>
              <w:spacing w:after="0"/>
              <w:rPr>
                <w:sz w:val="20"/>
                <w:szCs w:val="20"/>
                <w:color w:val="auto"/>
              </w:rPr>
            </w:pPr>
            <w:r>
              <w:rPr>
                <w:rFonts w:ascii="Arial" w:cs="Arial" w:eastAsia="Arial" w:hAnsi="Arial"/>
                <w:sz w:val="14"/>
                <w:szCs w:val="14"/>
                <w:color w:val="auto"/>
              </w:rPr>
              <w:t>AOBC</w:t>
            </w:r>
          </w:p>
        </w:tc>
        <w:tc>
          <w:tcPr>
            <w:tcW w:w="3220" w:type="dxa"/>
            <w:vAlign w:val="bottom"/>
          </w:tcPr>
          <w:p>
            <w:pPr>
              <w:jc w:val="center"/>
              <w:ind w:left="360"/>
              <w:spacing w:after="0"/>
              <w:rPr>
                <w:sz w:val="20"/>
                <w:szCs w:val="20"/>
                <w:color w:val="auto"/>
              </w:rPr>
            </w:pPr>
            <w:r>
              <w:rPr>
                <w:rFonts w:ascii="Arial" w:cs="Arial" w:eastAsia="Arial" w:hAnsi="Arial"/>
                <w:sz w:val="14"/>
                <w:szCs w:val="14"/>
                <w:color w:val="auto"/>
                <w:w w:val="93"/>
              </w:rPr>
              <w:t>Nasdaq Global Select Market</w:t>
            </w:r>
          </w:p>
        </w:tc>
      </w:tr>
    </w:tbl>
    <w:p>
      <w:pPr>
        <w:spacing w:after="0" w:line="92"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87" w:lineRule="exact"/>
        <w:rPr>
          <w:sz w:val="24"/>
          <w:szCs w:val="24"/>
          <w:color w:val="auto"/>
        </w:rPr>
      </w:pPr>
    </w:p>
    <w:p>
      <w:pPr>
        <w:ind w:right="4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registrant had 55,068,297 shares of common stock, par value $0.001, outstanding as of March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6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rPr>
              <w:t>AMERICAN OUTDOOR BRANDS CORPORATION</w:t>
            </w:r>
          </w:p>
        </w:tc>
        <w:tc>
          <w:tcPr>
            <w:tcW w:w="168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w w:val="94"/>
              </w:rPr>
              <w:t>Quarterly Report on Form 10-Q</w:t>
            </w:r>
          </w:p>
        </w:tc>
        <w:tc>
          <w:tcPr>
            <w:tcW w:w="168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0" w:type="dxa"/>
            <w:vAlign w:val="bottom"/>
            <w:gridSpan w:val="5"/>
          </w:tcPr>
          <w:p>
            <w:pPr>
              <w:jc w:val="center"/>
              <w:ind w:right="1440"/>
              <w:spacing w:after="0"/>
              <w:rPr>
                <w:sz w:val="20"/>
                <w:szCs w:val="20"/>
                <w:color w:val="auto"/>
              </w:rPr>
            </w:pPr>
            <w:r>
              <w:rPr>
                <w:rFonts w:ascii="Arial" w:cs="Arial" w:eastAsia="Arial" w:hAnsi="Arial"/>
                <w:sz w:val="18"/>
                <w:szCs w:val="18"/>
                <w:b w:val="1"/>
                <w:bCs w:val="1"/>
                <w:color w:val="auto"/>
                <w:w w:val="91"/>
              </w:rPr>
              <w:t>For the Three and Nine Months Ended January 31, 2020 and 2019</w:t>
            </w:r>
          </w:p>
        </w:tc>
        <w:tc>
          <w:tcPr>
            <w:tcW w:w="168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w w:val="98"/>
              </w:rPr>
              <w:t>TABLE OF CONTENTS</w:t>
            </w:r>
          </w:p>
        </w:tc>
        <w:tc>
          <w:tcPr>
            <w:tcW w:w="1680" w:type="dxa"/>
            <w:vAlign w:val="bottom"/>
          </w:tcPr>
          <w:p>
            <w:pPr>
              <w:spacing w:after="0"/>
              <w:rPr>
                <w:sz w:val="24"/>
                <w:szCs w:val="24"/>
                <w:color w:val="auto"/>
              </w:rPr>
            </w:pPr>
          </w:p>
        </w:tc>
      </w:tr>
      <w:tr>
        <w:trPr>
          <w:trHeight w:val="419"/>
        </w:trPr>
        <w:tc>
          <w:tcPr>
            <w:tcW w:w="31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600" w:type="dxa"/>
            <w:vAlign w:val="bottom"/>
            <w:gridSpan w:val="5"/>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646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24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0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4520" w:type="dxa"/>
            <w:vAlign w:val="bottom"/>
            <w:gridSpan w:val="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00" w:type="dxa"/>
            <w:vAlign w:val="bottom"/>
          </w:tcPr>
          <w:p>
            <w:pPr>
              <w:spacing w:after="0"/>
              <w:rPr>
                <w:sz w:val="17"/>
                <w:szCs w:val="17"/>
                <w:color w:val="auto"/>
              </w:rPr>
            </w:pPr>
          </w:p>
        </w:tc>
        <w:tc>
          <w:tcPr>
            <w:tcW w:w="944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6900" w:type="dxa"/>
            <w:vAlign w:val="bottom"/>
            <w:gridSpan w:val="6"/>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30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7540" w:type="dxa"/>
            <w:vAlign w:val="bottom"/>
            <w:gridSpan w:val="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00" w:type="dxa"/>
            <w:vAlign w:val="bottom"/>
          </w:tcPr>
          <w:p>
            <w:pPr>
              <w:spacing w:after="0"/>
              <w:rPr>
                <w:sz w:val="17"/>
                <w:szCs w:val="17"/>
                <w:color w:val="auto"/>
              </w:rPr>
            </w:pPr>
          </w:p>
        </w:tc>
        <w:tc>
          <w:tcPr>
            <w:tcW w:w="944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6"/>
          </w:tcPr>
          <w:p>
            <w:pPr>
              <w:spacing w:after="0"/>
              <w:rPr>
                <w:sz w:val="17"/>
                <w:szCs w:val="17"/>
                <w:color w:val="auto"/>
              </w:rPr>
            </w:pPr>
          </w:p>
        </w:tc>
        <w:tc>
          <w:tcPr>
            <w:tcW w:w="4540" w:type="dxa"/>
            <w:vAlign w:val="bottom"/>
            <w:gridSpan w:val="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37"/>
        </w:trPr>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EX-31.1</w:t>
            </w:r>
          </w:p>
        </w:tc>
        <w:tc>
          <w:tcPr>
            <w:tcW w:w="8980" w:type="dxa"/>
            <w:vAlign w:val="bottom"/>
            <w:gridSpan w:val="10"/>
          </w:tcPr>
          <w:p>
            <w:pPr>
              <w:spacing w:after="0"/>
              <w:rPr>
                <w:sz w:val="20"/>
                <w:szCs w:val="20"/>
                <w:color w:val="auto"/>
              </w:rPr>
            </w:pPr>
          </w:p>
        </w:tc>
        <w:tc>
          <w:tcPr>
            <w:tcW w:w="16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EX-32.4</w:t>
      </w:r>
    </w:p>
    <w:p>
      <w:pPr>
        <w:spacing w:after="0" w:line="21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Laserlyte®, Key Gear®, U-Dig-It®, Bubba®, Bubba Blade®, One Cut and You’re Through®, Gemtech®, G-Core®, Halo®, Integra®, World Class Silencers®, LiNQ®, Stinky Bubba®, and Turkinator™ are some of the registered U.S. trademarks of our company or one of our subsidiaries. American Outdoor Brands Corporation</w:t>
      </w:r>
      <w:r>
        <w:rPr>
          <w:rFonts w:ascii="Arial" w:cs="Arial" w:eastAsia="Arial" w:hAnsi="Arial"/>
          <w:sz w:val="14"/>
          <w:szCs w:val="14"/>
          <w:color w:val="auto"/>
        </w:rPr>
        <w:t>SM</w:t>
      </w:r>
      <w:r>
        <w:rPr>
          <w:rFonts w:ascii="Arial" w:cs="Arial" w:eastAsia="Arial" w:hAnsi="Arial"/>
          <w:sz w:val="17"/>
          <w:szCs w:val="17"/>
          <w:color w:val="auto"/>
        </w:rPr>
        <w:t>,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56"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assessments that we make about determining segments and reporting units; the features of our outstanding debt; estimated amortization expense of intangible assets for future periods; the outcome of the lawsuits to which we are subject and their effect on us; the proposed spin-off, including the timing and purpose thereof and the expected restructuring charges, our belief that inventory levels, both internally and in the distribution channel, in excess of demand, may negatively impact future operating results; our belief that it is difficult to forecast the potential impact of distributor inventories on future revenue and income as demand is impacted by many factors, including seasonality, new product introductions, news events, political events, and consumer tastes; our assessment of consumer demand and factors that stimulate demand for our products; the effect on our business of various factors, including terrorism and the level of political pressures on firearm laws and regulations; expected inventory levels for future periods; future investments for capital expenditures; future products and product developments; the features, quality, and performance of our products; the success of particular product or marketing programs; our market share and factors that affect our market share; liquidity and anticipated cash needs and availability; the likelihood of reaching the maximum per occurrence self-insurance limit; our expectation that the majority of revenue from the outstanding performance obligations as of January 31, 2020 will be recognized during fiscal 2020; the expectation that the $3.1 million of unrecognized compensation expense related to unvested RSUs and PSUs will be recognized over a weighted average remaining contractual term of 1.3 years; our belief that our percentage increase in sales in handguns likely did not match NICS as a result of a combination of reporting changes in certain states, timing related to new product introductions, and fulfillment of consumer demand out of channel inventory, particularly by several key strategic retailers; our plan to rely on the national logistics facility in Boone County, Missouri for substantially all of our product distribution; the potential exposure to credit and market risks, including, but not limited to, the failure of any counterparty to perform under the terms of the derivative contract or the adverse effect on the value of the financial instrument resulting from a change in interest rates; our belief we are maintaining handgun market share; the increase to our fourth quarter general and administrative expenses because of the separation agreement with our former President and Chief Executive Officer; our belief that our inventory levels will allow us to mitigate some of the impact of the coronavirus to our business in the short term; and our belief that our percentage decrease in sales likely did not match NICS because of a combination of ongoing disruptive pricing pressure in the market for our modern sporting rifles as well as the reasons described above in our comparison of handgun NICS.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the completion of our proposed spin-off and the operations and performance of the two separate companies thereafter; our ability to maintain and enhance brand recognition and reputation; risks associated with the establishment of our new 632,000 square foot national logistics facility including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our Annual Report on Form 10-K for the fiscal year ended April 30, 2019, filed with the SEC on 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BALANCE SHEETS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9"/>
              </w:rPr>
              <w:t>January 31, 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April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6"/>
          </w:tcPr>
          <w:p>
            <w:pPr>
              <w:jc w:val="right"/>
              <w:ind w:right="500"/>
              <w:spacing w:after="0"/>
              <w:rPr>
                <w:sz w:val="20"/>
                <w:szCs w:val="20"/>
                <w:color w:val="auto"/>
              </w:rPr>
            </w:pPr>
            <w:r>
              <w:rPr>
                <w:rFonts w:ascii="Arial" w:cs="Arial" w:eastAsia="Arial" w:hAnsi="Arial"/>
                <w:sz w:val="14"/>
                <w:szCs w:val="14"/>
                <w:color w:val="auto"/>
                <w:w w:val="96"/>
              </w:rPr>
              <w:t>(In thousands, except par value and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46,101</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$2,010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January 31, 2020 and $1,899 on April 30,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101,822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84,907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78,346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808,147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31,843</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deferred 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payroll and incentives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profit sharing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Current portion of notes and loans payable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95,335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Notes and loans payable, net of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Finance lease payable, net of current portion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40,202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357,648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20,000,000 shares authorized, no shares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Common stock, $.001 par value, 100,000,000 shares authorized, 73,234,996 issued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and 55,068,134 shares outstanding on January 31, 2020 and 72,863,624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issued and 54,696,762 shares outstanding on April 30,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407,862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Treasury stock, at cost (18,166,862 shares on January 31, 2020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April 30,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(222,375)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(222,375)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450,499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808,147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left="260" w:right="1140"/>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INCOME/(LOSS) AND COMPREHENSIVE INCOME/(LOSS)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For the Three Months Ended January 31,</w:t>
            </w:r>
          </w:p>
        </w:tc>
        <w:tc>
          <w:tcPr>
            <w:tcW w:w="160" w:type="dxa"/>
            <w:vAlign w:val="bottom"/>
          </w:tcPr>
          <w:p>
            <w:pPr>
              <w:spacing w:after="0"/>
              <w:rPr>
                <w:sz w:val="14"/>
                <w:szCs w:val="14"/>
                <w:color w:val="auto"/>
              </w:rPr>
            </w:pPr>
          </w:p>
        </w:tc>
        <w:tc>
          <w:tcPr>
            <w:tcW w:w="29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For the Nine Months Ended January 31,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4"/>
                <w:szCs w:val="14"/>
                <w:color w:val="auto"/>
                <w:w w:val="97"/>
              </w:rPr>
              <w:t>(In thousands, except per share data)</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166,695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444,753</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Selling, marketing, and distribution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19,294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44,296</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136,430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income/(loss)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(expense)/income, net: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Other income/(expense), net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(2,548)</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(8,551)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(expense)/income, net</w:t>
            </w:r>
          </w:p>
        </w:tc>
        <w:tc>
          <w:tcPr>
            <w:tcW w:w="6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 before income taxes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loss on interest rate swap</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Other comprehensive loss, before income taxes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on other comprehensive loss</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net of tax</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FF0FC"/>
            </w:tcBorders>
            <w:vMerge w:val="continue"/>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common shares</w:t>
            </w: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 OF CHANGES IN STOCKHOLDERS’ EQUITY (Unaudited)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8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w:t>
            </w: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40" w:type="dxa"/>
            <w:vAlign w:val="bottom"/>
            <w:gridSpan w:val="3"/>
          </w:tcPr>
          <w:p>
            <w:pPr>
              <w:jc w:val="right"/>
              <w:ind w:right="9"/>
              <w:spacing w:after="0"/>
              <w:rPr>
                <w:sz w:val="20"/>
                <w:szCs w:val="20"/>
                <w:color w:val="auto"/>
              </w:rPr>
            </w:pPr>
            <w:r>
              <w:rPr>
                <w:rFonts w:ascii="Arial" w:cs="Arial" w:eastAsia="Arial" w:hAnsi="Arial"/>
                <w:sz w:val="13"/>
                <w:szCs w:val="13"/>
                <w:b w:val="1"/>
                <w:bCs w:val="1"/>
                <w:color w:val="auto"/>
              </w:rPr>
              <w:t>Stock</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820" w:type="dxa"/>
            <w:vAlign w:val="bottom"/>
            <w:gridSpan w:val="5"/>
          </w:tcPr>
          <w:p>
            <w:pPr>
              <w:jc w:val="right"/>
              <w:ind w:right="539"/>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line="143" w:lineRule="exact"/>
              <w:rPr>
                <w:sz w:val="20"/>
                <w:szCs w:val="20"/>
                <w:color w:val="auto"/>
              </w:rPr>
            </w:pPr>
            <w:r>
              <w:rPr>
                <w:rFonts w:ascii="Arial" w:cs="Arial" w:eastAsia="Arial" w:hAnsi="Arial"/>
                <w:sz w:val="13"/>
                <w:szCs w:val="13"/>
                <w:color w:val="auto"/>
              </w:rPr>
              <w:t>(In thousands)</w:t>
            </w:r>
          </w:p>
        </w:tc>
        <w:tc>
          <w:tcPr>
            <w:tcW w:w="940" w:type="dxa"/>
            <w:vAlign w:val="bottom"/>
            <w:tcBorders>
              <w:top w:val="single" w:sz="8" w:color="auto"/>
            </w:tcBorders>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3" w:lineRule="exact"/>
              <w:rPr>
                <w:sz w:val="20"/>
                <w:szCs w:val="20"/>
                <w:color w:val="auto"/>
              </w:rPr>
            </w:pPr>
            <w:r>
              <w:rPr>
                <w:rFonts w:ascii="Arial" w:cs="Arial" w:eastAsia="Arial" w:hAnsi="Arial"/>
                <w:sz w:val="13"/>
                <w:szCs w:val="13"/>
                <w:b w:val="1"/>
                <w:bCs w:val="1"/>
                <w:color w:val="auto"/>
                <w:w w:val="86"/>
              </w:rPr>
              <w:t>Income/(Loss)</w:t>
            </w:r>
          </w:p>
        </w:tc>
        <w:tc>
          <w:tcPr>
            <w:tcW w:w="940" w:type="dxa"/>
            <w:vAlign w:val="bottom"/>
            <w:tcBorders>
              <w:top w:val="single" w:sz="8" w:color="auto"/>
            </w:tcBorders>
            <w:gridSpan w:val="2"/>
          </w:tcPr>
          <w:p>
            <w:pPr>
              <w:ind w:left="18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October 31, 2018</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72,706</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258,126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398,846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1,572</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436,242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of tax 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(617)</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Other (rounding)</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(5,725)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(5,725)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31, 2019</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72,715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260,212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393,122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431,987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Balance at April 30, 2018</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72,434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253,616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389,146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(222,375)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422,148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of tax 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(734)</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Impact of adoption of accounting standard updates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(4,610)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(4,610)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(632)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31, 2019</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72,715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260,212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393,122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431,987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Balance at October 31, 2019</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73,226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266,582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402,131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(222,375)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446,550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(1,672)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of tax 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(66)</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Balance at January 31, 2020</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73,235</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264,866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407,862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7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Balance at April 30, 2019</w:t>
            </w:r>
          </w:p>
        </w:tc>
        <w:tc>
          <w:tcPr>
            <w:tcW w:w="700" w:type="dxa"/>
            <w:vAlign w:val="bottom"/>
          </w:tcPr>
          <w:p>
            <w:pPr>
              <w:jc w:val="right"/>
              <w:spacing w:after="0"/>
              <w:rPr>
                <w:sz w:val="20"/>
                <w:szCs w:val="20"/>
                <w:color w:val="auto"/>
              </w:rPr>
            </w:pPr>
            <w:r>
              <w:rPr>
                <w:rFonts w:ascii="Arial" w:cs="Arial" w:eastAsia="Arial" w:hAnsi="Arial"/>
                <w:sz w:val="14"/>
                <w:szCs w:val="14"/>
                <w:color w:val="auto"/>
              </w:rPr>
              <w:t>72,864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263,180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402,946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(222,375)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444,444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line="143" w:lineRule="exact"/>
              <w:rPr>
                <w:sz w:val="20"/>
                <w:szCs w:val="20"/>
                <w:color w:val="auto"/>
              </w:rPr>
            </w:pPr>
            <w:r>
              <w:rPr>
                <w:rFonts w:ascii="Arial" w:cs="Arial" w:eastAsia="Arial" w:hAnsi="Arial"/>
                <w:sz w:val="14"/>
                <w:szCs w:val="14"/>
                <w:color w:val="auto"/>
              </w:rPr>
              <w:t>Change in unrealized loss on interest rate swap,</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net of tax effect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(547)</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31, 2020</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73,235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264,866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407,862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450,499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Nine Months Ended January 31,</w:t>
            </w: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4"/>
          </w:tcPr>
          <w:p>
            <w:pPr>
              <w:jc w:val="right"/>
              <w:ind w:right="105"/>
              <w:spacing w:after="0" w:line="155" w:lineRule="exact"/>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4,916</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8,586</w:t>
            </w:r>
          </w:p>
        </w:tc>
        <w:tc>
          <w:tcPr>
            <w:tcW w:w="120" w:type="dxa"/>
            <w:vAlign w:val="bottom"/>
          </w:tcPr>
          <w:p>
            <w:pPr>
              <w:spacing w:after="0"/>
              <w:rPr>
                <w:sz w:val="19"/>
                <w:szCs w:val="19"/>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(used in)/provided by operating</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39,624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Loss/(gain) on sale/disposition of assets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(1,033)</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Provision for losses on notes and accounts receivable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 impairment</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(1,519)</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(17,466)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(19,347)</w:t>
            </w: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(37,766)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(20,186)</w:t>
            </w: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payroll and incentives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5,815</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Accrued profit sharing</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deferred revenue</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(8,532)</w:t>
            </w: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Accrued warranty</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(1,550)</w:t>
            </w: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Other non-current liabilities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23"/>
        </w:trPr>
        <w:tc>
          <w:tcPr>
            <w:tcW w:w="6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in)/provided by operating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(1,791)</w:t>
            </w: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to acquire patents and software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to acquire property and equipment</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(11,751)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(25,989)</w:t>
            </w:r>
          </w:p>
        </w:tc>
      </w:tr>
      <w:tr>
        <w:trPr>
          <w:trHeight w:val="223"/>
        </w:trPr>
        <w:tc>
          <w:tcPr>
            <w:tcW w:w="6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loans and notes payable</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Cash paid for debt issuance costs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 obligation</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(1,025)</w:t>
            </w: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on notes and loans payable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(184,600)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(54,725)</w:t>
            </w: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options to acquire common stock, including employee</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purchase plan</w:t>
            </w: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FF0FC"/>
          </w:tcPr>
          <w:p>
            <w:pPr>
              <w:spacing w:after="0"/>
              <w:rPr>
                <w:sz w:val="20"/>
                <w:szCs w:val="20"/>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 of employee withholding tax related to restricted stock units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r>
      <w:tr>
        <w:trPr>
          <w:trHeight w:val="223"/>
        </w:trPr>
        <w:tc>
          <w:tcPr>
            <w:tcW w:w="6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by/(used in) financing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(11,390)</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48,860</w:t>
            </w:r>
          </w:p>
        </w:tc>
        <w:tc>
          <w:tcPr>
            <w:tcW w:w="12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37,470</w:t>
            </w:r>
          </w:p>
        </w:tc>
        <w:tc>
          <w:tcPr>
            <w:tcW w:w="12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Cash paid for: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w:t>
            </w: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5,755</w:t>
            </w:r>
          </w:p>
        </w:tc>
        <w:tc>
          <w:tcPr>
            <w:tcW w:w="160" w:type="dxa"/>
            <w:vAlign w:val="bottom"/>
          </w:tcPr>
          <w:p>
            <w:pPr>
              <w:spacing w:after="0"/>
              <w:rPr>
                <w:sz w:val="20"/>
                <w:szCs w:val="20"/>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6,885</w:t>
            </w:r>
          </w:p>
        </w:tc>
        <w:tc>
          <w:tcPr>
            <w:tcW w:w="120" w:type="dxa"/>
            <w:vAlign w:val="bottom"/>
          </w:tcPr>
          <w:p>
            <w:pPr>
              <w:spacing w:after="0"/>
              <w:rPr>
                <w:sz w:val="20"/>
                <w:szCs w:val="20"/>
                <w:color w:val="auto"/>
              </w:rPr>
            </w:pPr>
          </w:p>
        </w:tc>
      </w:tr>
      <w:tr>
        <w:trPr>
          <w:trHeight w:val="647"/>
        </w:trPr>
        <w:tc>
          <w:tcPr>
            <w:tcW w:w="6980" w:type="dxa"/>
            <w:vAlign w:val="bottom"/>
          </w:tcPr>
          <w:p>
            <w:pPr>
              <w:ind w:left="566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6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left="260" w:right="246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 (Continued) (Unaudited)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For the Nine Months Ended January 31,</w:t>
            </w:r>
          </w:p>
        </w:tc>
      </w:tr>
      <w:tr>
        <w:trPr>
          <w:trHeight w:val="156"/>
        </w:trPr>
        <w:tc>
          <w:tcPr>
            <w:tcW w:w="6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20" w:type="dxa"/>
            <w:vAlign w:val="bottom"/>
            <w:gridSpan w:val="2"/>
          </w:tcPr>
          <w:p>
            <w:pPr>
              <w:jc w:val="center"/>
              <w:ind w:left="32"/>
              <w:spacing w:after="0" w:line="155" w:lineRule="exact"/>
              <w:rPr>
                <w:sz w:val="20"/>
                <w:szCs w:val="20"/>
                <w:color w:val="auto"/>
              </w:rPr>
            </w:pPr>
            <w:r>
              <w:rPr>
                <w:rFonts w:ascii="Arial" w:cs="Arial" w:eastAsia="Arial" w:hAnsi="Arial"/>
                <w:sz w:val="14"/>
                <w:szCs w:val="14"/>
                <w:color w:val="auto"/>
                <w:w w:val="93"/>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4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436</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funded by capital lease</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24,271</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24,271</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Changes in other assets for operating lease obligations</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11,821</w:t>
            </w:r>
          </w:p>
        </w:tc>
        <w:tc>
          <w:tcPr>
            <w:tcW w:w="5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Change in property and equipment for adoption of ASU 2016-02</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3,276</w:t>
            </w: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Changes in finance lease liabilities for the adoption of ASU 2016-02</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(4,245)</w:t>
            </w:r>
          </w:p>
        </w:tc>
        <w:tc>
          <w:tcPr>
            <w:tcW w:w="5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Changes in lease liabilities for operating lease obligations</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98"/>
              </w:rPr>
              <w:t>12,790</w:t>
            </w: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our Outdoor Products &amp; Accessories segment, we design, source, distribute, and manufacture reloading, gunsmithing, and gun cleaning supplies; high-quality stainless steel cutting tools and accessories; flashlights; tree saws and related trimming accessories; shooting supplies, rests, and other related accessories; fishing accessories; apparel; vault accessories; laser grips and laser sights; and a full range of products for survival and emergency preparedness. We sell our products under the Caldwell, Crimson Trace, Wheeler, Tipton, Frankford Arsenal, Schrade, Imperial, Uncle Henry, BUBBA, UST, Lockdown, Hooyman, BOG, Old Timer, LaserLyte, and KeyGear brands. We also offer firearms and non-firearms accessories, such as flashlights and knives, under our brands in our firearms business, including Smith &amp; Wesson, M&amp;P, Performance Center, and Thompson/Center Arms. We develop and market our outdoor products and accessories at our facilities in Columbia, Missouri and Wilsonville, Oregon.</w:t>
      </w:r>
    </w:p>
    <w:p>
      <w:pPr>
        <w:spacing w:after="0" w:line="21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On November 12, 2019, our Board of Directors approved proceeding with a plan to spin-off our outdoor products and accessories business as a tax-free stock dividend to our stockholders. Pending final approval of our Board of Directors, customary regulatory approvals, and tax and legal considerations, the spin-off is expected to be completed in the second half of calendar 2020 and would create two independent publicly traded companies: Smith &amp; Wesson Brands, Inc. (which would encompass our firearm business) and American Outdoor Brands, Inc. (which would encompass our outdoor products and accessories business).</w:t>
      </w:r>
    </w:p>
    <w:p>
      <w:pPr>
        <w:spacing w:after="0" w:line="18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purpose of the spin-off is to enable the management team of each company to focus on its specific strategies, including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connection with the proposed spin-off, we expect to incur restructuring charges of approximately $9.0 million to $12.0 million relating to legal, regulatory, and financial services, reorganization and restructuring costs, and start-up costs for the new company beginning in our second quarter of fiscal 2020 and concluding in the second half of calendar 2020. For the nine months ended January 31, 2020, we have recorded approximately $1.2 million of costs associated with the spin-off, which was recorded to general and administrative expenses in the condensed consolidated statements of income/(loss).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i w:val="1"/>
          <w:iCs w:val="1"/>
          <w:color w:val="auto"/>
        </w:rPr>
        <w:t xml:space="preserve">Interim Financial Information – </w:t>
      </w:r>
      <w:r>
        <w:rPr>
          <w:rFonts w:ascii="Arial" w:cs="Arial" w:eastAsia="Arial" w:hAnsi="Arial"/>
          <w:sz w:val="17"/>
          <w:szCs w:val="17"/>
          <w:color w:val="auto"/>
        </w:rPr>
        <w:t>The condensed consolidated balance sheet as of January 31, 2020, the condensed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income/(loss) and comprehensive income/(loss) for the three and nine months ended January 31, 2020 and 2019, the condensed consolidated statement of changes in stockholders’ equity for the nine months ended January 31, 2020 and 2019, and the condensed consolidated statements of cash flows for the nine months ended January 31, 2020 and 2019 have been prepared by us without audit. In our opinion, all adjustments, which include only normal recurring adjustments necessary to fairly present the financial position, results of operations, changes in stockholders’ equity, and cash flows at January 31, 2020 and for the periods presented, have been included. All intercompany transactions have been eliminated in consolidation. The consolidated balance sheet as of April 30, 2019 has been derived from our audited consolidated financial statements.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2019. The results of operations for the nine months ended January 31, 2020 may not be indicative of the results that may be expected for the year ending April 30, 2020, or any other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280" w:firstLine="518"/>
        <w:spacing w:after="0" w:line="259"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We recognize revenue in accordance with the provisions of Accounting Standards Update, or ASU,</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became effective for us on May 1, 2018. Generally, all performance obligations are satisfied and revenue is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risks and rewards of ownership have transferred to the customer, which is generally upon shipment but could be delayed until the receipt of customer acceptance.</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that entitle customers to receive free goods based upon their purchase of our products. The fulfillment of these free goods is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proportionally as each performance obligation is satisfied, based on the relative transaction price of each product. The net change in contract liabilities for a given period is reported as an increase or decrease to sales.</w:t>
      </w:r>
    </w:p>
    <w:p>
      <w:pPr>
        <w:spacing w:after="0" w:line="19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Our product sales are generally sold free on board, or FOB, shipping point and provide payment terms to most commercial customers ranging from 20 to 90 days of product shipment with a discount available in certain cases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6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i w:val="1"/>
          <w:iCs w:val="1"/>
          <w:color w:val="auto"/>
        </w:rPr>
        <w:t xml:space="preserve">Insurance Reserves </w:t>
      </w:r>
      <w:r>
        <w:rPr>
          <w:rFonts w:ascii="Arial" w:cs="Arial" w:eastAsia="Arial" w:hAnsi="Arial"/>
          <w:sz w:val="17"/>
          <w:szCs w:val="17"/>
          <w:color w:val="auto"/>
        </w:rPr>
        <w:t>— In January 2020, we formed a wholly owned captive insurance company, SW Insurance Company, which provides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insurance to us and our subsidiaries. This captive insurance company was recorded in our condensed consolidated financial statements for the three and nine months ended January 31, 2020. We are self-insured through retentions or deductibles for the majority of our workers’ compensation, automobile, general liability, product liability, and group health insurance programs. Self-insurance amounts vary up to $10.0 million per occurrence; however, we believe the likelihood of reaching the maximum per occurrence limit is remote. We record our liability for estimated premiums and incurred losses in the accompanying consolidated financial statements on an undiscounted basis.</w:t>
      </w:r>
    </w:p>
    <w:p>
      <w:pPr>
        <w:spacing w:after="0" w:line="17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Recently Issued Accounting Standards – </w:t>
      </w:r>
      <w:r>
        <w:rPr>
          <w:rFonts w:ascii="Arial" w:cs="Arial" w:eastAsia="Arial" w:hAnsi="Arial"/>
          <w:sz w:val="17"/>
          <w:szCs w:val="17"/>
          <w:color w:val="auto"/>
        </w:rPr>
        <w:t>In February 2016, the Financial Accounting Standards Board, or FASB, issued ASU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842), or ASU 2016-02, which amends the existing guidance to require lessees to recognize right-of-use assets and lease liabilities in a classified balance sheet. The most prominent among the changes in the standard is the requirement for lessees to recognize right-of-use assets and lease liabilities for those leases classified as operating leases under current GAAP. The requirements of ASU 2016-02 are effective for financial statements for annual periods beginning after December 15, 2018, and early adoption is permitted. We utilized leasing software to assist us in the accounting and tracking of leases and used the optional transitional method allowed by ASU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Targeted Improvements. Under this method, we applied the standard using the modified retrospective method with an adoption date of May 1, 2019. We elected to use the package of practical expedients, which permits us to not reassess certain lease contract provisions. We adopted ASU 2016-02 effective May 1, 2019 and recognized right-of-use assets of $11.5 million and lease liabilities of $12.8 million. The difference between the right-of-use assets and the lease liabilities of $1.3 million is a result of the reclassification of deferred rent and lease incentive liabilities primarily relating to our real estate operating leases into the right-of use assets, which had no impact to retained earnings. See also Note 3 — </w:t>
      </w:r>
      <w:r>
        <w:rPr>
          <w:rFonts w:ascii="Arial" w:cs="Arial" w:eastAsia="Arial" w:hAnsi="Arial"/>
          <w:sz w:val="17"/>
          <w:szCs w:val="17"/>
          <w:i w:val="1"/>
          <w:iCs w:val="1"/>
          <w:color w:val="auto"/>
        </w:rPr>
        <w:t>Leases</w:t>
      </w:r>
      <w:r>
        <w:rPr>
          <w:rFonts w:ascii="Arial" w:cs="Arial" w:eastAsia="Arial" w:hAnsi="Arial"/>
          <w:sz w:val="17"/>
          <w:szCs w:val="17"/>
          <w:color w:val="auto"/>
        </w:rPr>
        <w:t>, for more information.</w:t>
      </w:r>
    </w:p>
    <w:p>
      <w:pPr>
        <w:spacing w:after="0" w:line="18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June 2016, the FASB issued ASU 2016-13, Financial Instruments — </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(Topic 326): Measurement of Credit Losses on Financial Instruments. The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While we are currently evaluating the impact this standard will have on our consolidated financial statements, we do not expect the impact to be material.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lease certain of our real estate, machinery, photocopiers, and vehicles under non-cancelable operating lease agreements.</w:t>
      </w:r>
    </w:p>
    <w:p>
      <w:pPr>
        <w:spacing w:after="0" w:line="22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73"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Many of our leases include renewal options that can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amounts of assets and liabilities related to our operating and financing leases as of January 31, 2020 were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940" w:type="dxa"/>
            <w:vAlign w:val="bottom"/>
            <w:gridSpan w:val="2"/>
          </w:tcPr>
          <w:p>
            <w:pPr>
              <w:ind w:left="1180"/>
              <w:spacing w:after="0"/>
              <w:rPr>
                <w:sz w:val="20"/>
                <w:szCs w:val="20"/>
                <w:color w:val="auto"/>
              </w:rPr>
            </w:pPr>
            <w:r>
              <w:rPr>
                <w:rFonts w:ascii="Arial" w:cs="Arial" w:eastAsia="Arial" w:hAnsi="Arial"/>
                <w:sz w:val="14"/>
                <w:szCs w:val="14"/>
                <w:b w:val="1"/>
                <w:bCs w:val="1"/>
                <w:color w:val="auto"/>
              </w:rPr>
              <w:t>Balance Sheet Caption</w:t>
            </w:r>
          </w:p>
        </w:tc>
        <w:tc>
          <w:tcPr>
            <w:tcW w:w="22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3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Right-of-use assets</w:t>
            </w: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3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Right-of-use assets, net</w:t>
            </w:r>
          </w:p>
        </w:tc>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3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394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lease liabilities</w:t>
            </w:r>
          </w:p>
        </w:tc>
        <w:tc>
          <w:tcPr>
            <w:tcW w:w="37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3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Right-of-use assets</w:t>
            </w: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3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Right-of-use assets, net</w:t>
            </w:r>
          </w:p>
        </w:tc>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3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394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payable, net of current portion</w:t>
            </w: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During the three months ended January 31, 2019, we recorded $1.1 million of operating lease costs, of which $293,000 relates to short-term leases, and not recorded as right-of-use assets. We recorded $526,000 of financing lease amortization, and $515,000 was financing lease interest expense during the three months ended January 31, 2020. During the nine months ended January 31, 2020, we recorded $2.8 million of operating lease costs, of which $772,000 relates to short-term leases, and not recorded as right-of-use assets. We recorded $1.6 million of financing lease amortization, and $1.6 million of financing lease interest expense during the nine months ended January 31, 2020. As of January 31, 2020, our weighted average lease term and weighted average discount rate for our operating leases was 4.2 years and 4.4%, respectively. As of January 31, 2020, our weighted average lease term and weighted average discount rate for our financing leases was 18.7 years and 5.0%, respectively, and consisted primarily of our national logistics facility located in Columbia, Missouri. The depreciable lives of right-of-use assets are limited by the lease term and are amortized on a straight-line basis over the life of the 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Financing</w:t>
            </w:r>
          </w:p>
        </w:tc>
        <w:tc>
          <w:tcPr>
            <w:tcW w:w="28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6,141</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48,853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shd w:val="clear" w:color="auto" w:fill="CFF0FC"/>
          </w:tcPr>
          <w:p>
            <w:pPr>
              <w:spacing w:after="0"/>
              <w:rPr>
                <w:sz w:val="19"/>
                <w:szCs w:val="19"/>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77,458</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(25,396)</w:t>
            </w:r>
          </w:p>
        </w:tc>
        <w:tc>
          <w:tcPr>
            <w:tcW w:w="100" w:type="dxa"/>
            <w:vAlign w:val="bottom"/>
            <w:shd w:val="clear" w:color="auto" w:fill="CFF0FC"/>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Present value of lease payments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52,062</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 of lease liabilities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(2,731)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(3,702)</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Long-term maturities of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48,360</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During the three and nine months ended January 31, 2020, the cash paid for amounts included in the measurement of the liabilities and the operating cash flows was $1.5 million and $4.3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 and Contracts with Customers: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 xml:space="preserve">On May 1, 2018, we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or ASU 2014-09, using the modified retrospective approach, and recorded a contract liability, included in accrued expenses in the condensed consolidated balance sheet, for outstanding performance obligations related to sales promotions. When evaluating our performance obligations, we disaggregate revenue based on major product lines, which correlate with our reportable segments disclosed in Note 12 —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Also, domestic sales account for approximately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6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outlines the impact of the adoption of ASU 2014-09 on revenue recognized during the nine-month periods ended January 31, 2020 and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performance obligations at beginning of period</w:t>
            </w:r>
          </w:p>
        </w:tc>
        <w:tc>
          <w:tcPr>
            <w:tcW w:w="1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Revenue recognized</w:t>
            </w: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(14,571)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(13,998)</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Revenue deferred</w:t>
            </w:r>
          </w:p>
        </w:tc>
        <w:tc>
          <w:tcPr>
            <w:tcW w:w="17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FF0FC"/>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Outstanding performance obligations at July 31</w:t>
            </w: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13,621</w:t>
            </w:r>
          </w:p>
        </w:tc>
        <w:tc>
          <w:tcPr>
            <w:tcW w:w="12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(7,716)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(12,337)</w:t>
            </w: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deferred</w:t>
            </w:r>
          </w:p>
        </w:tc>
        <w:tc>
          <w:tcPr>
            <w:tcW w:w="1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Outstanding performance obligations as of October 31</w:t>
            </w:r>
          </w:p>
        </w:tc>
        <w:tc>
          <w:tcPr>
            <w:tcW w:w="1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12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Revenue recognized</w:t>
            </w: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(10,229)</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Revenue deferred</w:t>
            </w:r>
          </w:p>
        </w:tc>
        <w:tc>
          <w:tcPr>
            <w:tcW w:w="17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9,064</w:t>
            </w:r>
          </w:p>
        </w:tc>
        <w:tc>
          <w:tcPr>
            <w:tcW w:w="120" w:type="dxa"/>
            <w:vAlign w:val="bottom"/>
            <w:shd w:val="clear" w:color="auto" w:fill="CFF0FC"/>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Outstanding performance obligations as of January 31</w:t>
            </w:r>
          </w:p>
        </w:tc>
        <w:tc>
          <w:tcPr>
            <w:tcW w:w="176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nine months ended January 31, 2020, we recognized $31.8 million of deferred revenue, of which $10.5 million was previously deferred as of April 30, 2019, as the performance obligations relating to sales promotions were satisfied. This recognition of revenue was partially offset by $26.7 million of additional deferred revenue for outstanding performance obligations relating to sales promotions that have not been satisfied, which was recorded to accrued expenses and deferred revenue in the condensed consolidated balance sheet. This resulted in a $5.1 million net increase in revenue recognized during the nine months ended January 31, 2020. We estimate that the majority of revenue from the outstanding performance obligations as of January 31, 2020 will be recognized during fiscal 2020.</w:t>
      </w:r>
    </w:p>
    <w:p>
      <w:pPr>
        <w:spacing w:after="0" w:line="19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During the nine months ended January 31, 2019, we recognized $36.6 million, of which $22.6 million was previously deferred as of May 1, 2018, the date we adopted ASU 2014-09, as the performance obligations relating to sales promotions were satisfied. This recognition of revenue was partially offset by $21.0 million of additional deferred revenue for outstanding performance obligations relating to sales promotions that have not been satisfied, which was recorded to accrued expenses and deferred revenue in the condensed consolidated balance sheet. This resulted in a $15.5 million net increase in revenue during the nine months ended January 31,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carrying amount of goodwill for the three and nine months ended January 31, 2020 by reporting segment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Outdoor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Products &amp;</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Firearms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Accessories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4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2019</w:t>
            </w:r>
          </w:p>
        </w:tc>
        <w:tc>
          <w:tcPr>
            <w:tcW w:w="2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Adjustments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July 31, 2019</w:t>
            </w:r>
          </w:p>
        </w:tc>
        <w:tc>
          <w:tcPr>
            <w:tcW w:w="2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Adjustments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October 31, 2019</w:t>
            </w:r>
          </w:p>
        </w:tc>
        <w:tc>
          <w:tcPr>
            <w:tcW w:w="2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Adjustments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31, 2020</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more detail on segment financial information.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intangible assets as of January 31, 2020 and April 30,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January 31, 2020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30, 2019</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 Carrying</w:t>
            </w:r>
          </w:p>
        </w:tc>
      </w:t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(41,643)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(10,428)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(32,859)</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(28,479)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28,998</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173,273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(96,302)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(81,700)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174,318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(96,302)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(81,700)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(96,302</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(81,700</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0" w:firstLine="518"/>
        <w:spacing w:after="0" w:line="276" w:lineRule="auto"/>
        <w:rPr>
          <w:sz w:val="20"/>
          <w:szCs w:val="20"/>
          <w:color w:val="auto"/>
        </w:rPr>
      </w:pPr>
      <w:r>
        <w:rPr>
          <w:rFonts w:ascii="Arial" w:cs="Arial" w:eastAsia="Arial" w:hAnsi="Arial"/>
          <w:sz w:val="17"/>
          <w:szCs w:val="17"/>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$4.8 million and $5.5 million for the three months ended January 31, 2020 and 2019, respectively. Amortization expense, excluding amortization of deferred financing costs, amounted to $14.4 million and $16.5 million for the nine months ended January 31, 2020 and 2019, respectively.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Estimated amortization expense of intangible assets for the remainder of fiscal 2020 and succeeding fiscal years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6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2021</w:t>
            </w:r>
          </w:p>
        </w:tc>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2023</w:t>
            </w:r>
          </w:p>
        </w:tc>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0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00" w:type="dxa"/>
            <w:vAlign w:val="bottom"/>
            <w:vMerge w:val="restart"/>
          </w:tcPr>
          <w:p>
            <w:pPr>
              <w:jc w:val="right"/>
              <w:ind w:right="331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0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Notes, Loans Payable, and Financing Arrangements:</w:t>
      </w:r>
    </w:p>
    <w:p>
      <w:pPr>
        <w:spacing w:after="0" w:line="12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June 15, 2015, we and certain of our domestic subsidiaries entered into an unsecured credit facility, or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TD Bank, N.A. and other lenders, or the Lenders, which included a $175.0 million revolving line of credit, or the Revolving Line, and a $105.0 million term loan, or the Term Loan. The Term Loan was paid in full on November 19, 2019 with proceeds from the Revolving Line.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On November 22, 2019, we entered into a fifth amendment to our Credit Agreement, or the Fifth Amendment, which, among other things, provides the Lenders’ consent to the spin-off of our outdoor products and accessories business, provided that certain financial conditions are satisfied, including (x) granting the Lenders security interest in the assets of the remaining business, (y) reducing the Revolving Line to $250.0 million at the time of the spin-off, and (z) reducing the option to expand the credit agreement to $50.0 million at the time of the spin-off. Other than the changes described in the Second and Fifth Amendments, we otherwise remain subject to the terms of the Credit Agreement, as described below.</w:t>
      </w:r>
    </w:p>
    <w:p>
      <w:pPr>
        <w:spacing w:after="0" w:line="18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January 31, 2020, we had $200.0 million of borrowings outstanding on the Revolving Line, which bore interest at 3.92%, which is equal to the LIBOR rate plus an applicable margin.</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that covered 100% of the $105.0 million of floating rate debt. On July 6, 2015, we executed an interest rate swap pursuant to such agreement, which required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was subject to change based on changes in our consolidated leverage ratio. In accordance with the repayment of the Term Loan on November 19, 2019, the interest rate swap was terminated resulting in a realized gain of approximately $40,000.</w:t>
      </w:r>
    </w:p>
    <w:p>
      <w:pPr>
        <w:spacing w:after="0" w:line="21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2020 Senior Notes </w:t>
      </w:r>
      <w:r>
        <w:rPr>
          <w:rFonts w:ascii="Arial" w:cs="Arial" w:eastAsia="Arial" w:hAnsi="Arial"/>
          <w:sz w:val="17"/>
          <w:szCs w:val="17"/>
          <w:color w:val="auto"/>
        </w:rPr>
        <w:t>– On February 28, 2018, we issued an aggregate of $75.0 million of the 2020 Senior Notes to various institutional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the terms and conditions of an indenture, or the 2020 Senior Notes Indenture, and purchase agreements. The 2020 Senior Notes bore interest at a rate of 5.000% per annum payable on February 28 and August 28 of each year, beginning on August 28, 2018. We incurred $158,000 of debt issuance costs related to the issuance of the 2020 Senior Notes. </w:t>
      </w:r>
      <w:r>
        <w:rPr>
          <w:rFonts w:ascii="Arial" w:cs="Arial" w:eastAsia="Arial" w:hAnsi="Arial"/>
          <w:sz w:val="17"/>
          <w:szCs w:val="17"/>
          <w:i w:val="1"/>
          <w:iCs w:val="1"/>
          <w:color w:val="auto"/>
        </w:rPr>
        <w:t>On January 6, 2020, or the Redemption Date, we redeemed 100% of the principal amount of the 2020 Senior</w:t>
      </w:r>
      <w:r>
        <w:rPr>
          <w:rFonts w:ascii="Arial" w:cs="Arial" w:eastAsia="Arial" w:hAnsi="Arial"/>
          <w:sz w:val="17"/>
          <w:szCs w:val="17"/>
          <w:color w:val="auto"/>
        </w:rPr>
        <w:t xml:space="preserve"> </w:t>
      </w:r>
      <w:r>
        <w:rPr>
          <w:rFonts w:ascii="Arial" w:cs="Arial" w:eastAsia="Arial" w:hAnsi="Arial"/>
          <w:sz w:val="17"/>
          <w:szCs w:val="17"/>
          <w:i w:val="1"/>
          <w:iCs w:val="1"/>
          <w:color w:val="auto"/>
        </w:rPr>
        <w:t>Notes, plus accrued and unpaid interest to, but not including, the Redemption Date, with proceeds from the Revolving Line. As part of the redemption, we wrote off $42,000 of debt issuance costs related to the 2020 Senior Notes.</w:t>
      </w:r>
    </w:p>
    <w:p>
      <w:pPr>
        <w:spacing w:after="0" w:line="17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January 31, 2020, we had outstanding letters of credit aggregating $2.5 million, which included a $1.5 million letter of credit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 our newly created captive insurance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3"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 at the measurement date (examples include active exchange-traded equity securities, listed derivatives, and most U.S. Government and agency securities).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4" w:name="page15"/>
    <w:bookmarkEnd w:id="14"/>
    <w:p>
      <w:pPr>
        <w:ind w:right="240" w:firstLine="518"/>
        <w:spacing w:after="0" w:line="277" w:lineRule="auto"/>
        <w:rPr>
          <w:sz w:val="20"/>
          <w:szCs w:val="20"/>
          <w:color w:val="auto"/>
        </w:rPr>
      </w:pPr>
      <w:r>
        <w:rPr>
          <w:rFonts w:ascii="Arial" w:cs="Arial" w:eastAsia="Arial" w:hAnsi="Arial"/>
          <w:sz w:val="18"/>
          <w:szCs w:val="18"/>
          <w:color w:val="auto"/>
        </w:rPr>
        <w:t>Our cash and cash equivalents, which are measured at fair value on a recurring basis, totaled $46.1 million and $41.0 million as of January 31, 2020 and April 30, 2019, respectively. We utilized Level 1 of the value hierarchy to determine the fair values of these assets.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of instruments with similar attributes in active markets. Level 2 inputs include the following:</w:t>
      </w:r>
    </w:p>
    <w:p>
      <w:pPr>
        <w:spacing w:after="0" w:line="62"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non-active markets (such as corporate and municipal bonds which trade infrequently);</w:t>
      </w:r>
    </w:p>
    <w:p>
      <w:pPr>
        <w:spacing w:after="0" w:line="140" w:lineRule="exact"/>
        <w:rPr>
          <w:rFonts w:ascii="Arial" w:cs="Arial" w:eastAsia="Arial" w:hAnsi="Arial"/>
          <w:sz w:val="16"/>
          <w:szCs w:val="16"/>
          <w:color w:val="auto"/>
        </w:rPr>
      </w:pPr>
    </w:p>
    <w:p>
      <w:pPr>
        <w:ind w:left="900" w:right="6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assumptions about the assumptions a market participant would use in pricing the asset or liability.</w:t>
      </w:r>
    </w:p>
    <w:p>
      <w:pPr>
        <w:spacing w:after="0" w:line="18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8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 xml:space="preserve">In connection with the Gemtech acquisition, up to a maximum of $17.1 million may be paid contingent upon the cumulative three-year sales volume of Gemtech products. The valuation of this contingent consideration liability was established in accordance with ASC 805 — </w:t>
      </w:r>
      <w:r>
        <w:rPr>
          <w:rFonts w:ascii="Arial" w:cs="Arial" w:eastAsia="Arial" w:hAnsi="Arial"/>
          <w:sz w:val="16"/>
          <w:szCs w:val="16"/>
          <w:i w:val="1"/>
          <w:iCs w:val="1"/>
          <w:color w:val="auto"/>
        </w:rPr>
        <w:t>Business Combinations</w:t>
      </w:r>
      <w:r>
        <w:rPr>
          <w:rFonts w:ascii="Arial" w:cs="Arial" w:eastAsia="Arial" w:hAnsi="Arial"/>
          <w:sz w:val="16"/>
          <w:szCs w:val="16"/>
          <w:color w:val="auto"/>
        </w:rPr>
        <w:t>. During the nine months ended January 31, 2020, we reduced the remaining fair value of this contingent liability by $100,000 to zero because we confirmed the performance metrics were not achieved. This reduction was recorded in other income on the condensed consolidated statements of income/(loss).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January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2019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January 31, 2020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 (a)</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142,449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Finished parts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201,536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4660" w:hanging="5234"/>
        <w:spacing w:after="0" w:line="528" w:lineRule="auto"/>
        <w:tabs>
          <w:tab w:leader="none" w:pos="7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finished goods inventory relates primarily to the Firearms segment.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Accrued Expenses and Deferred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January 31, 2020 and April 30,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2020</w:t>
            </w:r>
          </w:p>
        </w:tc>
        <w:tc>
          <w:tcPr>
            <w:tcW w:w="24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7,103</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Accrued rebates and promotions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taxes other than income</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Right-of-use lease liabilities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distributor incentives</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Accrued commissions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Current portion of capital lease obligation</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Total accrued expenses and deferred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43,131</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39,322</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following table provides a reconciliation of the net income/(loss) amounts and weighted average number of common and common equivalent shares used to determine basic and diluted earnings per share for the three and nine months ended January 31, 2020 and 2019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 January 31,</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40"/>
              <w:spacing w:after="0" w:line="147"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03"/>
              <w:spacing w:after="0" w:line="147" w:lineRule="exact"/>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ind w:left="100"/>
              <w:spacing w:after="0" w:line="147" w:lineRule="exact"/>
              <w:rPr>
                <w:sz w:val="20"/>
                <w:szCs w:val="20"/>
                <w:color w:val="auto"/>
              </w:rPr>
            </w:pPr>
            <w:r>
              <w:rPr>
                <w:rFonts w:ascii="Arial" w:cs="Arial" w:eastAsia="Arial" w:hAnsi="Arial"/>
                <w:sz w:val="14"/>
                <w:szCs w:val="14"/>
                <w:b w:val="1"/>
                <w:bCs w:val="1"/>
                <w:color w:val="auto"/>
              </w:rPr>
              <w:t>Net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43"/>
              <w:spacing w:after="0" w:line="147" w:lineRule="exact"/>
              <w:rPr>
                <w:sz w:val="20"/>
                <w:szCs w:val="20"/>
                <w:color w:val="auto"/>
              </w:rPr>
            </w:pPr>
            <w:r>
              <w:rPr>
                <w:rFonts w:ascii="Arial" w:cs="Arial" w:eastAsia="Arial" w:hAnsi="Arial"/>
                <w:sz w:val="14"/>
                <w:szCs w:val="14"/>
                <w:b w:val="1"/>
                <w:bCs w:val="1"/>
                <w:color w:val="auto"/>
                <w:w w:val="88"/>
              </w:rPr>
              <w:t>Per Share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5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w w:val="97"/>
              </w:rPr>
              <w:t>Loss</w:t>
            </w:r>
          </w:p>
        </w:tc>
        <w:tc>
          <w:tcPr>
            <w:tcW w:w="22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gridSpan w:val="2"/>
          </w:tcPr>
          <w:p>
            <w:pPr>
              <w:spacing w:after="0"/>
              <w:rPr>
                <w:sz w:val="14"/>
                <w:szCs w:val="14"/>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Basic earnings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5,731</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55,064</w:t>
            </w:r>
          </w:p>
        </w:tc>
        <w:tc>
          <w:tcPr>
            <w:tcW w:w="36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54,544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60" w:type="dxa"/>
            <w:vAlign w:val="bottom"/>
            <w:shd w:val="clear" w:color="auto" w:fill="CFF0FC"/>
          </w:tcPr>
          <w:p>
            <w:pPr>
              <w:spacing w:after="0"/>
              <w:rPr>
                <w:sz w:val="18"/>
                <w:szCs w:val="18"/>
                <w:color w:val="auto"/>
              </w:rPr>
            </w:pPr>
          </w:p>
        </w:tc>
      </w:tr>
      <w:tr>
        <w:trPr>
          <w:trHeight w:val="213"/>
        </w:trPr>
        <w:tc>
          <w:tcPr>
            <w:tcW w:w="4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dilutive stock awards</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gridSpan w:val="2"/>
          </w:tcPr>
          <w:p>
            <w:pPr>
              <w:spacing w:after="0"/>
              <w:rPr>
                <w:sz w:val="18"/>
                <w:szCs w:val="18"/>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5,731</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55,744</w:t>
            </w:r>
          </w:p>
        </w:tc>
        <w:tc>
          <w:tcPr>
            <w:tcW w:w="36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54,544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6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456"/>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4"/>
                <w:szCs w:val="14"/>
                <w:b w:val="1"/>
                <w:bCs w:val="1"/>
                <w:color w:val="auto"/>
                <w:w w:val="94"/>
              </w:rPr>
              <w:t>For the Nine Months Ended January 31,</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4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180"/>
              <w:spacing w:after="0" w:line="147"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ind w:left="200"/>
              <w:spacing w:after="0" w:line="147" w:lineRule="exact"/>
              <w:rPr>
                <w:sz w:val="20"/>
                <w:szCs w:val="20"/>
                <w:color w:val="auto"/>
              </w:rPr>
            </w:pPr>
            <w:r>
              <w:rPr>
                <w:rFonts w:ascii="Arial" w:cs="Arial" w:eastAsia="Arial" w:hAnsi="Arial"/>
                <w:sz w:val="14"/>
                <w:szCs w:val="14"/>
                <w:b w:val="1"/>
                <w:bCs w:val="1"/>
                <w:color w:val="auto"/>
              </w:rPr>
              <w:t>Net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Per Share</w:t>
            </w:r>
          </w:p>
        </w:tc>
        <w:tc>
          <w:tcPr>
            <w:tcW w:w="60" w:type="dxa"/>
            <w:vAlign w:val="bottom"/>
          </w:tcPr>
          <w:p>
            <w:pPr>
              <w:spacing w:after="0"/>
              <w:rPr>
                <w:sz w:val="12"/>
                <w:szCs w:val="12"/>
                <w:color w:val="auto"/>
              </w:rPr>
            </w:pPr>
          </w:p>
        </w:tc>
      </w:tr>
      <w:tr>
        <w:trPr>
          <w:trHeight w:val="171"/>
        </w:trPr>
        <w:tc>
          <w:tcPr>
            <w:tcW w:w="45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Income</w:t>
            </w:r>
          </w:p>
        </w:tc>
        <w:tc>
          <w:tcPr>
            <w:tcW w:w="240" w:type="dxa"/>
            <w:vAlign w:val="bottom"/>
            <w:tcBorders>
              <w:bottom w:val="single" w:sz="8" w:color="CFF0FC"/>
            </w:tcBorders>
            <w:gridSpan w:val="2"/>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FF0FC"/>
            </w:tcBorders>
            <w:gridSpan w:val="2"/>
          </w:tcPr>
          <w:p>
            <w:pPr>
              <w:spacing w:after="0"/>
              <w:rPr>
                <w:sz w:val="14"/>
                <w:szCs w:val="14"/>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FF0FC"/>
            </w:tcBorders>
          </w:tcPr>
          <w:p>
            <w:pPr>
              <w:spacing w:after="0"/>
              <w:rPr>
                <w:sz w:val="14"/>
                <w:szCs w:val="14"/>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Basic earnings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54,919</w:t>
            </w:r>
          </w:p>
        </w:tc>
        <w:tc>
          <w:tcPr>
            <w:tcW w:w="3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8,586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54,444</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0.16</w:t>
            </w:r>
          </w:p>
        </w:tc>
        <w:tc>
          <w:tcPr>
            <w:tcW w:w="60" w:type="dxa"/>
            <w:vAlign w:val="bottom"/>
            <w:shd w:val="clear" w:color="auto" w:fill="CFF0FC"/>
          </w:tcPr>
          <w:p>
            <w:pPr>
              <w:spacing w:after="0"/>
              <w:rPr>
                <w:sz w:val="18"/>
                <w:szCs w:val="18"/>
                <w:color w:val="auto"/>
              </w:rPr>
            </w:pPr>
          </w:p>
        </w:tc>
      </w:tr>
      <w:tr>
        <w:trPr>
          <w:trHeight w:val="213"/>
        </w:trPr>
        <w:tc>
          <w:tcPr>
            <w:tcW w:w="4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dilutive stock awards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gridSpan w:val="2"/>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55,641</w:t>
            </w:r>
          </w:p>
        </w:tc>
        <w:tc>
          <w:tcPr>
            <w:tcW w:w="3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8,586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55,132</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0.16</w:t>
            </w:r>
          </w:p>
        </w:tc>
        <w:tc>
          <w:tcPr>
            <w:tcW w:w="6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For the three months ended January 31, 2020, we excluded options to purchase 20,664 shares of common stock from the computation of diluted earnings per share because the effect would be antidilutive. All of our outstanding stock options and restricted stock units, or RSUs, were included in the computation of diluted earnings per share for the three months ended January 31, 2019. We included all of our outstanding stock options and RSUs in the computation of diluted earnings per share for the nine months ended January 31, 2020 and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two incentive stock plans: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 Except in specific circumstances, grants vest over a period of three or four years and stock options are exercisable for a period of 10 years from the date of grant. The plan also permits the grant of awards to non-employees, which our board of directors has authorized in the past.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6"/>
          <w:szCs w:val="16"/>
          <w:color w:val="auto"/>
        </w:rPr>
        <w:t>The number of shares and weighted average exercise prices of stock options for the nine months ended January 31, 2020 and 2019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5"/>
              </w:rPr>
              <w:t>For the Nine Months Ended January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500" w:type="dxa"/>
            <w:vAlign w:val="bottom"/>
            <w:tcBorders>
              <w:bottom w:val="single" w:sz="8" w:color="auto"/>
            </w:tcBorders>
            <w:gridSpan w:val="3"/>
          </w:tcPr>
          <w:p>
            <w:pPr>
              <w:jc w:val="right"/>
              <w:ind w:right="14"/>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bottom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(32,899)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Canceled/forfeited during period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(160,667)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outstanding, end of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92,094</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283,261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contractual life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 years</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 years</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exercisable, end of period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92,094</w:t>
            </w:r>
          </w:p>
        </w:tc>
        <w:tc>
          <w:tcPr>
            <w:tcW w:w="24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283,261</w:t>
            </w:r>
          </w:p>
        </w:tc>
        <w:tc>
          <w:tcPr>
            <w:tcW w:w="16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contractual life</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 years</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 years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The aggregate intrinsic value of outstanding and exercisable stock options as of January 31, 2020 and 2019 was $571,000 and $1.5 million, respectively. There were no stock options exercised during the three months ended January 31, 2020 and 2019. The aggregate intrinsic value of the stock options exercised in the nine months ended January 31, 2020 and 2019 was $100,000 and $230,000, respectively. At January 31, 2020, there was no unrecognized compensation expense relating to outstanding stock options.</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w:t>
      </w:r>
    </w:p>
    <w:p>
      <w:pPr>
        <w:spacing w:after="0" w:line="170"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The total stock-based compensation expense, including stock options, purchases under our ESPP, RSUs, and performance-based RSUs, or PSUs, was $1.4 million and $6.1 million for the nine months ended January 31, 2020 and 2019, respectively. Stock-based compensation expense is included in cost of sales, sales and marketing, research and development, and general and administrative expenses.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0"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During the nine months ended January 31, 2020, we granted an aggregate of 255,911 service-based RSUs, including 140,271 RSUs to non-executive officer employees and 115,640 RSUs to our directors. Compensation expense related to grants of RSUs and PSUs was $789,000 for the nine months ended January 31, 2020. During the nine months ended January 31, 2020, we cancelled 210,300 PSUs as a result of the service condition not being met, 156,725 PSUs as a result of the failure to satisfy the performance metric, and 236,319 service-based RSUs as a result of the service condition not being met. In connection with the vesting of RSUs, during the nine months ended January 31, 2020, we delivered common stock to our employees and directors, including our executive officers, with a total market value of $2.2 million.</w:t>
      </w:r>
    </w:p>
    <w:p>
      <w:pPr>
        <w:spacing w:after="0" w:line="17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During the nine months ended January 31, 2019, we granted an aggregate of 192,085 service-based RSUs, including 142,576 RSUs to non-executive officer employees and 49,509 RSUs to our directors. Compensation expense related to grants of RSUs and PSUs was $5.8 million for the nine months ended January 31, 2019. During the nine months ended January 31, 2019, we cancelled 112,000 PSUs as a result of the failure to satisfy the performance metric and 25,453 service-based RSUs as a result of the failure to satisfy the service condition. In connection with the vesting of RSUs, during the nine months ended January 31, 2019, we delivered common stock to our employees and directors, including our executive officers, with a total market value of $2.4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A summary of activity for unvested RSUs and PSUs for the nine months ended January 31, 2020 and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5"/>
              </w:rPr>
              <w:t>For the Nine Months Ended January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 of</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 #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1,631,631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1,442,316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255,911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(249,408)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(195,808)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(603,344)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(137,453)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1,034,790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1,301,140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January 31, 2020, there was $3.1 million of unrecognized compensation expense related to unvested RSUs and PSUs. This expense is expected to be recognized over a weighted average remaining contractual term of 1.3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 xml:space="preserve">In January 2018, Gemini Technologies, Incorporated, or Gemini, commenced an action against us in the U.S. District Court for the District of Idaho, or the District Court. The complaint alleges, among other things, that the defendants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In June 2018, Gemini appealed the decision dismissing its complaint to the U.S. Court of Appeals for the Ninth Circuit. On July 24, 2019, the Ninth Circuit reversed the dismissal, and remanded the case to the District Court to perform a traditional </w:t>
      </w:r>
      <w:r>
        <w:rPr>
          <w:rFonts w:ascii="Arial" w:cs="Arial" w:eastAsia="Arial" w:hAnsi="Arial"/>
          <w:sz w:val="16"/>
          <w:szCs w:val="16"/>
          <w:i w:val="1"/>
          <w:iCs w:val="1"/>
          <w:color w:val="auto"/>
        </w:rPr>
        <w:t xml:space="preserve">forum non conveniens </w:t>
      </w:r>
      <w:r>
        <w:rPr>
          <w:rFonts w:ascii="Arial" w:cs="Arial" w:eastAsia="Arial" w:hAnsi="Arial"/>
          <w:sz w:val="16"/>
          <w:szCs w:val="16"/>
          <w:color w:val="auto"/>
        </w:rPr>
        <w:t>analysis. On September 6, 2019, the parties stipulated that they do not contest that the venue is proper in the District of Idaho. On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4, 2019, we filed an answer to plaintiff’s complaint and a counterclaim against Gemini and its stockholders at the time of the signing of the Asset Purchase Agreement. We believe the claims asserted in the complaint have no merit, and we intend to aggressively defend this action.</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are a defendant in nine product liability cases and are aware of five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will now return to the trial court.</w:t>
      </w:r>
    </w:p>
    <w:p>
      <w:pPr>
        <w:spacing w:after="0" w:line="166"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firstLine="518"/>
        <w:spacing w:after="0" w:line="269" w:lineRule="auto"/>
        <w:rPr>
          <w:sz w:val="20"/>
          <w:szCs w:val="20"/>
          <w:color w:val="auto"/>
        </w:rPr>
      </w:pPr>
      <w:r>
        <w:rPr>
          <w:rFonts w:ascii="Arial" w:cs="Arial" w:eastAsia="Arial" w:hAnsi="Arial"/>
          <w:sz w:val="17"/>
          <w:szCs w:val="17"/>
          <w:color w:val="auto"/>
        </w:rPr>
        <w:t>In August 2019, Primus Group, LLC filed an action in the U.S. District Court for the Southern District of Ohio Eastern Division against us and other firearms manufacturers, alleging Racketeer Influenced Corrupt Organizations Act (RICO) violations, racketeering enterprise, and intentional misrepresentation. Plaintiff, which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On September 3, 2019, defendants moved to dismiss plaintiff’s complaint. On September 16, 2019, plaintiff filed an amended complaint, adding claims of public nuisance, negligent design, and failure to warn. On October 9, 2019, the U.S. District Court granted defendants’ motion, dismissing the case in its entirety. On October 11, 2019, plaintiff filed a notice of appeal with the U.S. Court of Appeals for the Sixth Circuit. On November 1, 2019, the Sixth Circuit dismissed plaintiff’s appeal for failure to pay the required fee. On November 4, 2019, plaintiff-appellant filed, and the Sixth Circuit granted, a motion to reinstate the case. Appellant’s brief is due on March 13, 2020. Our response is due by April 13, 2020.</w:t>
      </w:r>
    </w:p>
    <w:p>
      <w:pPr>
        <w:spacing w:after="0" w:line="21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are a defendant in a putative class proceeding before the Ontario Superior Court of Justice in Toronto, Canada. The action was filed on December 16, 2019. The action claims CAD$50 million in aggregate general damages, CAD$100 million in aggregate punitive damages, special damages in an unspecified amount, together with interest and legal costs. The named plaintiffs are two victims of a shooting that took place in Toronto on July 22,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We intend to vigorously oppose the proceedings.</w:t>
      </w:r>
    </w:p>
    <w:p>
      <w:pPr>
        <w:spacing w:after="0" w:line="16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21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On July 31, 2019, our competitor, Sturm, Ruger &amp; Co., Inc., filed a complaint and motion for preliminary injunction against us in the U.S. District Court, District of New Hampshire, seeking injunctive relief and damages. Plaintiff alleges trade dress infringement, involving our Thompson/Center brand T/CR22 rifle, as well as violation of the New Hampshire Consumer Protection Act. A hearing on plaintiff’s motion for preliminary injunction was held in November 2019. On December 2, 2019, plaintiff withdrew its motion for preliminary injunction.</w:t>
      </w:r>
    </w:p>
    <w:p>
      <w:pPr>
        <w:spacing w:after="0" w:line="22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John Pidcock, as trustee of the ASPC Creditor Trust (appointed under the plan of reorganization of AcuSport Corp., or AcuSport, as debtor in possession under chapter 11 of the U.S. Bankruptcy Code), is the plaintiff in two separate actions against us in the U.S. Bankruptcy Court for the Southern District of Ohio. The first seeks recovery of alleged preferential transfers received by us from AcuSport in the aggregate amount of $4.2 million. The second seeks turnover of goods allegedly owed to AcuSport by us under one or more of our promotional programs in the amount of $1.5 million. We have filed answers to both complaints denying all material allegations and asserting affirmative defenses. We believe we have strong defenses to these actions and intend to continue to vigorously defend them.</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various allegations as described above are unfounded.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70"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$18.6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54"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4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p>
      <w:pPr>
        <w:ind w:right="280" w:firstLine="518"/>
        <w:spacing w:after="0" w:line="308"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report our results of operations in two segments: (1) Firearms (which includes Firearms and Manufacturing Services divisions) and (2) Outdoor Products &amp; Accessories. Our two segments are defined based on the reporting and review process used by the chief operating decision maker, our co-Chief Executive Officers.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is evaluated by a measurement of incoming orders per day and sales and gross margin by customer and brand.</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Firearms segment includes our firearms, services, and other components, which we manufacture or provide at our facilities in Springfield, Massachusetts; Houlton, Maine;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our electro-optics products, which we develop, market, and assemble in our Wilsonville, Oregon facility. We report operating costs based on the activities performed within each segment.</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Segment assets are those directly used in or clearly allocable to a reportable segment’s operations. Assets by business segment are presented in the following table as of January 31, 2020 and April 30, 2019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Borders>
              <w:bottom w:val="single" w:sz="8" w:color="auto"/>
            </w:tcBorders>
            <w:gridSpan w:val="5"/>
          </w:tcPr>
          <w:p>
            <w:pPr>
              <w:jc w:val="center"/>
              <w:ind w:left="642"/>
              <w:spacing w:after="0"/>
              <w:rPr>
                <w:sz w:val="20"/>
                <w:szCs w:val="20"/>
                <w:color w:val="auto"/>
              </w:rPr>
            </w:pPr>
            <w:r>
              <w:rPr>
                <w:rFonts w:ascii="Arial" w:cs="Arial" w:eastAsia="Arial" w:hAnsi="Arial"/>
                <w:sz w:val="14"/>
                <w:szCs w:val="14"/>
                <w:b w:val="1"/>
                <w:bCs w:val="1"/>
                <w:color w:val="auto"/>
                <w:w w:val="94"/>
              </w:rPr>
              <w:t>As of January 31, 2020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As of April 30, 2019</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Outdoor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Outdoor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Firearms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Products &amp;</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Accessories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Accessories</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463,825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344,322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808,147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389,719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377,070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766,789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153,532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164,341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87,179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19,024</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182,267</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Results by business segment are presented in the following tables for the three months ended January 31, 2020 and 2019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9"/>
          </w:tcPr>
          <w:p>
            <w:pPr>
              <w:jc w:val="right"/>
              <w:ind w:right="585"/>
              <w:spacing w:after="0"/>
              <w:rPr>
                <w:sz w:val="20"/>
                <w:szCs w:val="20"/>
                <w:color w:val="auto"/>
              </w:rPr>
            </w:pPr>
            <w:r>
              <w:rPr>
                <w:rFonts w:ascii="Arial" w:cs="Arial" w:eastAsia="Arial" w:hAnsi="Arial"/>
                <w:sz w:val="14"/>
                <w:szCs w:val="14"/>
                <w:b w:val="1"/>
                <w:bCs w:val="1"/>
                <w:color w:val="auto"/>
                <w:w w:val="97"/>
              </w:rPr>
              <w:t>For the Three Months Ended January 31, 2020 (a)</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40" w:type="dxa"/>
            <w:vAlign w:val="bottom"/>
          </w:tcPr>
          <w:p>
            <w:pPr>
              <w:spacing w:after="0"/>
              <w:rPr>
                <w:sz w:val="12"/>
                <w:szCs w:val="12"/>
                <w:color w:val="auto"/>
              </w:rPr>
            </w:pPr>
          </w:p>
        </w:tc>
        <w:tc>
          <w:tcPr>
            <w:tcW w:w="1180" w:type="dxa"/>
            <w:vAlign w:val="bottom"/>
            <w:gridSpan w:val="3"/>
            <w:vMerge w:val="restart"/>
          </w:tcPr>
          <w:p>
            <w:pPr>
              <w:jc w:val="right"/>
              <w:ind w:right="410"/>
              <w:spacing w:after="0"/>
              <w:rPr>
                <w:sz w:val="20"/>
                <w:szCs w:val="20"/>
                <w:color w:val="auto"/>
              </w:rPr>
            </w:pPr>
            <w:r>
              <w:rPr>
                <w:rFonts w:ascii="Arial" w:cs="Arial" w:eastAsia="Arial" w:hAnsi="Arial"/>
                <w:sz w:val="14"/>
                <w:szCs w:val="14"/>
                <w:b w:val="1"/>
                <w:bCs w:val="1"/>
                <w:color w:val="auto"/>
                <w:w w:val="98"/>
              </w:rPr>
              <w:t>Corporate</w:t>
            </w:r>
          </w:p>
        </w:tc>
        <w:tc>
          <w:tcPr>
            <w:tcW w:w="1360" w:type="dxa"/>
            <w:vAlign w:val="bottom"/>
            <w:gridSpan w:val="3"/>
            <w:vMerge w:val="continue"/>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Accessories</w:t>
            </w:r>
          </w:p>
        </w:tc>
        <w:tc>
          <w:tcPr>
            <w:tcW w:w="1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126,509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40,186</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(3,991)</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43,270</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24,751</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(1,111)</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10"/>
          </w:tcPr>
          <w:p>
            <w:pPr>
              <w:jc w:val="right"/>
              <w:ind w:right="625"/>
              <w:spacing w:after="0"/>
              <w:rPr>
                <w:sz w:val="20"/>
                <w:szCs w:val="20"/>
                <w:color w:val="auto"/>
              </w:rPr>
            </w:pPr>
            <w:r>
              <w:rPr>
                <w:rFonts w:ascii="Arial" w:cs="Arial" w:eastAsia="Arial" w:hAnsi="Arial"/>
                <w:sz w:val="14"/>
                <w:szCs w:val="14"/>
                <w:b w:val="1"/>
                <w:bCs w:val="1"/>
                <w:color w:val="auto"/>
                <w:w w:val="97"/>
              </w:rPr>
              <w:t>For the Three Months Ended January 31, 2019 (a)</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Firearms</w:t>
            </w: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Products &amp;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jc w:val="right"/>
              <w:ind w:right="410"/>
              <w:spacing w:after="0"/>
              <w:rPr>
                <w:sz w:val="20"/>
                <w:szCs w:val="20"/>
                <w:color w:val="auto"/>
              </w:rPr>
            </w:pPr>
            <w:r>
              <w:rPr>
                <w:rFonts w:ascii="Arial" w:cs="Arial" w:eastAsia="Arial" w:hAnsi="Arial"/>
                <w:sz w:val="14"/>
                <w:szCs w:val="14"/>
                <w:b w:val="1"/>
                <w:bCs w:val="1"/>
                <w:color w:val="auto"/>
              </w:rPr>
              <w:t>Corporate</w:t>
            </w:r>
          </w:p>
        </w:tc>
        <w:tc>
          <w:tcPr>
            <w:tcW w:w="13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Accessories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123,045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38,963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(3,526)</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123,623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(13,529)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(11,427)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Results by business segment are presented in the following tables for the nine months ended January 31, 2020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For the Nine Months Ended January 31, 2020 (a)</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Outdoor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Firearms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Accessories</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333,952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444,753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(16,118)</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336,575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124,296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444,753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233,494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income/(loss)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(9,535)</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(29,671)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(11,293)</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For the Nine Months Ended January 31, 2019 (a)</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Outdoor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Firearms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Accessories</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338,513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124,031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462,544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(13,212)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462,544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239,639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income/(loss)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(15,550)</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(33,168)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380" w:right="24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allocate all of corporate overhead expenses except for interest and income taxes, such as general and administrative expenses and other corporate-level expenses, to both our Firearms and Outdoor Products &amp; Accessories segments.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21" w:name="page22"/>
    <w:bookmarkEnd w:id="21"/>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right="120" w:firstLine="518"/>
        <w:spacing w:after="0" w:line="286"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2019 and our unaudited condensed consolidated financial statements included in Item 1 of this Quarterly Report on Form 10-Q. This section sets forth key objectives and performance indicators used by us as well as key industry data tracked by us.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report our results of operations in two segments: (1) Firearms and (2) Outdoor Products &amp; Accessories.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2020 Highlights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January 31, 2020 included the following:</w:t>
      </w:r>
    </w:p>
    <w:p>
      <w:pPr>
        <w:spacing w:after="0" w:line="117" w:lineRule="exact"/>
        <w:rPr>
          <w:sz w:val="20"/>
          <w:szCs w:val="20"/>
          <w:color w:val="auto"/>
        </w:rPr>
      </w:pPr>
    </w:p>
    <w:p>
      <w:pPr>
        <w:ind w:left="900" w:hanging="379"/>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14, 2020, our Board of Directors named Mark P. Smith and Brian D. Murphy as co-Presidents and co-Chief Executive Officers of our company. Mr. Smith and Mr. Murphy succeeded P. James Debney, who separated as President and Chief Executive Officer and as a director of our company. The separation of Mr. Debney resulted in a $3.8 million decrease in general and administrative expenses as compared to the comparable quarter last year because of the reversal of compensation related costs.</w:t>
      </w:r>
    </w:p>
    <w:p>
      <w:pPr>
        <w:spacing w:after="0" w:line="78"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sales were $166.7 million, an increase of $4.7 million, or 2.9%, from the comparable quarter last year.</w:t>
      </w:r>
    </w:p>
    <w:p>
      <w:pPr>
        <w:spacing w:after="0" w:line="117" w:lineRule="exact"/>
        <w:rPr>
          <w:rFonts w:ascii="Arial" w:cs="Arial" w:eastAsia="Arial" w:hAnsi="Arial"/>
          <w:sz w:val="18"/>
          <w:szCs w:val="18"/>
          <w:color w:val="auto"/>
        </w:rPr>
      </w:pPr>
    </w:p>
    <w:p>
      <w:pPr>
        <w:ind w:left="900" w:right="40" w:hanging="379"/>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Firearms segment gross sales were $127.4 million, which included $907,000 of inter-segment revenue, an increase of $3.8 million, or 3.1%, over the comparable quarter last year, primarily because of increased handgun sales due to the shipment of a new handgun and a change in the timing of our federal excise tax obligation that resulted in an increase in revenue and a corresponding increase in cost of sales. This change was a direct result of the opening of our distribution center in June 2019 and resulted from the Tax and Trade Bureau denying our petition and requiring us to assess federal excise tax on the first transfer of a firearm. Starting in June 2019, we began transferring all completed firearms to our new distribution center and became required to assess federal excise tax at that point. Previously, we assessed federal excise tax at the point of sale to our third-party customers, allowing us to reduce the invoice value of our firearms by the federal excise tax assessed. This tax is now a cost of inventory at the distribution center and results in sales to our customers and the related cost of sales both being increased by the tax amount. This change does not impact gross profit dollars, but it reduces gross margin percentage. The impact during the three months ended January 31, 2020 was a $10.1 million increase in sales and cost of sales and a decrease in gross margin of 240 basis points.</w:t>
      </w:r>
    </w:p>
    <w:p>
      <w:pPr>
        <w:spacing w:after="0" w:line="61" w:lineRule="exact"/>
        <w:rPr>
          <w:rFonts w:ascii="Arial" w:cs="Arial" w:eastAsia="Arial" w:hAnsi="Arial"/>
          <w:sz w:val="16"/>
          <w:szCs w:val="16"/>
          <w:color w:val="auto"/>
        </w:rPr>
      </w:pPr>
    </w:p>
    <w:p>
      <w:pPr>
        <w:ind w:left="900" w:right="20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Outdoor Products &amp; Accessories segment gross sales were $43.3 million, which included $3.1 million of inter-segment revenue, an increase of $1.4 million, or 3.2%, over the comparable quarter last year.</w:t>
      </w:r>
    </w:p>
    <w:p>
      <w:pPr>
        <w:spacing w:after="0" w:line="62" w:lineRule="exact"/>
        <w:rPr>
          <w:rFonts w:ascii="Arial" w:cs="Arial" w:eastAsia="Arial" w:hAnsi="Arial"/>
          <w:sz w:val="18"/>
          <w:szCs w:val="18"/>
          <w:color w:val="auto"/>
        </w:rPr>
      </w:pPr>
    </w:p>
    <w:p>
      <w:pPr>
        <w:ind w:left="900" w:hanging="379"/>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Consolidated gross margin was 33.1%, a decrease of 30 basis points from the comparable quarter last year. Excluding the impact of the change in federal excise tax treatment, gross margin would have been 35.3%, or an increase of 190 basis points over the comparable quarter last year.</w:t>
      </w:r>
    </w:p>
    <w:p>
      <w:pPr>
        <w:spacing w:after="0" w:line="15" w:lineRule="exact"/>
        <w:rPr>
          <w:rFonts w:ascii="Arial" w:cs="Arial" w:eastAsia="Arial" w:hAnsi="Arial"/>
          <w:sz w:val="16"/>
          <w:szCs w:val="16"/>
          <w:color w:val="auto"/>
        </w:rPr>
      </w:pPr>
    </w:p>
    <w:p>
      <w:pPr>
        <w:ind w:left="900" w:right="100" w:hanging="379"/>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income was $5.7 million, or $0.10 per diluted share, compared with a net loss of $5.7 million, or ($0.10) per diluted share for the comparable quarter last year. Results for the comparable quarter last year included a $10.4 million non-cash impairment of goodwill in our Outdoor Products &amp; Accessories segment. This non-cash impairment charge had a $0.19 negative impact on basic and fully diluted earnings per share for the three months ended January 31, 2019.</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nine months ended January 31, 2020 included the following:</w:t>
      </w:r>
    </w:p>
    <w:p>
      <w:pPr>
        <w:spacing w:after="0" w:line="117"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net sales were $444.8 million, a decrease of $17.8 million, or 3.8%, from the prior year comparable period.</w:t>
      </w:r>
    </w:p>
    <w:p>
      <w:pPr>
        <w:spacing w:after="0" w:line="117" w:lineRule="exact"/>
        <w:rPr>
          <w:rFonts w:ascii="Arial" w:cs="Arial" w:eastAsia="Arial" w:hAnsi="Arial"/>
          <w:sz w:val="18"/>
          <w:szCs w:val="18"/>
          <w:color w:val="auto"/>
        </w:rPr>
      </w:pPr>
    </w:p>
    <w:p>
      <w:pPr>
        <w:ind w:left="900" w:hanging="379"/>
        <w:spacing w:after="0" w:line="273"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Firearms segment gross sales were $336.6 million, which included $2.6 million of inter-segment revenue, a decrease of $4.1 million, or 1.2%, from the prior year comparable period, primarily because of the fulfillment of consumer demand from channel inventory for our modern sporting rifles and lower promotional activity in the current year for bolt action rifles, partially offset by a change in the timing of our federal excise tax obligation as described above and increased handgun sales because of the shipment of a new handgun. The change in federal excise tax treatment had a $20.8 million favorable impact on Firearms segment revenue and a decrease in gross margin of 200 basis points for the nine months ended January 31, 2020 compared with the prior year comparable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left="900" w:right="120" w:hanging="379"/>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Outdoor Products &amp; Accessories segment gross sales were $124.3 million, which included $13.5 million of inter-segment revenue, a decrease of $10.8 million, or 8.0%, from the prior year comparable period. The decrease in sales was primarily because of a reduction in shipments to one large retailer in our shooting and camping accessory product categories combined with a change in the timing of bulk orders for another retailer. This was partially offset by sales growth in our cutlery product category.</w:t>
      </w:r>
    </w:p>
    <w:p>
      <w:pPr>
        <w:spacing w:after="0" w:line="78" w:lineRule="exact"/>
        <w:rPr>
          <w:rFonts w:ascii="Arial" w:cs="Arial" w:eastAsia="Arial" w:hAnsi="Arial"/>
          <w:sz w:val="18"/>
          <w:szCs w:val="18"/>
          <w:color w:val="auto"/>
        </w:rPr>
      </w:pPr>
    </w:p>
    <w:p>
      <w:pPr>
        <w:ind w:left="900" w:right="180" w:hanging="379"/>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Consolidated gross margin was 34.5%, a decrease of 70 basis points from the prior year comparable period. Excluding the impact of the change in federal excise tax, gross margin would have been 36.2%, or an increase of 100 basis points over the prior year comparable period.</w:t>
      </w:r>
    </w:p>
    <w:p>
      <w:pPr>
        <w:spacing w:after="0" w:line="15" w:lineRule="exact"/>
        <w:rPr>
          <w:rFonts w:ascii="Arial" w:cs="Arial" w:eastAsia="Arial" w:hAnsi="Arial"/>
          <w:sz w:val="16"/>
          <w:szCs w:val="16"/>
          <w:color w:val="auto"/>
        </w:rPr>
      </w:pPr>
    </w:p>
    <w:p>
      <w:pPr>
        <w:jc w:val="both"/>
        <w:ind w:left="900" w:right="180" w:hanging="379"/>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net income was $4.9 million, or $0.09 per diluted share, compared with net income of $8.6 million, or $0.16 per diluted share, for the prior year comparable period. The non-cash impairment charge described above had an $0.18 negative impact on diluted earnings per share for the nine months ended January 31, 2019.</w:t>
      </w:r>
    </w:p>
    <w:p>
      <w:pPr>
        <w:spacing w:after="0" w:line="73" w:lineRule="exact"/>
        <w:rPr>
          <w:rFonts w:ascii="Arial" w:cs="Arial" w:eastAsia="Arial" w:hAnsi="Arial"/>
          <w:sz w:val="18"/>
          <w:szCs w:val="18"/>
          <w:color w:val="auto"/>
        </w:rPr>
      </w:pPr>
    </w:p>
    <w:p>
      <w:pPr>
        <w:ind w:left="900" w:right="120" w:hanging="379"/>
        <w:spacing w:after="0" w:line="270"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November 14, 2019, we announced a plan to spin-off our outdoor products and accessories business, pending final approval, as a tax-free dividend to our stockholders. We expect the spin-off to be completed in the second half of calendar 2020. The spin-off will create two independent publicly traded companies: Smith &amp; Wesson Brands, Inc. (which would encompass our firearm business) and American Outdoor Brands, Inc. (which would encompass our outdoor products and accessories business). The primary purpose of the spin-off is to enable the management team of each company to focus on its specific strategies, including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connection with the proposed spin-off, we expect to incur restructuring charges of approximately $9.0 million to $12.0 million relating to legal, regulatory, and financial services, reorganization and restructuring costs, and start-up costs for the new company. Thus far, we have incurred $1.2 million of restructuring charges relating to the spin-off.</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 and Gross Profit – For the Three Months Ended January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consolidated net sales and gross profit for the three months ended January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166,695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162,008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3,543</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55,203</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54,059</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40" w:firstLine="518"/>
        <w:spacing w:after="0" w:line="302" w:lineRule="auto"/>
        <w:rPr>
          <w:sz w:val="20"/>
          <w:szCs w:val="20"/>
          <w:color w:val="auto"/>
        </w:rPr>
      </w:pPr>
      <w:r>
        <w:rPr>
          <w:rFonts w:ascii="Arial" w:cs="Arial" w:eastAsia="Arial" w:hAnsi="Arial"/>
          <w:sz w:val="16"/>
          <w:szCs w:val="16"/>
          <w:color w:val="auto"/>
        </w:rPr>
        <w:t>Consolidated net sales increased $4.7 million, or 2.9%, primarily because of a change in federal excise tax treatment that resulted in a $10.1 million increase in firearm sales. In our Firearms segment, revenue for handguns increased as a result of the introduction of a new concealed carry handgun and, in our Outdoor Products &amp; Accessories segment, an increase in shooting and hunting accessory product sales was the result of increased orders from several large national retailers. These increases were partially offset by lower sales of modern sporting rifles, hunting rifles, and camping accessory product sales.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40" w:firstLine="518"/>
        <w:spacing w:after="0" w:line="290" w:lineRule="auto"/>
        <w:rPr>
          <w:sz w:val="20"/>
          <w:szCs w:val="20"/>
          <w:color w:val="auto"/>
        </w:rPr>
      </w:pPr>
      <w:r>
        <w:rPr>
          <w:rFonts w:ascii="Arial" w:cs="Arial" w:eastAsia="Arial" w:hAnsi="Arial"/>
          <w:sz w:val="16"/>
          <w:szCs w:val="16"/>
          <w:color w:val="auto"/>
        </w:rPr>
        <w:t>Consolidated gross margin declined 30 basis points from the comparable quarter last year. Although gross margin dollars were not impacted as a result of the change in federal excise tax treatment described above, the gross margin percentage was negatively impacted by 220 basis points. Excluding that impact, consolidated gross margins increased by 190 basis points over the comparable quarter last year, primarily because of shipping costs that were included in cost of sales in the comparable quarter last year are now included in operating expenses because of the start-up of our new distribution center, favorable manufacturing fixed cost absorption, lower manufacturing spending, and favorable inventory valuation adjustments in our Firearms segment. The favorable impacts to gross margin were partially offset by increased promotional product discounts in Firearms, lower production of laser sights that resulted in the corresponding unfavorable manufacturing fixed-cost absorption, an increase in inventory reserves for slow moving product in our Outdoor Products &amp; Accessories segment, and higher tariff costs on imported goods in the Outdoor Products &amp; Accessories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Revenue and Gross Profit – For the Three Months Ended January 31, 2020</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tables set forth certain information regarding Firearms revenue and gross profit for the three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gridSpan w:val="2"/>
          </w:tcPr>
          <w:p>
            <w:pPr>
              <w:spacing w:after="0"/>
              <w:rPr>
                <w:sz w:val="14"/>
                <w:szCs w:val="14"/>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84,151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tcBorders>
              <w:lef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(5,560)</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(747)</w:t>
            </w:r>
          </w:p>
        </w:tc>
        <w:tc>
          <w:tcPr>
            <w:tcW w:w="1340" w:type="dxa"/>
            <w:vAlign w:val="bottom"/>
            <w:tcBorders>
              <w:lef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1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4"/>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127,416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tcBorders>
              <w:lef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8"/>
                <w:szCs w:val="18"/>
                <w:color w:val="auto"/>
              </w:rPr>
              <w:t>Gross profit</w:t>
            </w:r>
          </w:p>
        </w:tc>
        <w:tc>
          <w:tcPr>
            <w:tcW w:w="1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4"/>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35,549</w:t>
            </w:r>
          </w:p>
        </w:tc>
        <w:tc>
          <w:tcPr>
            <w:tcW w:w="1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34,361</w:t>
            </w:r>
          </w:p>
        </w:tc>
        <w:tc>
          <w:tcPr>
            <w:tcW w:w="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1,188</w:t>
            </w:r>
          </w:p>
        </w:tc>
        <w:tc>
          <w:tcPr>
            <w:tcW w:w="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27.8%</w:t>
            </w:r>
          </w:p>
        </w:tc>
        <w:tc>
          <w:tcPr>
            <w:tcW w:w="180" w:type="dxa"/>
            <w:vAlign w:val="bottom"/>
            <w:tcBorders>
              <w:lef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1420" w:type="dxa"/>
            <w:vAlign w:val="bottom"/>
            <w:gridSpan w:val="21"/>
          </w:tcPr>
          <w:p>
            <w:pPr>
              <w:ind w:left="520"/>
              <w:spacing w:after="0"/>
              <w:rPr>
                <w:sz w:val="20"/>
                <w:szCs w:val="20"/>
                <w:color w:val="auto"/>
              </w:rPr>
            </w:pPr>
            <w:r>
              <w:rPr>
                <w:rFonts w:ascii="Arial" w:cs="Arial" w:eastAsia="Arial" w:hAnsi="Arial"/>
                <w:sz w:val="18"/>
                <w:szCs w:val="18"/>
                <w:color w:val="auto"/>
                <w:w w:val="92"/>
              </w:rPr>
              <w:t>The following table sets forth certain information regarding firearm units shipped by trade channel for the three months ended January 31, 2020 and</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2019 (units in thousands):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8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Handguns</w:t>
            </w:r>
          </w:p>
        </w:tc>
        <w:tc>
          <w:tcPr>
            <w:tcW w:w="2860" w:type="dxa"/>
            <w:vAlign w:val="bottom"/>
            <w:tcBorders>
              <w:top w:val="single" w:sz="8" w:color="CFF0FC"/>
            </w:tcBorders>
            <w:gridSpan w:val="3"/>
            <w:shd w:val="clear" w:color="auto" w:fill="CFF0FC"/>
          </w:tcPr>
          <w:p>
            <w:pPr>
              <w:spacing w:after="0"/>
              <w:rPr>
                <w:sz w:val="18"/>
                <w:szCs w:val="18"/>
                <w:color w:val="auto"/>
              </w:rPr>
            </w:pPr>
          </w:p>
        </w:tc>
        <w:tc>
          <w:tcPr>
            <w:tcW w:w="16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54"/>
              <w:spacing w:after="0"/>
              <w:rPr>
                <w:sz w:val="20"/>
                <w:szCs w:val="20"/>
                <w:color w:val="auto"/>
              </w:rPr>
            </w:pPr>
            <w:r>
              <w:rPr>
                <w:rFonts w:ascii="Arial" w:cs="Arial" w:eastAsia="Arial" w:hAnsi="Arial"/>
                <w:sz w:val="18"/>
                <w:szCs w:val="18"/>
                <w:color w:val="auto"/>
                <w:w w:val="86"/>
              </w:rPr>
              <w:t>310</w:t>
            </w: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294</w:t>
            </w: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16</w:t>
            </w: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left w:val="single" w:sz="8" w:color="CFF0FC"/>
            </w:tcBorders>
            <w:shd w:val="clear" w:color="auto" w:fill="CFF0FC"/>
          </w:tcPr>
          <w:p>
            <w:pPr>
              <w:jc w:val="center"/>
              <w:ind w:left="14"/>
              <w:spacing w:after="0"/>
              <w:rPr>
                <w:sz w:val="20"/>
                <w:szCs w:val="20"/>
                <w:color w:val="auto"/>
              </w:rPr>
            </w:pPr>
            <w:r>
              <w:rPr>
                <w:rFonts w:ascii="Arial" w:cs="Arial" w:eastAsia="Arial" w:hAnsi="Arial"/>
                <w:sz w:val="18"/>
                <w:szCs w:val="18"/>
                <w:color w:val="auto"/>
                <w:w w:val="92"/>
              </w:rPr>
              <w:t>5.4%</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(27)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left="14"/>
              <w:spacing w:after="0"/>
              <w:rPr>
                <w:sz w:val="20"/>
                <w:szCs w:val="20"/>
                <w:color w:val="auto"/>
              </w:rPr>
            </w:pPr>
            <w:r>
              <w:rPr>
                <w:rFonts w:ascii="Arial" w:cs="Arial" w:eastAsia="Arial" w:hAnsi="Arial"/>
                <w:sz w:val="18"/>
                <w:szCs w:val="18"/>
                <w:color w:val="auto"/>
                <w:w w:val="94"/>
              </w:rPr>
              <w:t>-30.7%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54"/>
              <w:spacing w:after="0"/>
              <w:rPr>
                <w:sz w:val="20"/>
                <w:szCs w:val="20"/>
                <w:color w:val="auto"/>
              </w:rPr>
            </w:pPr>
            <w:r>
              <w:rPr>
                <w:rFonts w:ascii="Arial" w:cs="Arial" w:eastAsia="Arial" w:hAnsi="Arial"/>
                <w:sz w:val="18"/>
                <w:szCs w:val="18"/>
                <w:color w:val="auto"/>
                <w:w w:val="86"/>
              </w:rPr>
              <w:t>289</w:t>
            </w: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276</w:t>
            </w: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left w:val="single" w:sz="8" w:color="CFF0FC"/>
            </w:tcBorders>
            <w:shd w:val="clear" w:color="auto" w:fill="CFF0FC"/>
          </w:tcPr>
          <w:p>
            <w:pPr>
              <w:jc w:val="center"/>
              <w:ind w:left="14"/>
              <w:spacing w:after="0"/>
              <w:rPr>
                <w:sz w:val="20"/>
                <w:szCs w:val="20"/>
                <w:color w:val="auto"/>
              </w:rPr>
            </w:pPr>
            <w:r>
              <w:rPr>
                <w:rFonts w:ascii="Arial" w:cs="Arial" w:eastAsia="Arial" w:hAnsi="Arial"/>
                <w:sz w:val="18"/>
                <w:szCs w:val="18"/>
                <w:color w:val="auto"/>
                <w:w w:val="92"/>
              </w:rPr>
              <w:t>4.7%</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(27)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left="14"/>
              <w:spacing w:after="0"/>
              <w:rPr>
                <w:sz w:val="20"/>
                <w:szCs w:val="20"/>
                <w:color w:val="auto"/>
              </w:rPr>
            </w:pPr>
            <w:r>
              <w:rPr>
                <w:rFonts w:ascii="Arial" w:cs="Arial" w:eastAsia="Arial" w:hAnsi="Arial"/>
                <w:sz w:val="18"/>
                <w:szCs w:val="18"/>
                <w:color w:val="auto"/>
                <w:w w:val="94"/>
              </w:rPr>
              <w:t>-31.8%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186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254"/>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left w:val="single" w:sz="8" w:color="CFF0FC"/>
            </w:tcBorders>
            <w:shd w:val="clear" w:color="auto" w:fill="CFF0FC"/>
          </w:tcPr>
          <w:p>
            <w:pPr>
              <w:jc w:val="center"/>
              <w:ind w:left="14"/>
              <w:spacing w:after="0"/>
              <w:rPr>
                <w:sz w:val="20"/>
                <w:szCs w:val="20"/>
                <w:color w:val="auto"/>
              </w:rPr>
            </w:pPr>
            <w:r>
              <w:rPr>
                <w:rFonts w:ascii="Arial" w:cs="Arial" w:eastAsia="Arial" w:hAnsi="Arial"/>
                <w:sz w:val="18"/>
                <w:szCs w:val="18"/>
                <w:color w:val="auto"/>
                <w:w w:val="90"/>
              </w:rPr>
              <w:t>16.7%</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left="154"/>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left="14"/>
              <w:spacing w:after="0"/>
              <w:rPr>
                <w:sz w:val="20"/>
                <w:szCs w:val="20"/>
                <w:color w:val="auto"/>
              </w:rPr>
            </w:pPr>
            <w:r>
              <w:rPr>
                <w:rFonts w:ascii="Arial" w:cs="Arial" w:eastAsia="Arial" w:hAnsi="Arial"/>
                <w:sz w:val="18"/>
                <w:szCs w:val="18"/>
                <w:color w:val="auto"/>
                <w:w w:val="92"/>
              </w:rPr>
              <w:t>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Revenue for our handguns increased $10.1 million, or 12.0%, over the comparable quarter last year. Increases in our revenue included the above described change in federal excise tax treatment, which had a $7.8 million favorable impact on handgun revenue, and increased revenue due to the shipment of a new concealed carry handgun into our sales channel. Unit shipments into the sporting goods consumer channel increased 4.7% over the comparable quarter last year primarily because of increased shipment of new products and increased consumer firearm demand, as indicated by a 13.9% increase over the comparable quarter last year in total adjusted handgun background checks as reported to the National Instant Criminal Background Check Systems, or NICS, which we believe is a proxy for overall consumer demand. We believe that our percentage increase in sales in handguns likely did not match NICS as a result of a combination of reporting changes in certain states, timing related to new product introductions, and fulfillment of consumer demand out of channel inventory, particularly by several key strategic retailers.</w:t>
      </w:r>
    </w:p>
    <w:p>
      <w:pPr>
        <w:spacing w:after="0" w:line="179"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Revenue for our long guns decreased $5.6 million, or 18.4%, from the comparable quarter last year, in spite of a $2.3 million increase in revenue as a result of the change in federal excise tax treatment. The decrease in revenue was due to decreased sales for our M&amp;P modern sporting rifles as a result of decreased promotional product discounts related to bundle promotions compared to the prior year as a result of a reduction in inventory by certain strategic retailers. The decrease in revenue was also due to lower bolt action rifle sales during the current quarter as a result of offering discounts on discontinued products in the prior fiscal year as well as the timing of new product introductions later in the current fiscal year that led to lower orders early in the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740" w:firstLine="518"/>
        <w:spacing w:after="0" w:line="277" w:lineRule="auto"/>
        <w:rPr>
          <w:sz w:val="20"/>
          <w:szCs w:val="20"/>
          <w:color w:val="auto"/>
        </w:rPr>
      </w:pPr>
      <w:r>
        <w:rPr>
          <w:rFonts w:ascii="Arial" w:cs="Arial" w:eastAsia="Arial" w:hAnsi="Arial"/>
          <w:sz w:val="18"/>
          <w:szCs w:val="18"/>
          <w:color w:val="auto"/>
        </w:rPr>
        <w:t>Other products and services revenue decreased $747,000, or 8.1%, from the comparable quarter last year, primarily because of lower sales of component parts, handcuffs, and specialty services.</w:t>
      </w:r>
    </w:p>
    <w:p>
      <w:pPr>
        <w:spacing w:after="0" w:line="170"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New products in our Firearms segment, defined as any new SKU not shipped in the comparable quarter last year, represented 37.0% of firearm revenue for the three months ended January 31, 2020 and included a new concealed carry M&amp;P branded polymer pistol, many new product line extensions, and promotional product bundle kits for our M&amp;P, Performance Center, and Thompson/Center Arms branded products.</w:t>
      </w:r>
    </w:p>
    <w:p>
      <w:pPr>
        <w:spacing w:after="0" w:line="166"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Gross margin for the three months ended January 31, 2020 for our Firearms segment increased 10 basis points over the comparable quarter last year in spite of the negative impact of the change in federal excise tax treatment. Gross margin was negatively impacted by 240 basis points as a result of the change in federal excise tax treatment, although gross margin dollars were not impacted by that change. Excluding that tax impact, gross margin for our firearms segment increased by 250 basis points over the comparable quarter last year, primarily because of a reduction in material costs due to sourcing initiatives, shipping costs that were included in cost of sales in the comparable quarter last year that are now included in operating expenses due to the start-up of our new distribution center, favorable manufacturing fixed cost absorption, and lower manufacturing spending. The favorable impacts to Firearms gross margin were partially offset by increased promotional product discounts.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Firearm inventory balances remained relatively flat during the three months ended January 31, 2020.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preferences.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Products &amp; Accessories Segment Revenue and Gross Profit – For the Three Months Ended January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Outdoor Products &amp; Accessories segment revenue for the three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18,520</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19,347</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For the three months ended January 31, 2020, revenue for our Outdoor Products &amp; Accessories segment increased $1.4 million, or 3.2%, over the comparable quarter last year. Revenue increased as a result of increased shooting, hunting, and cutlery product sales that were driven by certain large national retailers, reflecting increased demand from these customers on a more consistent basis over the comparable quarter last year in the form of higher weekly replenishment orders. This normalized order cadence also increased overall sales dollars to these customers because of the reduction of bulk orders, which are typically accompanied with discounted prices. In addition, point of sale data from our large customers in these categories indicates significant growth over the comparable quarter last year, demonstrating strong consumer demand for our products in the channel. In spite of the increases in shooting, hunting, and cutlery, reduced sales to OEM customers for our laser products, recent bankruptcies and other financial instability by certain of our customers, and a decline in sales of our branded camping accessory products due to one large retailer accelerating a strategy towards its own private label brand, resulted in a lower than anticipated increase in revenue over the prior fiscal quarter.</w:t>
      </w:r>
    </w:p>
    <w:p>
      <w:pPr>
        <w:spacing w:after="0" w:line="18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New products represented 12.2% of Outdoor Products &amp; Accessories segment revenue for the three months ended January 31, 2020. Our Outdoor Products &amp; Accessories segment has a history of introducing approximately 250 to 350 new SKUs each year, the majority of which are introduced late in our third fiscal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80" w:firstLine="518"/>
        <w:spacing w:after="0" w:line="259" w:lineRule="auto"/>
        <w:rPr>
          <w:sz w:val="20"/>
          <w:szCs w:val="20"/>
          <w:color w:val="auto"/>
        </w:rPr>
      </w:pPr>
      <w:r>
        <w:rPr>
          <w:rFonts w:ascii="Arial" w:cs="Arial" w:eastAsia="Arial" w:hAnsi="Arial"/>
          <w:sz w:val="18"/>
          <w:szCs w:val="18"/>
          <w:color w:val="auto"/>
        </w:rPr>
        <w:t>Gross margin for the three months ended January 31, 2020 for our Outdoor Products &amp; Accessories segment decreased 340 basis points from the comparable quarter last year, primarily because of lower production of laser sights that resulted in corresponding unfavorable manufacturing fixed-cost absorption, an increase in inventory reserves for slow moving laser products, and higher tariff costs on imported goods, partially offset by price increases and the absence of large bulk buy orders that typically have discounted prices.</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Inventory in our Outdoor Products &amp; Accessories segment increased $800,000 during the three months ended January 31, 2020. Items impacting our inventory included an increase in import tariffs, the introduction of over 250 new products during the quarter, increased sales and improved order cadence, and better management of inventory turns. With regard to concerns surrounding the coronavirus, and based on the situation as it currently stands, we believe our inventory levels will allow us to mitigate some of the impact to our business in the short term. We also believe that we will be able to obtain additional inventory to support the majority of our future business needs as nearly all of our suppliers in China have returned to work and are producing products with only occasional temporary disruptions to new orders. It is possible, however, that worsening of conditions or increased fears of a pandemic could have a renewed and prolonged effect on manufacturing or employment in China, travel to and from China, or other restrictions on imports – all of which could have a longer term effect on our sales and profitability in future periods.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 and Gross Profit – For the Nine Months Ended January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consolidated net sales and gross profit for the nine months ended January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444,753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462,544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291,390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299,677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(8,287)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vMerge w:val="continue"/>
            <w:shd w:val="clear" w:color="auto" w:fill="CFF0FC"/>
          </w:tcPr>
          <w:p>
            <w:pPr>
              <w:spacing w:after="0"/>
              <w:rPr>
                <w:sz w:val="19"/>
                <w:szCs w:val="19"/>
                <w:color w:val="auto"/>
              </w:rPr>
            </w:pPr>
          </w:p>
        </w:tc>
        <w:tc>
          <w:tcPr>
            <w:tcW w:w="17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153,363</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162,867</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(9,504)</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Consolidated net sales decreased $17.8 million, or 3.8%, from the prior year comparable period because of lower modern sporting and hunting rifle sales in our Firearms segment and lower shooting and hunting and camping accessory sales in our Outdoor Products &amp; Accessories segment. The decreases were partially offset by increased handgun sales in our Firearms segment and cutlery product sales in our Outdoor Products &amp; Accessories segment. As described above, our sales were favorably impacted by the change in our federal excise tax treatment, resulting in a $20.8 million increase in revenue over the prior year comparable period.</w:t>
      </w:r>
    </w:p>
    <w:p>
      <w:pPr>
        <w:spacing w:after="0" w:line="188"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Consolidated gross margin was negatively impacted by 170 basis points as a result of the change in federal excise tax treatment described above. Excluding that treatment, consolidated gross margin increased 100 basis points over the prior year comparable period, primarily because of the change in accounting for shipping costs as described above, a reduction in material costs due to sourcing initiatives, favorable inventory valuation adjustments, and lower manufacturing spending in our Firearms segment. Unfavorable impacts included lower margin contribution from the Outdoor Products &amp; Accessories segment and higher promotional product discounts and unfavorable manufacturing fixed-cost absorption in our Firearms segment.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Revenue and Gross Profit – For the Nine Months Ended January 31, 2020</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tables set forth certain information regarding Firearms revenue and gross profit for the nine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247,373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230,968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Long Guns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81,969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(18,789)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(1,679)</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17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336,575</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340,638</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(4,063)</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233,507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(6,132)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7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103,068</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100,999</w:t>
            </w:r>
          </w:p>
        </w:tc>
        <w:tc>
          <w:tcPr>
            <w:tcW w:w="3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2,069</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980" w:type="dxa"/>
            <w:vAlign w:val="bottom"/>
          </w:tcPr>
          <w:p>
            <w:pPr>
              <w:spacing w:after="0"/>
              <w:rPr>
                <w:sz w:val="24"/>
                <w:szCs w:val="24"/>
                <w:color w:val="auto"/>
              </w:rPr>
            </w:pPr>
          </w:p>
        </w:tc>
        <w:tc>
          <w:tcPr>
            <w:tcW w:w="2020" w:type="dxa"/>
            <w:vAlign w:val="bottom"/>
            <w:gridSpan w:val="2"/>
          </w:tcPr>
          <w:p>
            <w:pPr>
              <w:jc w:val="right"/>
              <w:ind w:right="125"/>
              <w:spacing w:after="0"/>
              <w:rPr>
                <w:sz w:val="20"/>
                <w:szCs w:val="20"/>
                <w:color w:val="auto"/>
              </w:rPr>
            </w:pPr>
            <w:r>
              <w:rPr>
                <w:rFonts w:ascii="Arial" w:cs="Arial" w:eastAsia="Arial" w:hAnsi="Arial"/>
                <w:sz w:val="18"/>
                <w:szCs w:val="18"/>
                <w:color w:val="auto"/>
              </w:rPr>
              <w:t>26</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right="2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nine months ended January 31, 2020 and 2019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5"/>
                <w:szCs w:val="15"/>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Handguns</w:t>
            </w:r>
          </w:p>
        </w:tc>
        <w:tc>
          <w:tcPr>
            <w:tcW w:w="4640" w:type="dxa"/>
            <w:vAlign w:val="bottom"/>
            <w:tcBorders>
              <w:top w:val="single" w:sz="8" w:color="CFF0FC"/>
            </w:tcBorders>
            <w:gridSpan w:val="3"/>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800</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772</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3.6%</w:t>
            </w: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189</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249</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(60)</w:t>
            </w: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-24.1%</w:t>
            </w:r>
          </w:p>
        </w:tc>
      </w:tr>
      <w:tr>
        <w:trPr>
          <w:trHeight w:val="43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34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24"/>
                <w:szCs w:val="2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58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729</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701</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4.0%</w:t>
            </w: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177</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236</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(59)</w:t>
            </w: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-25.0%</w:t>
            </w:r>
          </w:p>
        </w:tc>
      </w:tr>
      <w:tr>
        <w:trPr>
          <w:trHeight w:val="45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3640" w:type="dxa"/>
            <w:vAlign w:val="bottom"/>
            <w:gridSpan w:val="2"/>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24"/>
                <w:szCs w:val="2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58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71</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71</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-7.7%</w:t>
            </w:r>
          </w:p>
        </w:tc>
      </w:tr>
    </w:tbl>
    <w:p>
      <w:pPr>
        <w:spacing w:after="0" w:line="22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Revenue for our handguns increased $16.4 million, or 7.1%, primarily as a result of the change in the federal excise tax treatment described above. Excluding this change, revenue for our handguns remained relatively flat from the prior year comparable period as a result of increased promotional activity and a shift in mix to lower priced products. Favorable impacts to our handgun revenue included shipments of a new concealed carry handgun and increased shipments of Performance Center branded products, which also improved our average selling price. Although adjusted background checks for handguns reported to NICS increased 10.6% compared with the prior year comparable period, our sporting goods channel unit sales increased only 4.0% during the same period. We believe that our percentage increase in sales in handguns likely did not match NICS because of a combination of reporting changes in certain states, timing related to new product introductions, and fulfillment of consumer demand our of inventory, particularly by a few key strategic retailers. Inventory levels within the channel decreased substantially as compared to the end of our prior fiscal year as well as compared to the prior consecutive period, which demonstrates positive response in the marketplace regarding our products, and we believe we are maintaining handgun market share.</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Revenue for our long guns decreased $18.8 million, or 22.9%, from the prior year comparable period, in spite of a $4.9 million increase in revenue because of a change in when we are assessed federal excise tax, primarily because of lower shipments of our M&amp;P branded modern sporting rifles as a result of lower promotional activity in the current year as compared with the prior year comparable period and the fulfillment of consumer demand with channel inventory. In addition, bolt action rifle sales were lower than the prior year comparable period as a result of clearing discontinued products from the channel in anticipation of new products that were introduced late in our third fiscal quarter. We believe that our percentage decrease in sales likely did not match NICS because of the same reasons described above.</w:t>
      </w:r>
    </w:p>
    <w:p>
      <w:pPr>
        <w:spacing w:after="0" w:line="1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Other products and services revenue decreased $1.7 million, or 6.1%, from the prior year comparable period, primarily because of lower sales of component parts and handcuffs.</w:t>
      </w:r>
    </w:p>
    <w:p>
      <w:pPr>
        <w:spacing w:after="0" w:line="17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New products in our Firearms segment represented 29.6% of firearm revenue for the nine months ended January 31, 2020 and included a new concealed carry M&amp;P branded polymer pistol, many new product line extensions, and promotional products bundle kits for our M&amp;P, Performance Center, and Thompson/Center Arms branded products.</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Gross margin for the nine months ended January 31, 2020 for our Firearms segment was negatively impacted 200 basis points as a result of the change in federal excise tax treatment described above. Gross margin dollars were not impacted by that tax treatment, and excluding that treatment, gross margin for our firearms segment increased by 300 basis points over the prior year comparable period, primarily because of shipping costs that were included in cost of sales in the prior year comparable period that are now included in operating expenses due to the start-up of our new distribution center, a reduction in material costs due to sourcing initiatives, favorable inventory valuation adjustments related to the release of year end manufacturing variance accruals, which were partially offset by increased standards related to material and labor cost increases, combined with improved manufacturing fixed cost absorption, lower manufacturing spending, and price increases, all of which favorably impacted Firearms gross margin by 5.0%. These favorable impacts to Firearms gross margin were partially offset by increased promotional product discounts.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Outdoor Products &amp; Accessories Segment Revenue and Gross Profit – For the Nine Months Ended January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Outdoor Products &amp; Accessories segment revenue for the nine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135,118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51,177</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61,644</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(10,467)</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Revenue for our Outdoor Products &amp; Accessories segment for the nine months ended January 31, 2020 decreased $10.8 million, or 8.0%, from the prior year comparable period. Revenue decreased primarily as a result of reduced sales to OEM customers for our laser products, recent bankruptcies and other financial instability by certain of our customers, and a decline in sales of our branded camping accessory products due to one large retailer accelerating a strategy towards their own private label brand. The negative impacts on revenue were partially offset by increased cutlery product sales to most major customers.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products represented 10.3% of Outdoor Products &amp; Accessories segment revenue for the nine months ended January 31, 2020.</w:t>
      </w:r>
    </w:p>
    <w:p>
      <w:pPr>
        <w:spacing w:after="0" w:line="225"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Gross margin for the nine months ended January 31, 2020 for our Outdoor Products &amp; Accessories segment was negatively impacted by 4.4% from the prior year comparable period primarily because of lower production of laser sights that resulted in the corresponding unfavorable manufacturing fixed-cost absorption and higher tariff costs on imported goods.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(5,216)</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of long-lived assets</w:t>
            </w:r>
          </w:p>
        </w:tc>
        <w:tc>
          <w:tcPr>
            <w:tcW w:w="16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CFF0FC"/>
            </w:tcBorders>
          </w:tcPr>
          <w:p>
            <w:pPr>
              <w:spacing w:after="0"/>
              <w:rPr>
                <w:sz w:val="19"/>
                <w:szCs w:val="19"/>
                <w:color w:val="auto"/>
              </w:rPr>
            </w:pPr>
          </w:p>
        </w:tc>
      </w:tr>
      <w:tr>
        <w:trPr>
          <w:trHeight w:val="223"/>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 of net sales</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1"/>
        </w:trPr>
        <w:tc>
          <w:tcPr>
            <w:tcW w:w="4100" w:type="dxa"/>
            <w:vAlign w:val="bottom"/>
          </w:tcPr>
          <w:p>
            <w:pPr>
              <w:spacing w:after="0"/>
              <w:rPr>
                <w:sz w:val="24"/>
                <w:szCs w:val="24"/>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right="40" w:firstLine="518"/>
        <w:spacing w:after="0" w:line="269" w:lineRule="auto"/>
        <w:rPr>
          <w:sz w:val="20"/>
          <w:szCs w:val="20"/>
          <w:color w:val="auto"/>
        </w:rPr>
      </w:pPr>
      <w:r>
        <w:rPr>
          <w:rFonts w:ascii="Arial" w:cs="Arial" w:eastAsia="Arial" w:hAnsi="Arial"/>
          <w:sz w:val="17"/>
          <w:szCs w:val="17"/>
          <w:color w:val="auto"/>
        </w:rPr>
        <w:t>Research and development expenses remained relatively flat from the prior year comparable quarter. Selling, marketing, and distribution expenses increased $3.9, million partially as a result of the start-up of our new distribution center during the first quarter of fiscal 2020, which included approximately $1.1 million of shipping costs that would have been included in cost of sales in the comparable quarter last year as well as additional costs related to compensation and benefits, depreciation, property taxes, and security. In addition, increased co-op advertising expenses to strategic customers in the Firearms segment resulted in increased spending over the comparable quarter last year. This increased spending was partially offset by lower management incentive compensation costs. General and administrative expenses decreased $5.2 million because of a combination of decreased compensation related expenses in connection with the separation of our President and Chief Executive Officer, decreased costs due to the closure of our Jacksonville, Florida facility during our first fiscal quarter, and decreased bad debt expense. These increases were partially offset by increased depreciation related to our 633,000 square foot Missouri distribution center and increased expenses related to the planned spin-off of our outdoor products and accessories business, as described above. On February 26, 2020, we signed a separation agreement with our former President and Chief Executive Officer that will result in an increase to our fourth quarter general and administrative expenses by approximately $1.6 million.</w:t>
      </w:r>
    </w:p>
    <w:p>
      <w:pPr>
        <w:spacing w:after="0" w:line="21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nine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42,279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13,140</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(6,464)</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140,098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Research and development remained flat from the prior year comparable period. Selling, marketing, and distribution expenses increased $13.1 million partially as a result of the start-up of our new distribution center during the first quarter of fiscal 2020, which included approximately $3.3 million of costs that would have been included in cost of sales in the prior year comparable period as well as additional costs related to compensation and benefits, depreciation, property taxes, and security. In addition, increased co-op advertising expenses in the Firearms segment related to strategic customers, additional targeted customer promotions in our Outdoor Products &amp; Accessories segment, and increases related to the development of our eCommerce initiative resulted in increased spending over the prior year comparable period. General and administrative expenses decreased $6.5 million primarily as a result of decreased compensation related expenses in connection with the separation of our President and Chief Executive Officer, and decreased costs due to the closure of our Jacksonville, Florida facility, partially offset by increased professional fees, increased depreciation and compensation-related expenses related to our 633,000 square foot Missouri distribution center, and increased expenses related to the planned spin-off of our outdoor products and accessories business, as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Income</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-636.5%</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Operating income for the three months ended January 31, 2020 was $10.9 million, an increase of $12.9 million from the comparable quarter last year, which included a non-cash goodwill impairment charge. Excluding the impact of the non-cash goodwill impairment, operating income increased $2.5 million, or 30.4%, over the comparable quarter last year, primarily because of favorable manufacturing fixed cost absorption, lower manufacturing spending, favorable inventory valuation adjustments, decreased compensation related expenses in connection with the separation of our President and Chief Executive Officer, decreased costs due to the closure of our Jacksonville, Florida facility during our first fiscal quarter, and decreased bad debt expense. These decreased expenses were partially offset by increased promotional product discounts, increased costs related to our 633,000 square foot Missouri distribution center, increased co-op advertising expenses to strategic customers, and increased expenses related to the planned spin-off of our outdoor products and accessories business, as described above.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ind w:right="60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nine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Operating income for the nine months ended January 31, 2020 was $16.9 million, a decrease of $5.8 million from the prior year comparable period, which included a non-cash goodwill impairment charge. Excluding the impact of the non-cash goodwill impairment, operating income decreased $16.2 million, or 48.9%, from the prior year comparable period, primarily because of lower sales volumes, increased promotional product discounts and targeted customer promotions in our Firearms segment, increased co-op advertising expenses related to strategic customers, increased expenses related to the development of our eCommerce initiative, increased depreciation and compensation-related expenses related to our 633,000 square foot Missouri distribution center, and increased expenses related to the planned spin-off of our outdoor products and accessories business. These increased expenses were partially offset by a combination of favorable manufacturing fixed cost absorption, lower manufacturing spending, decreased compensation related expenses in connection with the separation of our President and Chief Executive Officer, and decreased costs as a result of the closure of our Jacksonville, Florida facility.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Interest Expense</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r>
    </w:tbl>
    <w:p>
      <w:pPr>
        <w:spacing w:after="0" w:line="22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three months ended January 31, 2020, interest expense increased by $337,000 over the comparable quarter last year as a result of increased interest on our capital lease for our Missouri campus and additional borrowings outstanding.</w:t>
      </w:r>
    </w:p>
    <w:p>
      <w:pPr>
        <w:spacing w:after="0" w:line="211" w:lineRule="exact"/>
        <w:rPr>
          <w:sz w:val="20"/>
          <w:szCs w:val="20"/>
          <w:color w:val="auto"/>
        </w:rPr>
      </w:pPr>
    </w:p>
    <w:p>
      <w:pPr>
        <w:ind w:right="700" w:firstLine="518"/>
        <w:spacing w:after="0" w:line="309" w:lineRule="auto"/>
        <w:rPr>
          <w:sz w:val="20"/>
          <w:szCs w:val="20"/>
          <w:color w:val="auto"/>
        </w:rPr>
      </w:pPr>
      <w:r>
        <w:rPr>
          <w:rFonts w:ascii="Arial" w:cs="Arial" w:eastAsia="Arial" w:hAnsi="Arial"/>
          <w:sz w:val="18"/>
          <w:szCs w:val="18"/>
          <w:color w:val="auto"/>
        </w:rPr>
        <w:t>The following table sets forth certain information regarding interest expense for the nine months ended January 31, 2020 and 2019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w:t>
            </w:r>
          </w:p>
        </w:tc>
      </w:tr>
    </w:tbl>
    <w:p>
      <w:pPr>
        <w:spacing w:after="0" w:line="24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During the nine months ended January 31, 2020, interest expense increased by $1.7 million over the prior year comparable period as a result of increased interest on our capital lease for our Missouri campus and additional borrowings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Income Taxes</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2,273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1,191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7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increased $1.1 million over the comparable quarter last year as a result of higher operating income for the reasons 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5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nine months ended January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3,539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7,399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7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bl>
    <w:p>
      <w:pPr>
        <w:spacing w:after="0" w:line="241" w:lineRule="exact"/>
        <w:rPr>
          <w:sz w:val="20"/>
          <w:szCs w:val="20"/>
          <w:color w:val="auto"/>
        </w:rPr>
      </w:pPr>
    </w:p>
    <w:p>
      <w:pPr>
        <w:jc w:val="both"/>
        <w:ind w:right="280" w:firstLine="518"/>
        <w:spacing w:after="0" w:line="342" w:lineRule="auto"/>
        <w:rPr>
          <w:sz w:val="20"/>
          <w:szCs w:val="20"/>
          <w:color w:val="auto"/>
        </w:rPr>
      </w:pPr>
      <w:r>
        <w:rPr>
          <w:rFonts w:ascii="Arial" w:cs="Arial" w:eastAsia="Arial" w:hAnsi="Arial"/>
          <w:sz w:val="16"/>
          <w:szCs w:val="16"/>
          <w:color w:val="auto"/>
        </w:rPr>
        <w:t>Income tax expense decreased $3.9 million from the prior year comparable period, as a result of lower operating income and the tax effect of stock compensation. The tax rate was higher than the expected statutory rate because of the impact of non-deductible, one-time expenses relating to the spin-off.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Consolidated Net Income/(Loss)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consolidated net income and the related per share data for the three months ended January 31, 2020 and 2019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income/(loss) per share</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CFF"/>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-200.0%</w:t>
            </w: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r>
    </w:tbl>
    <w:p>
      <w:pPr>
        <w:spacing w:after="0" w:line="24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Excluding the impact of goodwill impairment in the prior year, net income for three months ended January 31, 2020 increased $1.1 million, or 22.7%, over the comparable quarter last year primarily as a result of the reasons discussed above, as well as increased interest expense as a result of increased interest on our capital lease for our Missouri campus and additional borrowings outstanding.</w:t>
      </w:r>
    </w:p>
    <w:p>
      <w:pPr>
        <w:spacing w:after="0" w:line="20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consolidated net income and the related per share data for the nine months ended January 31, 2020 and 2019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income per share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-43.8%</w:t>
            </w: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r>
    </w:tbl>
    <w:p>
      <w:pPr>
        <w:spacing w:after="0" w:line="24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Excluding the impact of goodwill impairment in the prior year, net income decreased $14.1 million, or 74.1%, from the prior year comparable period, primarily as a result of the reasons discussed above, as well as increased interest on our capital lease for our Missouri campus and additional borrowings outstanding.</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service our existing debt, and (3) fund the spin-off of our outdoor products and accessories business. Capital expenditures for material handling equipment and other capital projects to support our national logistics facility, various information technology projects, and tooling for new product offerings represent important cash needs.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cash flow information for the nine months ended January 31, 2020 and 2019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(12,302)</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14,610</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(5,223)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8"/>
                <w:szCs w:val="18"/>
                <w:color w:val="auto"/>
              </w:rPr>
              <w:t>Total cash flow</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16,476</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Cash used in operating activities was $25.0 million for the nine months ended January 31, 2020 compared with $20.7 million of cash generated for the nine months ended January 31, 2019. Cash used in operating activities for the nine months ended January 31, 2020 was negatively impacted by lower profits, an incremental $17.6 million increase in inventory over the prior year increase due to the launch of several new products late in the current fiscal quarter and the $8.2 million impact of federal excise tax included in inventory due to the launch of our new Missouri distribution center. In addition, a $13.1 million incremental reduction in payroll and incentive accruals due to the payment of higher management incentive bonuses during the period combined with lower profitability and the separation of our President and Chief Executive Officer, and a $4.3 million incremental decrease in accounts payable due to timing. Consistent with our historical seasonal inventory trends, we expect inventory in both of our segments to decline throughout our fourth fiscal quarter.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Cash used in investing activities decreased $14.6 million for the nine months ended January 31, 2020 from the prior year comparable period. We recorded capital expenditures of $11.8 million for the nine months ended January 31, 2020, $14.2 million lower than the prior year comparable period due to increased spending in the prior year related to our national distribution center. We currently expect to spend between $15.0 million and $20.0 million on capital expenditures in fiscal 2020, a decrease of $13.9 million to $18.9 million, as compared with $33.9 million in capital expenditures in fiscal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Cash provided by financing activities was $42.4 million for the nine months ended January 31, 2020 compared with cash used in financing activities of $5.2 million for the nine months ended January 31, 2019. Cash provided by financing activities during the nine months ended January 31, 2020 was primarily a result of $50.0 million borrowings on our credit facility to support cash needed for operations. See below regarding the repayment of our Term Loan and Senior Notes with proceeds from our Revolving Line during the three months ended January 31, 2020.</w:t>
      </w:r>
    </w:p>
    <w:p>
      <w:pPr>
        <w:spacing w:after="0" w:line="21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i w:val="1"/>
          <w:iCs w:val="1"/>
          <w:color w:val="auto"/>
        </w:rPr>
        <w:t xml:space="preserve">Capital Lease </w:t>
      </w:r>
      <w:r>
        <w:rPr>
          <w:rFonts w:ascii="Arial" w:cs="Arial" w:eastAsia="Arial" w:hAnsi="Arial"/>
          <w:sz w:val="16"/>
          <w:szCs w:val="16"/>
          <w:color w:val="auto"/>
        </w:rPr>
        <w:t>– In fiscal 2017, we announced a plan to establish a national logistics facility in Boone County, Missouri. We ultimately plan to rely on</w:t>
      </w:r>
      <w:r>
        <w:rPr>
          <w:rFonts w:ascii="Arial" w:cs="Arial" w:eastAsia="Arial" w:hAnsi="Arial"/>
          <w:sz w:val="16"/>
          <w:szCs w:val="16"/>
          <w:i w:val="1"/>
          <w:iCs w:val="1"/>
          <w:color w:val="auto"/>
        </w:rPr>
        <w:t xml:space="preserve"> </w:t>
      </w:r>
      <w:r>
        <w:rPr>
          <w:rFonts w:ascii="Arial" w:cs="Arial" w:eastAsia="Arial" w:hAnsi="Arial"/>
          <w:sz w:val="16"/>
          <w:szCs w:val="16"/>
          <w:color w:val="auto"/>
        </w:rPr>
        <w:t>this logistics facility for substantially all of our product distribution. In fiscal 2018, we broke ground on this new 633,000 square foot facility, which was completed in November 2018 and will become fully operational over the course of the remainder of fiscal 2020. As part of the completion of the building, we entered into a lease agreement with the developer of the building for $46.2 million. The lease has an effective interest rate of approximately 5.0% and is payable in 240 monthly installments through fiscal 2039. Upon the commencement of this lease, leases were accounted for under the provisions of ASC 840-10, Leases, which requires that leases be evaluated and classified as operating or capital leases for financial reporting purposes. Based on our evaluation under ASC 840-10, we determined that the lease qualified as a capital lease because the net present value of future lease payments exceeded 90% of the fair market value of the leased building. The building is pledged to secure the amounts outstanding. During the nine months ended January 31, 2020, we paid $629,000 in principal payments relating to this capital lease. In November 2019, we announced a plan to spin off the outdoor products and accessories business of the company resulting in two independent companies: Smith &amp; Wesson Brands, Inc. (which would encompass our firearm business) and American Outdoor Brands, Inc. (which would encompass our outdoor products and accessories business). The lease is currently held by the corporation that will be named Smith &amp; Wesson Brands, Inc. and is expected to remain that way after the spin-off. It is expected, however, that American Outdoor Brands, Inc. will become a sub-lessor of the facility, although negotiations on those matters have not yet been completed.</w:t>
      </w:r>
    </w:p>
    <w:p>
      <w:pPr>
        <w:spacing w:after="0" w:line="20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 xml:space="preserve">Credit Facilities – </w:t>
      </w:r>
      <w:r>
        <w:rPr>
          <w:rFonts w:ascii="Arial" w:cs="Arial" w:eastAsia="Arial" w:hAnsi="Arial"/>
          <w:sz w:val="17"/>
          <w:szCs w:val="17"/>
          <w:color w:val="auto"/>
        </w:rPr>
        <w:t>On June 15, 2015, we and certain of our domestic subsidiaries entered into an unsecured credit facility, or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TD Bank, N.A. and other lenders, or the Lenders, which included a $175.0 million revolving line of credit, or the Revolving Line, and a $105.0 million term loan, or the Term Loan. The Term Loan was paid in full on November 19, 2019 with proceeds from the Revolving Line.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On November 22, 2019, we entered into a fifth amendment to our Credit Agreement, or the Fifth Amendment, which, among other things, provides the Lenders’ consent to the spin-off of the outdoor products and accessories business, provided that certain financial conditions are satisfied, including (x) granting the Lenders security interest in the assets of the remaining business, (y) reducing the Revolving Line to $250.0 million at the time of the spin-off, and (z) reducing the option to expand the credit agreement to $50.0 million at the time of the spin-off. Other than the changes described in the Second and Fifth Amendments, we otherwise remain subject to the terms of the Credit Agreement, as described below.</w:t>
      </w:r>
    </w:p>
    <w:p>
      <w:pPr>
        <w:spacing w:after="0" w:line="22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January 31, 2020, we had $200.0 million of borrowings outstanding on the Revolving Line, which bore interest at 3.92%, which is equal to the LIBOR rate plus an applicable margin.</w:t>
      </w:r>
    </w:p>
    <w:p>
      <w:pPr>
        <w:spacing w:after="0" w:line="21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that covered 100% of the $105.0 million of floating rate debt. On July 6, 2015, we executed an interest rate swap pursuant to such agreement, which required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was subject to change based on changes in our consolidated leverage ratio. In accordance with the repayment of the Term Loan on November 19, 2019, the interest rate swap was terminated resulting in a realized gain of approximately $40,000.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2020 Senior Notes - </w:t>
      </w:r>
      <w:r>
        <w:rPr>
          <w:rFonts w:ascii="Arial" w:cs="Arial" w:eastAsia="Arial" w:hAnsi="Arial"/>
          <w:sz w:val="17"/>
          <w:szCs w:val="17"/>
          <w:color w:val="auto"/>
        </w:rPr>
        <w:t>On February 28, 2018, we issued an aggregate of $75.0 million of the 2020 Senior Notes to various institutional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terms and conditions of an indenture, or the 2020 Senior Notes Indenture, and purchase agreements. The 2020 Senior Notes bore interest at a rate of 5.000% per annum payable on February 28 and August 28 of each year, beginning on August 28, 2018. We incurred $158,000 of debt issuance costs related to the issuance of the 2020 Senior Notes. On January 6, 2020, or the Redemption Date, we redeemed 100% of the principal amount of the 2020 Senior Notes, plus accrued and unpaid interest to, but not including, the Redemption Date, with proceeds from the Revolving Line. As part of the redemption, we wrote off $42,000 of debt issuance costs related to the 2020 Senior Notes.</w:t>
      </w:r>
    </w:p>
    <w:p>
      <w:pPr>
        <w:spacing w:after="0" w:line="17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We were in compliance with all debt covenants as of January 31, 2020.</w:t>
      </w:r>
    </w:p>
    <w:p>
      <w:pPr>
        <w:spacing w:after="0" w:line="17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the construction of our national logistics facility, the spin-off of our Outdoor Products &amp; Accessories segment, and any acquisitions or other strategic investments that we may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20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January 31, 2020, we had $46.1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2019. The most significant areas involving our judgments and estimates are described in Management’s Discussion and Analysis of Financial Condition and Results of Operations in our Annual Report on Form 10-K for the fiscal year ended April 30, 2019,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During the period ended January 31, 2020, we did not enter into or transact any forward option contracts nor did we have any forward contracts outstanding. We enter into derivative financial instruments, such as interest rate swaps, in order to mitigate our interest rate risk associated with our variable rate debt. We may be exposed to credit and market risks, including, but not limited to, the failure of any counterparty to perform under the terms of the derivative contract or the adverse effect on the value of the financial instrument resulting from a change in interest rates.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co-Chief Executive Officers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co-Chief Executive Officers and Chief Financial Officer concluded that, as of January 31, 2020,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co-Chief Executive Officers and Chief Financial Officer, as appropriate, to allow timely decisions regarding required disclosure.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firstLine="518"/>
        <w:spacing w:after="0" w:line="257" w:lineRule="auto"/>
        <w:rPr>
          <w:sz w:val="20"/>
          <w:szCs w:val="20"/>
          <w:color w:val="auto"/>
        </w:rPr>
      </w:pPr>
      <w:r>
        <w:rPr>
          <w:rFonts w:ascii="Arial" w:cs="Arial" w:eastAsia="Arial" w:hAnsi="Arial"/>
          <w:sz w:val="18"/>
          <w:szCs w:val="18"/>
          <w:color w:val="auto"/>
        </w:rPr>
        <w:t>Based on this evaluation, our co-Chief Executive Officers and Chief Financial Officer have concluded that, as of January 31, 2020,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co-Chief Executive Officers and Chief Financial Officer, as appropriate to allow timely decisions regarding required disclosure.</w:t>
      </w:r>
    </w:p>
    <w:p>
      <w:pPr>
        <w:spacing w:after="0" w:line="18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4" w:name="page35"/>
    <w:bookmarkEnd w:id="34"/>
    <w:p>
      <w:pPr>
        <w:ind w:left="42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nature of legal proceedings against us is discussed in Note 11</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January 31, 2020, we had no authorized share repurchase programs.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20"/>
          </w:cols>
          <w:pgMar w:left="240" w:top="337" w:right="8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120" w:type="dxa"/>
            <w:vAlign w:val="bottom"/>
            <w:gridSpan w:val="11"/>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1160" w:type="dxa"/>
            <w:vAlign w:val="bottom"/>
          </w:tcPr>
          <w:p>
            <w:pPr>
              <w:ind w:left="100"/>
              <w:spacing w:after="0"/>
              <w:rPr>
                <w:sz w:val="20"/>
                <w:szCs w:val="20"/>
                <w:color w:val="auto"/>
              </w:rPr>
            </w:pPr>
            <w:r>
              <w:rPr>
                <w:rFonts w:ascii="Arial" w:cs="Arial" w:eastAsia="Arial" w:hAnsi="Arial"/>
                <w:sz w:val="18"/>
                <w:szCs w:val="18"/>
                <w:color w:val="auto"/>
              </w:rPr>
              <w:t>10.113(b)</w:t>
            </w:r>
          </w:p>
        </w:tc>
        <w:tc>
          <w:tcPr>
            <w:tcW w:w="10120" w:type="dxa"/>
            <w:vAlign w:val="bottom"/>
            <w:gridSpan w:val="11"/>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Fifth Amendment to Credit Agreement, dated as of November 22, 2019, among the Registrant, American Outdoor Brands Sales Company,</w:t>
              </w:r>
            </w:hyperlink>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and Smith &amp; Wesson Inc., as Borrowers, the subsidiaries of the Borrowers party thereto, as the guarantors, the lenders party thereto, and TD</w:t>
              </w:r>
            </w:hyperlink>
          </w:p>
        </w:tc>
      </w:tr>
      <w:tr>
        <w:trPr>
          <w:trHeight w:val="196"/>
        </w:trPr>
        <w:tc>
          <w:tcPr>
            <w:tcW w:w="116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 xml:space="preserve">Bank, N.A., as Administrative Agent and Swingline Lender </w:t>
              </w:r>
              <w:r>
                <w:rPr>
                  <w:rFonts w:ascii="Arial" w:cs="Arial" w:eastAsia="Arial" w:hAnsi="Arial"/>
                  <w:sz w:val="18"/>
                  <w:szCs w:val="18"/>
                  <w:color w:val="000000"/>
                </w:rPr>
                <w:t>(1)</w:t>
              </w:r>
            </w:hyperlink>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53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Rule 13a-14(a)/15d-14(a) Certification of Principal Co-Executive Officer</w:t>
              </w:r>
            </w:hyperlink>
          </w:p>
        </w:tc>
        <w:tc>
          <w:tcPr>
            <w:tcW w:w="4820" w:type="dxa"/>
            <w:vAlign w:val="bottom"/>
            <w:gridSpan w:val="3"/>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12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Rule 13a-14(a)/15d-14(a) Certification of Principal Co-Executive Officer</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31.3</w:t>
            </w:r>
          </w:p>
        </w:tc>
        <w:tc>
          <w:tcPr>
            <w:tcW w:w="5280" w:type="dxa"/>
            <w:vAlign w:val="bottom"/>
            <w:tcBorders>
              <w:top w:val="single" w:sz="8" w:color="0000EE"/>
            </w:tcBorders>
            <w:gridSpan w:val="7"/>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Rule 13a-14(a)/15d-14(a) Certification of Principal Financial Officer</w:t>
              </w:r>
            </w:hyperlink>
          </w:p>
        </w:tc>
        <w:tc>
          <w:tcPr>
            <w:tcW w:w="4840" w:type="dxa"/>
            <w:vAlign w:val="bottom"/>
            <w:gridSpan w:val="4"/>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31.4</w:t>
            </w:r>
          </w:p>
        </w:tc>
        <w:tc>
          <w:tcPr>
            <w:tcW w:w="51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Rule 13a-14(a)/15d-14(a) Certification of Principal Accounting Officer</w:t>
              </w:r>
            </w:hyperlink>
          </w:p>
        </w:tc>
        <w:tc>
          <w:tcPr>
            <w:tcW w:w="4980" w:type="dxa"/>
            <w:vAlign w:val="bottom"/>
            <w:gridSpan w:val="5"/>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44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Section 1350 Certification of Co-Principal Executive Officer</w:t>
              </w:r>
            </w:hyperlink>
          </w:p>
        </w:tc>
        <w:tc>
          <w:tcPr>
            <w:tcW w:w="5720" w:type="dxa"/>
            <w:vAlign w:val="bottom"/>
            <w:gridSpan w:val="7"/>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012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Section 1350 Certification of Co-Principal Executive Officer</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32.3</w:t>
            </w:r>
          </w:p>
        </w:tc>
        <w:tc>
          <w:tcPr>
            <w:tcW w:w="4380" w:type="dxa"/>
            <w:vAlign w:val="bottom"/>
            <w:tcBorders>
              <w:top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Section 1350 Certification of Principal Financial Officer</w:t>
              </w:r>
            </w:hyperlink>
          </w:p>
        </w:tc>
        <w:tc>
          <w:tcPr>
            <w:tcW w:w="5740" w:type="dxa"/>
            <w:vAlign w:val="bottom"/>
            <w:gridSpan w:val="8"/>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32.4</w:t>
            </w:r>
          </w:p>
        </w:tc>
        <w:tc>
          <w:tcPr>
            <w:tcW w:w="43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Section 1350 Certification of Principal Accounting Officer</w:t>
              </w:r>
            </w:hyperlink>
          </w:p>
        </w:tc>
        <w:tc>
          <w:tcPr>
            <w:tcW w:w="5820" w:type="dxa"/>
            <w:vAlign w:val="bottom"/>
            <w:gridSpan w:val="9"/>
          </w:tcPr>
          <w:p>
            <w:pPr>
              <w:spacing w:after="0"/>
              <w:rPr>
                <w:sz w:val="24"/>
                <w:szCs w:val="24"/>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1"/>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160" w:hanging="1152"/>
        <w:spacing w:after="0"/>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63" w:lineRule="exact"/>
        <w:rPr>
          <w:rFonts w:ascii="Arial" w:cs="Arial" w:eastAsia="Arial" w:hAnsi="Arial"/>
          <w:sz w:val="17"/>
          <w:szCs w:val="17"/>
          <w:color w:val="auto"/>
        </w:rPr>
      </w:pPr>
    </w:p>
    <w:p>
      <w:pPr>
        <w:ind w:left="760" w:hanging="374"/>
        <w:spacing w:after="0"/>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November 26, 2019.</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2"/>
          </w:tcPr>
          <w:p>
            <w:pPr>
              <w:ind w:left="3040"/>
              <w:spacing w:after="0"/>
              <w:rPr>
                <w:sz w:val="20"/>
                <w:szCs w:val="20"/>
                <w:color w:val="auto"/>
              </w:rPr>
            </w:pPr>
            <w:r>
              <w:rPr>
                <w:rFonts w:ascii="Arial" w:cs="Arial" w:eastAsia="Arial" w:hAnsi="Arial"/>
                <w:sz w:val="18"/>
                <w:szCs w:val="18"/>
                <w:color w:val="auto"/>
              </w:rPr>
              <w:t>AMERICAN OUTDOOR BRANDS CORPORATION,</w:t>
            </w: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3040"/>
              <w:spacing w:after="0"/>
              <w:rPr>
                <w:sz w:val="20"/>
                <w:szCs w:val="20"/>
                <w:color w:val="auto"/>
              </w:rPr>
            </w:pPr>
            <w:r>
              <w:rPr>
                <w:rFonts w:ascii="Arial" w:cs="Arial" w:eastAsia="Arial" w:hAnsi="Arial"/>
                <w:sz w:val="18"/>
                <w:szCs w:val="18"/>
                <w:color w:val="auto"/>
              </w:rPr>
              <w:t>a Nevada corporation</w:t>
            </w:r>
          </w:p>
        </w:tc>
      </w:tr>
      <w:tr>
        <w:trPr>
          <w:trHeight w:val="338"/>
        </w:trPr>
        <w:tc>
          <w:tcPr>
            <w:tcW w:w="3560" w:type="dxa"/>
            <w:vAlign w:val="bottom"/>
          </w:tcPr>
          <w:p>
            <w:pPr>
              <w:spacing w:after="0"/>
              <w:rPr>
                <w:sz w:val="20"/>
                <w:szCs w:val="20"/>
                <w:color w:val="auto"/>
              </w:rPr>
            </w:pPr>
            <w:r>
              <w:rPr>
                <w:rFonts w:ascii="Arial" w:cs="Arial" w:eastAsia="Arial" w:hAnsi="Arial"/>
                <w:sz w:val="18"/>
                <w:szCs w:val="18"/>
                <w:color w:val="auto"/>
              </w:rPr>
              <w:t>Date: March 5, 2020</w:t>
            </w:r>
          </w:p>
        </w:tc>
        <w:tc>
          <w:tcPr>
            <w:tcW w:w="3660" w:type="dxa"/>
            <w:vAlign w:val="bottom"/>
          </w:tcPr>
          <w:p>
            <w:pPr>
              <w:ind w:left="302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P. Smith</w:t>
            </w:r>
          </w:p>
        </w:tc>
      </w:tr>
      <w:tr>
        <w:trPr>
          <w:trHeight w:val="426"/>
        </w:trPr>
        <w:tc>
          <w:tcPr>
            <w:tcW w:w="3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Co-President and Co-Chief Executive Officer</w:t>
            </w:r>
          </w:p>
        </w:tc>
      </w:tr>
      <w:tr>
        <w:trPr>
          <w:trHeight w:val="554"/>
        </w:trPr>
        <w:tc>
          <w:tcPr>
            <w:tcW w:w="3560" w:type="dxa"/>
            <w:vAlign w:val="bottom"/>
          </w:tcPr>
          <w:p>
            <w:pPr>
              <w:spacing w:after="0"/>
              <w:rPr>
                <w:sz w:val="20"/>
                <w:szCs w:val="20"/>
                <w:color w:val="auto"/>
              </w:rPr>
            </w:pPr>
            <w:r>
              <w:rPr>
                <w:rFonts w:ascii="Arial" w:cs="Arial" w:eastAsia="Arial" w:hAnsi="Arial"/>
                <w:sz w:val="18"/>
                <w:szCs w:val="18"/>
                <w:color w:val="auto"/>
              </w:rPr>
              <w:t>Date: March 5, 2020</w:t>
            </w:r>
          </w:p>
        </w:tc>
        <w:tc>
          <w:tcPr>
            <w:tcW w:w="3660" w:type="dxa"/>
            <w:vAlign w:val="bottom"/>
          </w:tcPr>
          <w:p>
            <w:pPr>
              <w:ind w:left="302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Brian D. Murphy</w:t>
            </w:r>
          </w:p>
        </w:tc>
      </w:tr>
      <w:tr>
        <w:trPr>
          <w:trHeight w:val="426"/>
        </w:trPr>
        <w:tc>
          <w:tcPr>
            <w:tcW w:w="3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Co-President and Co-Chief Executive Officer</w:t>
            </w:r>
          </w:p>
        </w:tc>
      </w:tr>
      <w:tr>
        <w:trPr>
          <w:trHeight w:val="554"/>
        </w:trPr>
        <w:tc>
          <w:tcPr>
            <w:tcW w:w="3560" w:type="dxa"/>
            <w:vAlign w:val="bottom"/>
          </w:tcPr>
          <w:p>
            <w:pPr>
              <w:spacing w:after="0"/>
              <w:rPr>
                <w:sz w:val="20"/>
                <w:szCs w:val="20"/>
                <w:color w:val="auto"/>
              </w:rPr>
            </w:pPr>
            <w:r>
              <w:rPr>
                <w:rFonts w:ascii="Arial" w:cs="Arial" w:eastAsia="Arial" w:hAnsi="Arial"/>
                <w:sz w:val="18"/>
                <w:szCs w:val="18"/>
                <w:color w:val="auto"/>
              </w:rPr>
              <w:t>Date: March 5, 2020</w:t>
            </w:r>
          </w:p>
        </w:tc>
        <w:tc>
          <w:tcPr>
            <w:tcW w:w="3660" w:type="dxa"/>
            <w:vAlign w:val="bottom"/>
          </w:tcPr>
          <w:p>
            <w:pPr>
              <w:ind w:left="302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r>
      <w:tr>
        <w:trPr>
          <w:trHeight w:val="195"/>
        </w:trPr>
        <w:tc>
          <w:tcPr>
            <w:tcW w:w="3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Jeffrey D. Buchanan</w:t>
            </w:r>
          </w:p>
        </w:tc>
      </w:tr>
      <w:tr>
        <w:trPr>
          <w:trHeight w:val="216"/>
        </w:trPr>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r>
      <w:tr>
        <w:trPr>
          <w:trHeight w:val="216"/>
        </w:trPr>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w w:val="93"/>
              </w:rPr>
              <w:t>Chief Financial Officer, Chief Administrative Officer, and</w:t>
            </w:r>
          </w:p>
        </w:tc>
      </w:tr>
      <w:tr>
        <w:trPr>
          <w:trHeight w:val="230"/>
        </w:trPr>
        <w:tc>
          <w:tcPr>
            <w:tcW w:w="3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Treasurer</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5, 2020</w:t>
            </w:r>
          </w:p>
        </w:tc>
        <w:tc>
          <w:tcPr>
            <w:tcW w:w="3660" w:type="dxa"/>
            <w:vAlign w:val="bottom"/>
          </w:tcPr>
          <w:p>
            <w:pPr>
              <w:ind w:left="302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Deana L. McPherson</w:t>
            </w:r>
          </w:p>
        </w:tc>
      </w:tr>
      <w:tr>
        <w:trPr>
          <w:trHeight w:val="195"/>
        </w:trPr>
        <w:tc>
          <w:tcPr>
            <w:tcW w:w="3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Deana L. McPherson</w:t>
            </w:r>
          </w:p>
        </w:tc>
      </w:tr>
      <w:tr>
        <w:trPr>
          <w:trHeight w:val="216"/>
        </w:trPr>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Vice President, Chief Accounting Officer,</w:t>
            </w:r>
          </w:p>
        </w:tc>
      </w:tr>
      <w:tr>
        <w:trPr>
          <w:trHeight w:val="230"/>
        </w:trPr>
        <w:tc>
          <w:tcPr>
            <w:tcW w:w="3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Corporate Controller, and Assistant Treasurer</w:t>
            </w:r>
          </w:p>
        </w:tc>
      </w:tr>
      <w:tr>
        <w:trPr>
          <w:trHeight w:val="891"/>
        </w:trPr>
        <w:tc>
          <w:tcPr>
            <w:tcW w:w="3560" w:type="dxa"/>
            <w:vAlign w:val="bottom"/>
          </w:tcPr>
          <w:p>
            <w:pPr>
              <w:spacing w:after="0"/>
              <w:rPr>
                <w:sz w:val="24"/>
                <w:szCs w:val="24"/>
                <w:color w:val="auto"/>
              </w:rPr>
            </w:pPr>
          </w:p>
        </w:tc>
        <w:tc>
          <w:tcPr>
            <w:tcW w:w="3660" w:type="dxa"/>
            <w:vAlign w:val="bottom"/>
          </w:tcPr>
          <w:p>
            <w:pPr>
              <w:ind w:left="2060"/>
              <w:spacing w:after="0"/>
              <w:rPr>
                <w:sz w:val="20"/>
                <w:szCs w:val="20"/>
                <w:color w:val="auto"/>
              </w:rPr>
            </w:pPr>
            <w:r>
              <w:rPr>
                <w:rFonts w:ascii="Arial" w:cs="Arial" w:eastAsia="Arial" w:hAnsi="Arial"/>
                <w:sz w:val="18"/>
                <w:szCs w:val="18"/>
                <w:color w:val="auto"/>
              </w:rPr>
              <w:t>37</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P. Smith,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P. Smith</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Co-President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D. Murphy,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D. Murphy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Co-President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Buchanan, certify that:</w:t>
      </w:r>
    </w:p>
    <w:p>
      <w:pPr>
        <w:spacing w:after="0" w:line="117" w:lineRule="exact"/>
        <w:rPr>
          <w:sz w:val="20"/>
          <w:szCs w:val="20"/>
          <w:color w:val="auto"/>
        </w:rPr>
      </w:pPr>
    </w:p>
    <w:p>
      <w:pPr>
        <w:ind w:left="700" w:hanging="17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Deana L. McPherson, certify that:</w:t>
      </w:r>
    </w:p>
    <w:p>
      <w:pPr>
        <w:spacing w:after="0" w:line="117" w:lineRule="exact"/>
        <w:rPr>
          <w:sz w:val="20"/>
          <w:szCs w:val="20"/>
          <w:color w:val="auto"/>
        </w:rPr>
      </w:pPr>
    </w:p>
    <w:p>
      <w:pPr>
        <w:ind w:left="700" w:hanging="17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7"/>
          <w:szCs w:val="17"/>
          <w:i w:val="1"/>
          <w:iCs w:val="1"/>
          <w:color w:val="auto"/>
        </w:rPr>
        <w:t>Vice President, Chief Accounting Officer, Corporate</w:t>
      </w:r>
    </w:p>
    <w:p>
      <w:pPr>
        <w:spacing w:after="0" w:line="21"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Controller, and Assistant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January 31, 2020 as filed with the Securities and Exchange Commission on the date hereof (the “Report”), I, P. James Debney, President and Chief Executive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P. Smith</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Co-President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January 31, 2020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D. Murphy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Co-President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January 31, 2020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January 31, 2020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7"/>
          <w:szCs w:val="17"/>
          <w:i w:val="1"/>
          <w:iCs w:val="1"/>
          <w:color w:val="auto"/>
        </w:rPr>
        <w:t>Vice President, Chief Accounting Officer, Corporate</w:t>
      </w:r>
    </w:p>
    <w:p>
      <w:pPr>
        <w:spacing w:after="0" w:line="21"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Controller, and Assistant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lvl w:ilvl="1">
      <w:lvlJc w:val="left"/>
      <w:lvlText w:val="(%2)"/>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3" Type="http://schemas.openxmlformats.org/officeDocument/2006/relationships/hyperlink" Target="http://www.sec.gov/Archives/edgar/data/1092796/000119312519301161/d838214dex10113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2020-03-05T15:19:30Z</dcterms:created>
  <dcterms:modified xsi:type="dcterms:W3CDTF">2020-03-05T15:19:30Z</dcterms:modified>
</cp:coreProperties>
</file>