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Smith &amp; Wesson Brands,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84"/>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001-31552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87-0543688</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2100 Roosevelt Avenue</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Springfield, Massachusetts 01104</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3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(800) 331-0852</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SWBI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We are furnishing the disclosure in this Item 2.02 in connection with the disclosure of information in the form of the textual information from a press release issued on September 7, 2023.</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information in this Item 2.02 (including Exhibit 99.1) is furnished pursuant to Item 2.02 and shall not be deemed to be “filed” for the purpose of Section 18 of the Securities Exchange Act of 1934, as amended, or otherwise subject to the liabilities of that section.</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We do not have, and expressly disclaim, any obligation to release publicly any updates or any changes in our expectations or any change in events, conditions, or circumstances on which any forward-looking statement is based.</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The text included with this Current Report on Form 8-K is available on our website at </w:t>
      </w:r>
      <w:r>
        <w:rPr>
          <w:rFonts w:ascii="Arial" w:cs="Arial" w:eastAsia="Arial" w:hAnsi="Arial"/>
          <w:sz w:val="18"/>
          <w:szCs w:val="18"/>
          <w:i w:val="1"/>
          <w:iCs w:val="1"/>
          <w:color w:val="auto"/>
        </w:rPr>
        <w:t>www.smith-wesson.com</w:t>
      </w:r>
      <w:r>
        <w:rPr>
          <w:rFonts w:ascii="Arial" w:cs="Arial" w:eastAsia="Arial" w:hAnsi="Arial"/>
          <w:sz w:val="18"/>
          <w:szCs w:val="18"/>
          <w:color w:val="auto"/>
        </w:rPr>
        <w:t>, although we reserve the right to discontinue that availability at any time.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48" w:lineRule="exact"/>
        <w:rPr>
          <w:sz w:val="20"/>
          <w:szCs w:val="20"/>
          <w:color w:val="auto"/>
        </w:rPr>
      </w:pPr>
    </w:p>
    <w:p>
      <w:pPr>
        <w:jc w:val="center"/>
        <w:ind w:right="10580"/>
        <w:spacing w:after="0"/>
        <w:rPr>
          <w:sz w:val="20"/>
          <w:szCs w:val="20"/>
          <w:color w:val="auto"/>
        </w:rPr>
      </w:pPr>
      <w:r>
        <w:rPr>
          <w:rFonts w:ascii="Arial" w:cs="Arial" w:eastAsia="Arial" w:hAnsi="Arial"/>
          <w:sz w:val="13"/>
          <w:szCs w:val="13"/>
          <w:color w:val="auto"/>
        </w:rPr>
        <w:t>Exhibit</w:t>
      </w:r>
    </w:p>
    <w:p>
      <w:pPr>
        <w:spacing w:after="0" w:line="11" w:lineRule="exact"/>
        <w:rPr>
          <w:sz w:val="20"/>
          <w:szCs w:val="20"/>
          <w:color w:val="auto"/>
        </w:rPr>
      </w:pPr>
    </w:p>
    <w:p>
      <w:pPr>
        <w:jc w:val="center"/>
        <w:ind w:right="1058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68" w:lineRule="exact"/>
        <w:rPr>
          <w:sz w:val="20"/>
          <w:szCs w:val="20"/>
          <w:color w:val="auto"/>
        </w:rPr>
      </w:pPr>
    </w:p>
    <w:p>
      <w:pPr>
        <w:ind w:left="840" w:right="320" w:hanging="849"/>
        <w:spacing w:after="0" w:line="277" w:lineRule="auto"/>
        <w:tabs>
          <w:tab w:leader="none" w:pos="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u w:val="single" w:color="auto"/>
          <w:color w:val="0000EE"/>
        </w:rPr>
        <w:t>Press release from Smith &amp; Wesson Brands, Inc., dated September 7, 2023, entitled “Smith &amp; Wesson Brands, Inc. Reports First Quarter Fiscal 2024 Financial Results</w:t>
      </w:r>
    </w:p>
    <w:p>
      <w:pPr>
        <w:spacing w:after="0" w:line="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SMITH &amp; WESSON BRANDS,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September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Deana L. McPherson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Executive Vice President, Chief Financial Officer, Treasurer,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Assistant Secretary</w:t>
      </w:r>
    </w:p>
    <w:p>
      <w:pPr>
        <w:sectPr>
          <w:pgSz w:w="11900" w:h="16838" w:orient="portrait"/>
          <w:cols w:equalWidth="0" w:num="1">
            <w:col w:w="10740"/>
          </w:cols>
          <w:pgMar w:left="440" w:top="297"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171450</wp:posOffset>
            </wp:positionV>
            <wp:extent cx="6111875"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118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Smith &amp; Wesson Brands,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Fiscal 2024 Financial Results</w:t>
      </w:r>
    </w:p>
    <w:p>
      <w:pPr>
        <w:spacing w:after="0" w:line="238"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auto"/>
        </w:rPr>
        <w:t>-   Q1 Net Sales of $114.2 Million</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Q1 Gross Margin of 26.6%; Non-GAAP Gross Margin of 27.4%</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Q1 EPS of $0.07/Share; Q1 Adjusted EPS of $0.13/Share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Q1 Adjusted EBITDAS Margin of 15.3%</w:t>
      </w:r>
    </w:p>
    <w:p>
      <w:pPr>
        <w:spacing w:after="0" w:line="220" w:lineRule="exact"/>
        <w:rPr>
          <w:sz w:val="20"/>
          <w:szCs w:val="20"/>
          <w:color w:val="auto"/>
        </w:rPr>
      </w:pPr>
    </w:p>
    <w:p>
      <w:pPr>
        <w:ind w:right="500"/>
        <w:spacing w:after="0" w:line="312" w:lineRule="auto"/>
        <w:rPr>
          <w:sz w:val="20"/>
          <w:szCs w:val="20"/>
          <w:color w:val="auto"/>
        </w:rPr>
      </w:pPr>
      <w:r>
        <w:rPr>
          <w:rFonts w:ascii="Arial" w:cs="Arial" w:eastAsia="Arial" w:hAnsi="Arial"/>
          <w:sz w:val="17"/>
          <w:szCs w:val="17"/>
          <w:b w:val="1"/>
          <w:bCs w:val="1"/>
          <w:color w:val="auto"/>
        </w:rPr>
        <w:t>SPRINGFIELD, Mass., September 7, 2023 – Smith &amp; Wesson Brands, Inc. (NASDAQ Global Select: SWBI)</w:t>
      </w:r>
      <w:r>
        <w:rPr>
          <w:rFonts w:ascii="Arial" w:cs="Arial" w:eastAsia="Arial" w:hAnsi="Arial"/>
          <w:sz w:val="17"/>
          <w:szCs w:val="17"/>
          <w:color w:val="auto"/>
        </w:rPr>
        <w:t>, a U.S.-based leader in firearm</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and design, today announced financial results for the first quarter fiscal year 2024, ended July 31,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Fiscal 2024 Financial Highlights</w:t>
      </w:r>
    </w:p>
    <w:p>
      <w:pPr>
        <w:spacing w:after="0" w:line="135" w:lineRule="exact"/>
        <w:rPr>
          <w:sz w:val="20"/>
          <w:szCs w:val="20"/>
          <w:color w:val="auto"/>
        </w:rPr>
      </w:pPr>
    </w:p>
    <w:p>
      <w:pPr>
        <w:ind w:left="960" w:hanging="532"/>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Net sales were $114.2 million, an increase of $29.8 million, or 35.4%, over the comparable quarter last year.</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Gross margin was 26.6% compared with 37.3% in the comparable quarter last year.</w:t>
      </w:r>
    </w:p>
    <w:p>
      <w:pPr>
        <w:spacing w:after="0" w:line="130" w:lineRule="exact"/>
        <w:rPr>
          <w:rFonts w:ascii="MS PGothic" w:cs="MS PGothic" w:eastAsia="MS PGothic" w:hAnsi="MS PGothic"/>
          <w:sz w:val="18"/>
          <w:szCs w:val="18"/>
          <w:color w:val="auto"/>
        </w:rPr>
      </w:pPr>
    </w:p>
    <w:p>
      <w:pPr>
        <w:ind w:left="960" w:right="60" w:hanging="532"/>
        <w:spacing w:after="0" w:line="277" w:lineRule="auto"/>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GAAP net income was $3.1 million, or $0.07 per diluted share, compared with $3.3 million, or $0.07 per diluted share, for the comparable quarter last year.</w:t>
      </w:r>
    </w:p>
    <w:p>
      <w:pPr>
        <w:spacing w:after="0" w:line="75" w:lineRule="exact"/>
        <w:rPr>
          <w:rFonts w:ascii="MS PGothic" w:cs="MS PGothic" w:eastAsia="MS PGothic" w:hAnsi="MS PGothic"/>
          <w:sz w:val="18"/>
          <w:szCs w:val="18"/>
          <w:color w:val="auto"/>
        </w:rPr>
      </w:pPr>
    </w:p>
    <w:p>
      <w:pPr>
        <w:ind w:left="960" w:right="300" w:hanging="532"/>
        <w:spacing w:after="0" w:line="263" w:lineRule="auto"/>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Non-GAAP net income was $6.1 million, or $0.13 per diluted share, compared with $5.1 million, or $0.11 per diluted share, for the comparable quarter last year. GAAP to non-GAAP adjustments for income exclude costs related to the relocation and other costs. For a detailed reconciliation, see the schedules that follow in this release.</w:t>
      </w:r>
    </w:p>
    <w:p>
      <w:pPr>
        <w:spacing w:after="0" w:line="89" w:lineRule="exact"/>
        <w:rPr>
          <w:rFonts w:ascii="MS PGothic" w:cs="MS PGothic" w:eastAsia="MS PGothic" w:hAnsi="MS PGothic"/>
          <w:sz w:val="18"/>
          <w:szCs w:val="18"/>
          <w:color w:val="auto"/>
        </w:rPr>
      </w:pPr>
    </w:p>
    <w:p>
      <w:pPr>
        <w:ind w:left="960" w:right="400" w:hanging="532"/>
        <w:spacing w:after="0" w:line="277" w:lineRule="auto"/>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Non-GAAP Adjusted EBITDAS was $17.5 million, or 15.3% of net sales, compared with $15.7 million, or 18.5% of net sales, for the comparable quarter last year.</w:t>
      </w:r>
    </w:p>
    <w:p>
      <w:pPr>
        <w:spacing w:after="0" w:line="17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Mark Smith, President and Chief Executive Officer, commented, “We are very pleased with our first quarter performance. Our top line results reflected strong consumer demand for the Smith &amp; Wesson brand at retail. Channel inventory of our products remained steady throughout the seasonally slow period this summer, indicating healthy pull through of our shipments at both distributor and retailer levels. Innovation and our iconic brand’s reputation for quality continue to be big drivers of consumers’ preference for Smith &amp; Wesson. Combined with healthy, lean channel inventories as we enter the traditionally busy fall season, we anticipate these tailwinds will allow us to continue to deliver strong results.”</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Deana McPherson, Executive Vice President and Chief Financial Officer, commented, “Bottom line profitability remained strong as disciplined cost control offset temporary headwinds from seasonally lower production volumes and inflationary factors. Gross margin in the quarter was negatively impacted by manufacturing cost absorption and inventory reserve adjustments, and we remain comfortable with our published financial model of annual gross margins of at least 32%. Cash from operations was $40.6 million, more than $33 million above last year, reflecting lower inventory due to strong pull through of our products at retail and a seasonal reduction in accounts receivable. Consistent with our capital allocation strategy, our board of directors has authorized a $0.12 per share quarterly dividend, which will be paid to stockholders of record on September 21, 2023 with payment to be made on October 5, 2023.”</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will host a conference call and webcast on September 7, 2023 to discuss its first quarter fiscal 2024 financial and operational results. Speakers on the conference call will include Mark Smith, President and Chief Executive Officer, and Deana McPherson, Executive Vice President and Chief Financial Officer. The conference call may include forward-looking statements. The conference call and webcast will begin at 5:00 p.m. Eastern Time (2:00 p.m. Pacific Time). Those interested in listening to the conference call via telephone should click “</w:t>
      </w:r>
      <w:r>
        <w:rPr>
          <w:rFonts w:ascii="Arial" w:cs="Arial" w:eastAsia="Arial" w:hAnsi="Arial"/>
          <w:sz w:val="17"/>
          <w:szCs w:val="17"/>
          <w:u w:val="single" w:color="auto"/>
          <w:color w:val="auto"/>
        </w:rPr>
        <w:t>here</w:t>
      </w:r>
      <w:r>
        <w:rPr>
          <w:rFonts w:ascii="Arial" w:cs="Arial" w:eastAsia="Arial" w:hAnsi="Arial"/>
          <w:sz w:val="17"/>
          <w:szCs w:val="17"/>
          <w:color w:val="auto"/>
        </w:rPr>
        <w:t xml:space="preserve">” to pre-register for the conference call and obtain your dial-in number and unique PIN number. The conference call audio webcast can also be accessed live on the company’s website at </w:t>
      </w:r>
      <w:r>
        <w:rPr>
          <w:rFonts w:ascii="Arial" w:cs="Arial" w:eastAsia="Arial" w:hAnsi="Arial"/>
          <w:sz w:val="17"/>
          <w:szCs w:val="17"/>
          <w:u w:val="single" w:color="auto"/>
          <w:color w:val="auto"/>
        </w:rPr>
        <w:t>www.smith-wesson.com</w:t>
      </w:r>
      <w:r>
        <w:rPr>
          <w:rFonts w:ascii="Arial" w:cs="Arial" w:eastAsia="Arial" w:hAnsi="Arial"/>
          <w:sz w:val="17"/>
          <w:szCs w:val="17"/>
          <w:color w:val="auto"/>
        </w:rPr>
        <w:t>, under the Investor Relations section.</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U.S. GAAP to Non-GAAP Financial Measures</w:t>
      </w:r>
    </w:p>
    <w:p>
      <w:pPr>
        <w:spacing w:after="0" w:line="1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this press release, certain non-GAAP financial measures, including “non-GAAP net income,” “Adjusted EBITDAS,” and “free cash flow” are presented. From time-to-time, we consider and use these supplemental measures of operating performance in order to provide the reader with an improved understanding of underlying performance trends. We believe it is useful for us and the reader to review, as applicable, both (1) GAAP measures that include (i) interest expense, (ii) income tax expense, (iii) depreciation and amortization, (iv) stock-based compensation expense, (v) spin related stock-based compensation, (vi) relocation expense, and (vii) the tax effect of non-GAAP adjustments; and (2) the non-GAAP measures that exclude such information. We present these non-GAAP measures because we consider them an important supplemental measure of our performance. Our definition of these adjusted financial measures may differ from similarly named measures used by others. We believe these measures facilitate operating performance comparisons from period to period by eliminating potential differences caused by the existence and timing of certain expense items that would not otherwise be apparent on a GAAP basis. These non-GAAP measures have limitations as an analytical tool and should not be considered in isolation or as a substitute for our GAAP measures. The principal limitations of these measures are that they do not reflect our actual expenses and may thus have the effect of inflating its financial measures on a GAAP basis.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Smith &amp; Wesson Brands, Inc.</w:t>
      </w:r>
    </w:p>
    <w:p>
      <w:pPr>
        <w:spacing w:after="0" w:line="12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Smith &amp; Wesson Brands, Inc. (NASDAQ Global Select: SWBI) is a U.S.-based leader in firearm manufacturing and design, delivering a broad portfolio of quality handgun, long gun, and suppressor products to the global consumer and professional markets under the iconic Smith &amp; Wesson</w:t>
      </w:r>
      <w:r>
        <w:rPr>
          <w:rFonts w:ascii="Arial" w:cs="Arial" w:eastAsia="Arial" w:hAnsi="Arial"/>
          <w:sz w:val="26"/>
          <w:szCs w:val="26"/>
          <w:color w:val="auto"/>
          <w:vertAlign w:val="superscript"/>
        </w:rPr>
        <w:t>®</w:t>
      </w:r>
      <w:r>
        <w:rPr>
          <w:rFonts w:ascii="Arial" w:cs="Arial" w:eastAsia="Arial" w:hAnsi="Arial"/>
          <w:sz w:val="18"/>
          <w:szCs w:val="18"/>
          <w:color w:val="auto"/>
        </w:rPr>
        <w:t>, M&amp;P</w:t>
      </w:r>
      <w:r>
        <w:rPr>
          <w:rFonts w:ascii="Arial" w:cs="Arial" w:eastAsia="Arial" w:hAnsi="Arial"/>
          <w:sz w:val="26"/>
          <w:szCs w:val="26"/>
          <w:color w:val="auto"/>
          <w:vertAlign w:val="superscript"/>
        </w:rPr>
        <w:t>®</w:t>
      </w:r>
      <w:r>
        <w:rPr>
          <w:rFonts w:ascii="Arial" w:cs="Arial" w:eastAsia="Arial" w:hAnsi="Arial"/>
          <w:sz w:val="18"/>
          <w:szCs w:val="18"/>
          <w:color w:val="auto"/>
        </w:rPr>
        <w:t>, and Gemtech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brands. The company also provides manufacturing services including forging, machining, and precision plastic injection molding services. For more information call (800) 331-0852 or visit </w:t>
      </w:r>
      <w:r>
        <w:rPr>
          <w:rFonts w:ascii="Arial" w:cs="Arial" w:eastAsia="Arial" w:hAnsi="Arial"/>
          <w:sz w:val="18"/>
          <w:szCs w:val="18"/>
          <w:u w:val="single" w:color="auto"/>
          <w:color w:val="auto"/>
        </w:rPr>
        <w:t>www.smith-wesson.com</w:t>
      </w: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Certain statements contained in this press release may be deemed to be forward-looking statements under federal securities laws, and we intend that such forward-looking statements be subject to the safe-harbor created thereby. Such forward-looking statements include, among others, that (i) we anticipate certain tailwinds (i.e. innovation, our iconic brand’s reputation for quality, and lean channel inventories as we enter the traditionally busy fall season) will allow us to continue to deliver strong results and (ii) we remain comfortable with our published financial model of annual gross margins of at least 32%. We caution that these statements are qualified by important risks, uncertainties, and other factors that could cause actual results to differ materially from those reflected by such forward-looking statements. Such factors include, among others, economic, social, political, legislative, and regulatory factors;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our anticipated growth and growth opportunities; our strategies; our ability to maintain and enhance brand recognition and reputation; our ability to effectively manage and execute the relocation; our ability to introduce new products; the success of new products; the potential for cancellation of orders from our backlog; and other risks detailed from time to time in our reports filed with the Securities and Exchange Commission, including our Annual Report on Form 10-K for the fiscal year ended April 30,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investorrelations@smith-wesson.com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(413) 747-3448</w:t>
      </w:r>
    </w:p>
    <w:p>
      <w:pPr>
        <w:sectPr>
          <w:pgSz w:w="11900" w:h="16838" w:orient="portrait"/>
          <w:cols w:equalWidth="0" w:num="1">
            <w:col w:w="10960"/>
          </w:cols>
          <w:pgMar w:left="440" w:top="270" w:right="4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SMITH &amp; WESSON BRANDS,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July 31, 2023</w:t>
            </w:r>
          </w:p>
        </w:tc>
        <w:tc>
          <w:tcPr>
            <w:tcW w:w="120" w:type="dxa"/>
            <w:vAlign w:val="bottom"/>
            <w:vMerge w:val="restart"/>
          </w:tcPr>
          <w:p>
            <w:pPr>
              <w:spacing w:after="0"/>
              <w:rPr>
                <w:sz w:val="16"/>
                <w:szCs w:val="16"/>
                <w:color w:val="auto"/>
              </w:rPr>
            </w:pPr>
          </w:p>
        </w:tc>
        <w:tc>
          <w:tcPr>
            <w:tcW w:w="780" w:type="dxa"/>
            <w:vAlign w:val="bottom"/>
            <w:gridSpan w:val="2"/>
          </w:tcPr>
          <w:p>
            <w:pPr>
              <w:jc w:val="right"/>
              <w:ind w:right="267"/>
              <w:spacing w:after="0"/>
              <w:rPr>
                <w:sz w:val="20"/>
                <w:szCs w:val="20"/>
                <w:color w:val="auto"/>
              </w:rPr>
            </w:pPr>
            <w:r>
              <w:rPr>
                <w:rFonts w:ascii="Arial" w:cs="Arial" w:eastAsia="Arial" w:hAnsi="Arial"/>
                <w:sz w:val="14"/>
                <w:szCs w:val="14"/>
                <w:b w:val="1"/>
                <w:bCs w:val="1"/>
                <w:color w:val="auto"/>
              </w:rPr>
              <w:t>As of:</w:t>
            </w:r>
          </w:p>
        </w:tc>
        <w:tc>
          <w:tcPr>
            <w:tcW w:w="1080" w:type="dxa"/>
            <w:vAlign w:val="bottom"/>
            <w:vMerge w:val="restart"/>
          </w:tcPr>
          <w:p>
            <w:pPr>
              <w:jc w:val="right"/>
              <w:ind w:right="111"/>
              <w:spacing w:after="0"/>
              <w:rPr>
                <w:sz w:val="20"/>
                <w:szCs w:val="20"/>
                <w:color w:val="auto"/>
              </w:rPr>
            </w:pPr>
            <w:r>
              <w:rPr>
                <w:rFonts w:ascii="Arial" w:cs="Arial" w:eastAsia="Arial" w:hAnsi="Arial"/>
                <w:sz w:val="13"/>
                <w:szCs w:val="13"/>
                <w:b w:val="1"/>
                <w:bCs w:val="1"/>
                <w:color w:val="auto"/>
              </w:rPr>
              <w:t>April 30, 2023</w:t>
            </w:r>
          </w:p>
        </w:tc>
        <w:tc>
          <w:tcPr>
            <w:tcW w:w="1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80" w:type="dxa"/>
            <w:vAlign w:val="bottom"/>
            <w:gridSpan w:val="6"/>
          </w:tcPr>
          <w:p>
            <w:pPr>
              <w:jc w:val="right"/>
              <w:ind w:right="460"/>
              <w:spacing w:after="0"/>
              <w:rPr>
                <w:sz w:val="20"/>
                <w:szCs w:val="20"/>
                <w:color w:val="auto"/>
              </w:rPr>
            </w:pPr>
            <w:r>
              <w:rPr>
                <w:rFonts w:ascii="Arial" w:cs="Arial" w:eastAsia="Arial" w:hAnsi="Arial"/>
                <w:sz w:val="13"/>
                <w:szCs w:val="13"/>
                <w:color w:val="auto"/>
                <w:w w:val="97"/>
              </w:rPr>
              <w:t>(In thousands, except par value and share data)</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1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53,556</w:t>
            </w:r>
          </w:p>
        </w:tc>
        <w:tc>
          <w:tcPr>
            <w:tcW w:w="0" w:type="dxa"/>
            <w:vAlign w:val="bottom"/>
          </w:tcPr>
          <w:p>
            <w:pPr>
              <w:spacing w:after="0"/>
              <w:rPr>
                <w:sz w:val="1"/>
                <w:szCs w:val="1"/>
                <w:color w:val="auto"/>
              </w:rPr>
            </w:pPr>
          </w:p>
        </w:tc>
      </w:tr>
      <w:tr>
        <w:trPr>
          <w:trHeight w:val="202"/>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w w:val="98"/>
              </w:rPr>
              <w:t>Accounts receivable, net of allowances for credit losses of $17 on July 31, 2023 and $23 on</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540"/>
              <w:spacing w:after="0"/>
              <w:rPr>
                <w:sz w:val="20"/>
                <w:szCs w:val="20"/>
                <w:color w:val="auto"/>
              </w:rPr>
            </w:pPr>
            <w:r>
              <w:rPr>
                <w:rFonts w:ascii="Arial" w:cs="Arial" w:eastAsia="Arial" w:hAnsi="Arial"/>
                <w:sz w:val="18"/>
                <w:szCs w:val="18"/>
                <w:color w:val="auto"/>
              </w:rPr>
              <w:t>April 30, 2023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28,164</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55,153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170,754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177,118</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8,741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30"/>
        </w:trPr>
        <w:tc>
          <w:tcPr>
            <w:tcW w:w="75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264,153</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234,595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210,330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3,534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19,024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19,024</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8,085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8,085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8,347</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537,662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shd w:val="clear" w:color="auto" w:fill="CCEEFF"/>
          </w:tcPr>
          <w:p>
            <w:pPr>
              <w:ind w:left="35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36,795</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Accrued expenses and deferred revenue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16,041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20,149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incentives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20,117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18,565</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2,585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profit sharing</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Accrued warranty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87,213</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Notes and loans payable, net of current portion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24,813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24,790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payable, net of current portion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36,591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36,961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7,741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7,707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154,947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156,671</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rPr>
              <w:t>Preferred stock, $0.001 par value, 20,000,000 shares authorized, no shares issued or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54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$0.001 par value, 100,000,000 shares authorized, 75,183,851 issued and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46,143,481 shares outstanding on July 31, 2023 and 75,029,300 shares issued and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45,988,930 shares outstanding on April 30, 2023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284,176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283,666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520,766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523,184</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(29,040,370 shares on July 31, 2023 and April 30, 2023)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(422,375)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(422,375)</w:t>
            </w:r>
          </w:p>
        </w:tc>
        <w:tc>
          <w:tcPr>
            <w:tcW w:w="0" w:type="dxa"/>
            <w:vAlign w:val="bottom"/>
          </w:tcPr>
          <w:p>
            <w:pPr>
              <w:spacing w:after="0"/>
              <w:rPr>
                <w:sz w:val="1"/>
                <w:szCs w:val="1"/>
                <w:color w:val="auto"/>
              </w:rPr>
            </w:pPr>
          </w:p>
        </w:tc>
      </w:tr>
      <w:tr>
        <w:trPr>
          <w:trHeight w:val="230"/>
        </w:trPr>
        <w:tc>
          <w:tcPr>
            <w:tcW w:w="75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382,715</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384,623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537,662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541,294</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SMITH &amp; WESSON BRANDS,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For the Three Months Ended July 31,</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(In thousands,</w:t>
            </w:r>
          </w:p>
        </w:tc>
        <w:tc>
          <w:tcPr>
            <w:tcW w:w="6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85"/>
              </w:rPr>
              <w:t>except per</w:t>
            </w:r>
          </w:p>
        </w:tc>
        <w:tc>
          <w:tcPr>
            <w:tcW w:w="1000" w:type="dxa"/>
            <w:vAlign w:val="bottom"/>
            <w:gridSpan w:val="2"/>
          </w:tcPr>
          <w:p>
            <w:pPr>
              <w:jc w:val="right"/>
              <w:ind w:right="231"/>
              <w:spacing w:after="0" w:line="155" w:lineRule="exact"/>
              <w:rPr>
                <w:sz w:val="20"/>
                <w:szCs w:val="20"/>
                <w:color w:val="auto"/>
              </w:rPr>
            </w:pPr>
            <w:r>
              <w:rPr>
                <w:rFonts w:ascii="Arial" w:cs="Arial" w:eastAsia="Arial" w:hAnsi="Arial"/>
                <w:sz w:val="14"/>
                <w:szCs w:val="14"/>
                <w:color w:val="auto"/>
                <w:w w:val="93"/>
              </w:rPr>
              <w:t>share data)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1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114,243</w:t>
            </w:r>
          </w:p>
        </w:tc>
        <w:tc>
          <w:tcPr>
            <w:tcW w:w="5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84,394</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Cost of sales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83,842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52,923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31,471</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1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1,799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Selling, marketing, and distribution</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8"/>
              <w:spacing w:after="0"/>
              <w:rPr>
                <w:sz w:val="20"/>
                <w:szCs w:val="20"/>
                <w:color w:val="auto"/>
              </w:rPr>
            </w:pPr>
            <w:r>
              <w:rPr>
                <w:rFonts w:ascii="Arial" w:cs="Arial" w:eastAsia="Arial" w:hAnsi="Arial"/>
                <w:sz w:val="18"/>
                <w:szCs w:val="18"/>
                <w:color w:val="auto"/>
              </w:rPr>
              <w:t>10,040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8,027</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14,213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17,854</w:t>
            </w:r>
          </w:p>
        </w:tc>
        <w:tc>
          <w:tcPr>
            <w:tcW w:w="0" w:type="dxa"/>
            <w:vAlign w:val="bottom"/>
          </w:tcPr>
          <w:p>
            <w:pPr>
              <w:spacing w:after="0"/>
              <w:rPr>
                <w:sz w:val="1"/>
                <w:szCs w:val="1"/>
                <w:color w:val="auto"/>
              </w:rPr>
            </w:pPr>
          </w:p>
        </w:tc>
      </w:tr>
      <w:tr>
        <w:trPr>
          <w:trHeight w:val="230"/>
        </w:trPr>
        <w:tc>
          <w:tcPr>
            <w:tcW w:w="6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9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26,052</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4,349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income/(expense), net</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Interest income/(expense), net</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income/(expense), net</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Income from operations before income taxes</w:t>
            </w:r>
          </w:p>
        </w:tc>
        <w:tc>
          <w:tcPr>
            <w:tcW w:w="1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1,431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Net income</w:t>
            </w:r>
          </w:p>
        </w:tc>
        <w:tc>
          <w:tcPr>
            <w:tcW w:w="19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Basic—net income</w:t>
            </w:r>
          </w:p>
        </w:tc>
        <w:tc>
          <w:tcPr>
            <w:tcW w:w="21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8"/>
              <w:spacing w:after="0"/>
              <w:rPr>
                <w:sz w:val="20"/>
                <w:szCs w:val="20"/>
                <w:color w:val="auto"/>
              </w:rPr>
            </w:pPr>
            <w:r>
              <w:rPr>
                <w:rFonts w:ascii="Arial" w:cs="Arial" w:eastAsia="Arial" w:hAnsi="Arial"/>
                <w:sz w:val="18"/>
                <w:szCs w:val="18"/>
                <w:color w:val="auto"/>
              </w:rPr>
              <w:t>0.07</w:t>
            </w:r>
          </w:p>
        </w:tc>
        <w:tc>
          <w:tcPr>
            <w:tcW w:w="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Diluted—net income</w:t>
            </w:r>
          </w:p>
        </w:tc>
        <w:tc>
          <w:tcPr>
            <w:tcW w:w="21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0.07</w:t>
            </w:r>
          </w:p>
        </w:tc>
        <w:tc>
          <w:tcPr>
            <w:tcW w:w="5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46,103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45,739</w:t>
            </w:r>
          </w:p>
        </w:tc>
        <w:tc>
          <w:tcPr>
            <w:tcW w:w="0" w:type="dxa"/>
            <w:vAlign w:val="bottom"/>
          </w:tcPr>
          <w:p>
            <w:pPr>
              <w:spacing w:after="0"/>
              <w:rPr>
                <w:sz w:val="1"/>
                <w:szCs w:val="1"/>
                <w:color w:val="auto"/>
              </w:rPr>
            </w:pP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68"/>
              <w:spacing w:after="0"/>
              <w:rPr>
                <w:sz w:val="20"/>
                <w:szCs w:val="20"/>
                <w:color w:val="auto"/>
              </w:rPr>
            </w:pPr>
            <w:r>
              <w:rPr>
                <w:rFonts w:ascii="Arial" w:cs="Arial" w:eastAsia="Arial" w:hAnsi="Arial"/>
                <w:sz w:val="18"/>
                <w:szCs w:val="18"/>
                <w:color w:val="auto"/>
              </w:rPr>
              <w:t>46,551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46,102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SMITH &amp; WESSON BRANDS,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For the Three Months Ended July 31,</w:t>
            </w: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3"/>
          </w:tcPr>
          <w:p>
            <w:pPr>
              <w:ind w:left="820"/>
              <w:spacing w:after="0" w:line="155" w:lineRule="exact"/>
              <w:rPr>
                <w:sz w:val="20"/>
                <w:szCs w:val="20"/>
                <w:color w:val="auto"/>
              </w:rPr>
            </w:pPr>
            <w:r>
              <w:rPr>
                <w:rFonts w:ascii="Arial" w:cs="Arial" w:eastAsia="Arial" w:hAnsi="Arial"/>
                <w:sz w:val="14"/>
                <w:szCs w:val="14"/>
                <w:color w:val="auto"/>
                <w:w w:val="82"/>
              </w:rPr>
              <w:t>(In thousands)</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3,118</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9,253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7,549</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Loss/(gain) on sale/disposition of assets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140" w:type="dxa"/>
            <w:vAlign w:val="bottom"/>
          </w:tcPr>
          <w:p>
            <w:pPr>
              <w:ind w:left="720"/>
              <w:spacing w:after="0"/>
              <w:rPr>
                <w:sz w:val="20"/>
                <w:szCs w:val="20"/>
                <w:color w:val="auto"/>
              </w:rPr>
            </w:pPr>
            <w:r>
              <w:rPr>
                <w:rFonts w:ascii="Arial" w:cs="Arial" w:eastAsia="Arial" w:hAnsi="Arial"/>
                <w:sz w:val="18"/>
                <w:szCs w:val="18"/>
                <w:color w:val="auto"/>
              </w:rPr>
              <w:t>Provision for recoveries on notes and accounts receivable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714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26,995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38,935</w:t>
            </w:r>
          </w:p>
        </w:tc>
        <w:tc>
          <w:tcPr>
            <w:tcW w:w="0" w:type="dxa"/>
            <w:vAlign w:val="bottom"/>
          </w:tcPr>
          <w:p>
            <w:pPr>
              <w:spacing w:after="0"/>
              <w:rPr>
                <w:sz w:val="1"/>
                <w:szCs w:val="1"/>
                <w:color w:val="auto"/>
              </w:rPr>
            </w:pPr>
          </w:p>
        </w:tc>
      </w:tr>
      <w:tr>
        <w:trPr>
          <w:trHeight w:val="216"/>
        </w:trPr>
        <w:tc>
          <w:tcPr>
            <w:tcW w:w="7140" w:type="dxa"/>
            <w:vAlign w:val="bottom"/>
          </w:tcPr>
          <w:p>
            <w:pPr>
              <w:ind w:left="108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6,363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(45,841)</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(3,825)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7140" w:type="dxa"/>
            <w:vAlign w:val="bottom"/>
          </w:tcPr>
          <w:p>
            <w:pPr>
              <w:ind w:left="1080"/>
              <w:spacing w:after="0"/>
              <w:rPr>
                <w:sz w:val="20"/>
                <w:szCs w:val="20"/>
                <w:color w:val="auto"/>
              </w:rPr>
            </w:pPr>
            <w:r>
              <w:rPr>
                <w:rFonts w:ascii="Arial" w:cs="Arial" w:eastAsia="Arial" w:hAnsi="Arial"/>
                <w:sz w:val="18"/>
                <w:szCs w:val="18"/>
                <w:color w:val="auto"/>
              </w:rPr>
              <w:t>Income taxes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915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16"/>
        </w:trPr>
        <w:tc>
          <w:tcPr>
            <w:tcW w:w="7140" w:type="dxa"/>
            <w:vAlign w:val="bottom"/>
          </w:tcPr>
          <w:p>
            <w:pPr>
              <w:ind w:left="1080"/>
              <w:spacing w:after="0"/>
              <w:rPr>
                <w:sz w:val="20"/>
                <w:szCs w:val="20"/>
                <w:color w:val="auto"/>
              </w:rPr>
            </w:pPr>
            <w:r>
              <w:rPr>
                <w:rFonts w:ascii="Arial" w:cs="Arial" w:eastAsia="Arial" w:hAnsi="Arial"/>
                <w:sz w:val="18"/>
                <w:szCs w:val="18"/>
                <w:color w:val="auto"/>
              </w:rPr>
              <w:t>Accrued payroll and incentives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1,551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profit sharing</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16"/>
        </w:trPr>
        <w:tc>
          <w:tcPr>
            <w:tcW w:w="7140" w:type="dxa"/>
            <w:vAlign w:val="bottom"/>
          </w:tcPr>
          <w:p>
            <w:pPr>
              <w:ind w:left="1080"/>
              <w:spacing w:after="0"/>
              <w:rPr>
                <w:sz w:val="20"/>
                <w:szCs w:val="20"/>
                <w:color w:val="auto"/>
              </w:rPr>
            </w:pPr>
            <w:r>
              <w:rPr>
                <w:rFonts w:ascii="Arial" w:cs="Arial" w:eastAsia="Arial" w:hAnsi="Arial"/>
                <w:sz w:val="18"/>
                <w:szCs w:val="18"/>
                <w:color w:val="auto"/>
              </w:rPr>
              <w:t>Accrued expenses and deferred revenue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(4,135)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warranty</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140" w:type="dxa"/>
            <w:vAlign w:val="bottom"/>
          </w:tcPr>
          <w:p>
            <w:pPr>
              <w:ind w:left="108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non-current liabilities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30"/>
        </w:trPr>
        <w:tc>
          <w:tcPr>
            <w:tcW w:w="7140" w:type="dxa"/>
            <w:vAlign w:val="bottom"/>
          </w:tcPr>
          <w:p>
            <w:pPr>
              <w:ind w:left="144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40,630</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Payments to acquire patents and software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Payments to acquire property and equipment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(32,057)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(11,538)</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(32,067)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(11,586)</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finance lease obligation</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Dividend distribution</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(5,536)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employee withholding tax related to restricted stock units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30"/>
        </w:trPr>
        <w:tc>
          <w:tcPr>
            <w:tcW w:w="7140" w:type="dxa"/>
            <w:vAlign w:val="bottom"/>
          </w:tcPr>
          <w:p>
            <w:pPr>
              <w:ind w:left="144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(10,276)</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53,556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120,728</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55,479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110,452</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720"/>
              <w:spacing w:after="0"/>
              <w:rPr>
                <w:sz w:val="20"/>
                <w:szCs w:val="20"/>
                <w:color w:val="auto"/>
              </w:rPr>
            </w:pPr>
            <w:r>
              <w:rPr>
                <w:rFonts w:ascii="Arial" w:cs="Arial" w:eastAsia="Arial" w:hAnsi="Arial"/>
                <w:sz w:val="18"/>
                <w:szCs w:val="18"/>
                <w:color w:val="auto"/>
              </w:rPr>
              <w:t>Interest, net of amounts capitalized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525</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494</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SMITH &amp; WESSON BRANDS, INC.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9"/>
              </w:rPr>
              <w:t>For the Three Months Ended</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tcPr>
          <w:p>
            <w:pPr>
              <w:jc w:val="right"/>
              <w:ind w:right="780"/>
              <w:spacing w:after="0" w:line="142" w:lineRule="exact"/>
              <w:rPr>
                <w:sz w:val="20"/>
                <w:szCs w:val="20"/>
                <w:color w:val="auto"/>
              </w:rPr>
            </w:pPr>
            <w:r>
              <w:rPr>
                <w:rFonts w:ascii="Arial" w:cs="Arial" w:eastAsia="Arial" w:hAnsi="Arial"/>
                <w:sz w:val="14"/>
                <w:szCs w:val="14"/>
                <w:b w:val="1"/>
                <w:bCs w:val="1"/>
                <w:color w:val="auto"/>
              </w:rPr>
              <w:t>July 31, 2023</w:t>
            </w:r>
          </w:p>
        </w:tc>
        <w:tc>
          <w:tcPr>
            <w:tcW w:w="140" w:type="dxa"/>
            <w:vAlign w:val="bottom"/>
          </w:tcPr>
          <w:p>
            <w:pPr>
              <w:spacing w:after="0"/>
              <w:rPr>
                <w:sz w:val="12"/>
                <w:szCs w:val="12"/>
                <w:color w:val="auto"/>
              </w:rPr>
            </w:pPr>
          </w:p>
        </w:tc>
        <w:tc>
          <w:tcPr>
            <w:tcW w:w="140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rPr>
              <w:t>July 31, 2022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of Sales</w:t>
            </w:r>
          </w:p>
        </w:tc>
        <w:tc>
          <w:tcPr>
            <w:tcW w:w="4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 of Sales</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GAAP gross profit</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$30,401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$31,471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Relocation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1,244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31,304</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27.4%</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32,715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GAAP operating expenses</w:t>
            </w: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$26,052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$27,554</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Spin related 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Relocation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(3,009)</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(976)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expenses</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23,039</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20.2%</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26,550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GAAP operating income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3,917</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Spin related 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Relocation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2,220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8,265</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6,165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GAAP net income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3,312</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Spin related 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Relocation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3,912</w:t>
            </w:r>
          </w:p>
        </w:tc>
        <w:tc>
          <w:tcPr>
            <w:tcW w:w="14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2,220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effect of non-GAAP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Non-GAAP net income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6,067</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5,110</w:t>
            </w:r>
          </w:p>
        </w:tc>
        <w:tc>
          <w:tcPr>
            <w:tcW w:w="30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per share—diluted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0.07</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Relocation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0.05</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effect of non-GAAP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Non-GAAP net income per share—diluted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net income per share does not foot due to rounding.</w:t>
      </w:r>
    </w:p>
    <w:p>
      <w:pPr>
        <w:sectPr>
          <w:pgSz w:w="11900" w:h="16838" w:orient="portrait"/>
          <w:cols w:equalWidth="0" w:num="1">
            <w:col w:w="11024"/>
          </w:cols>
          <w:pgMar w:left="436" w:top="270"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SMITH &amp; WESSON BRANDS,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INCOME FROM OPERATIONS TO NON-GAAP ADJUSTED EBITDAS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6"/>
              </w:rPr>
              <w:t>For the Three Months Ended</w:t>
            </w:r>
          </w:p>
        </w:tc>
      </w:tr>
      <w:tr>
        <w:trPr>
          <w:trHeight w:val="142"/>
        </w:trPr>
        <w:tc>
          <w:tcPr>
            <w:tcW w:w="56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31, 2023</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July 31, 2022</w:t>
            </w:r>
          </w:p>
        </w:tc>
        <w:tc>
          <w:tcPr>
            <w:tcW w:w="220" w:type="dxa"/>
            <w:vAlign w:val="bottom"/>
          </w:tcPr>
          <w:p>
            <w:pPr>
              <w:spacing w:after="0"/>
              <w:rPr>
                <w:sz w:val="12"/>
                <w:szCs w:val="12"/>
                <w:color w:val="auto"/>
              </w:rPr>
            </w:pP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2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expense</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569</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9,231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7,527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Relocation expense</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2,220</w:t>
            </w:r>
          </w:p>
        </w:tc>
      </w:tr>
      <w:tr>
        <w:trPr>
          <w:trHeight w:val="27"/>
        </w:trPr>
        <w:tc>
          <w:tcPr>
            <w:tcW w:w="56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Non-GAAP Adjusted EBITDAS</w:t>
            </w:r>
          </w:p>
        </w:tc>
        <w:tc>
          <w:tcPr>
            <w:tcW w:w="308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17,529</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15,650</w:t>
            </w:r>
          </w:p>
        </w:tc>
      </w:tr>
      <w:tr>
        <w:trPr>
          <w:trHeight w:val="20"/>
        </w:trPr>
        <w:tc>
          <w:tcPr>
            <w:tcW w:w="5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1"/>
        </w:trPr>
        <w:tc>
          <w:tcPr>
            <w:tcW w:w="56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r>
    </w:tbl>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OPERATING CASH FLOW FROM OPERATIONS TO FREE CASH FLOW</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For the Three Months Ended</w:t>
            </w:r>
          </w:p>
        </w:tc>
      </w:tr>
      <w:tr>
        <w:trPr>
          <w:trHeight w:val="142"/>
        </w:trPr>
        <w:tc>
          <w:tcPr>
            <w:tcW w:w="59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31, 2023</w:t>
            </w: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July 31, 2022</w:t>
            </w:r>
          </w:p>
        </w:tc>
        <w:tc>
          <w:tcPr>
            <w:tcW w:w="120" w:type="dxa"/>
            <w:vAlign w:val="bottom"/>
          </w:tcPr>
          <w:p>
            <w:pPr>
              <w:spacing w:after="0"/>
              <w:rPr>
                <w:sz w:val="12"/>
                <w:szCs w:val="12"/>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40,630</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(32,067)</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(11,586)</w:t>
            </w:r>
          </w:p>
        </w:tc>
      </w:tr>
      <w:tr>
        <w:trPr>
          <w:trHeight w:val="27"/>
        </w:trPr>
        <w:tc>
          <w:tcPr>
            <w:tcW w:w="59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306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8,563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(4,441)</w:t>
            </w:r>
          </w:p>
        </w:tc>
      </w:tr>
      <w:tr>
        <w:trPr>
          <w:trHeight w:val="20"/>
        </w:trPr>
        <w:tc>
          <w:tcPr>
            <w:tcW w:w="59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2023-09-07T15:04:52Z</dcterms:created>
  <dcterms:modified xsi:type="dcterms:W3CDTF">2023-09-07T15:04:52Z</dcterms:modified>
</cp:coreProperties>
</file>