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-175895</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63500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3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-76200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April 30, 2020</w:t>
      </w:r>
    </w:p>
    <w:p>
      <w:pPr>
        <w:jc w:val="center"/>
        <w:ind w:right="-19"/>
        <w:spacing w:after="0" w:line="232" w:lineRule="auto"/>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3"/>
          <w:szCs w:val="13"/>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21" w:lineRule="exact"/>
        <w:rPr>
          <w:rFonts w:ascii="MS PGothic" w:cs="MS PGothic" w:eastAsia="MS PGothic" w:hAnsi="MS PGothic"/>
          <w:sz w:val="13"/>
          <w:szCs w:val="13"/>
          <w:color w:val="auto"/>
        </w:rPr>
      </w:pPr>
    </w:p>
    <w:p>
      <w:pPr>
        <w:ind w:left="4480"/>
        <w:spacing w:after="0"/>
        <w:rPr>
          <w:rFonts w:ascii="MS PGothic" w:cs="MS PGothic" w:eastAsia="MS PGothic" w:hAnsi="MS PGothic"/>
          <w:sz w:val="13"/>
          <w:szCs w:val="13"/>
          <w:color w:val="auto"/>
        </w:rPr>
      </w:pPr>
      <w:r>
        <w:rPr>
          <w:rFonts w:ascii="Arial" w:cs="Arial" w:eastAsia="Arial" w:hAnsi="Arial"/>
          <w:sz w:val="16"/>
          <w:szCs w:val="16"/>
          <w:b w:val="1"/>
          <w:bCs w:val="1"/>
          <w:color w:val="auto"/>
        </w:rPr>
        <w:t>Commission file number 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63500</wp:posOffset>
            </wp:positionV>
            <wp:extent cx="240030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3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tbl>
      <w:tblPr>
        <w:tblLayout w:type="fixed"/>
        <w:tblInd w:w="1260" w:type="dxa"/>
        <w:tblCellMar>
          <w:top w:w="0" w:type="dxa"/>
          <w:left w:w="0" w:type="dxa"/>
          <w:bottom w:w="0" w:type="dxa"/>
          <w:right w:w="0" w:type="dxa"/>
        </w:tblCellMar>
      </w:tblPr>
      <w:tr>
        <w:trPr>
          <w:trHeight w:val="288"/>
        </w:trPr>
        <w:tc>
          <w:tcPr>
            <w:tcW w:w="2680" w:type="dxa"/>
            <w:vAlign w:val="bottom"/>
          </w:tcPr>
          <w:p>
            <w:pPr>
              <w:spacing w:after="0"/>
              <w:rPr>
                <w:sz w:val="24"/>
                <w:szCs w:val="24"/>
                <w:color w:val="auto"/>
              </w:rPr>
            </w:pPr>
          </w:p>
        </w:tc>
        <w:tc>
          <w:tcPr>
            <w:tcW w:w="3460" w:type="dxa"/>
            <w:vAlign w:val="bottom"/>
            <w:gridSpan w:val="3"/>
          </w:tcPr>
          <w:p>
            <w:pPr>
              <w:jc w:val="center"/>
              <w:ind w:right="100"/>
              <w:spacing w:after="0"/>
              <w:rPr>
                <w:sz w:val="20"/>
                <w:szCs w:val="20"/>
                <w:color w:val="auto"/>
              </w:rPr>
            </w:pPr>
            <w:r>
              <w:rPr>
                <w:rFonts w:ascii="Arial" w:cs="Arial" w:eastAsia="Arial" w:hAnsi="Arial"/>
                <w:sz w:val="23"/>
                <w:szCs w:val="23"/>
                <w:b w:val="1"/>
                <w:bCs w:val="1"/>
                <w:color w:val="auto"/>
                <w:w w:val="92"/>
              </w:rPr>
              <w:t>Smith &amp; Wesson Brands, Inc.</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3460" w:type="dxa"/>
            <w:vAlign w:val="bottom"/>
            <w:gridSpan w:val="3"/>
          </w:tcPr>
          <w:p>
            <w:pPr>
              <w:jc w:val="center"/>
              <w:ind w:right="100"/>
              <w:spacing w:after="0"/>
              <w:rPr>
                <w:sz w:val="20"/>
                <w:szCs w:val="20"/>
                <w:color w:val="auto"/>
              </w:rPr>
            </w:pPr>
            <w:r>
              <w:rPr>
                <w:rFonts w:ascii="Arial" w:cs="Arial" w:eastAsia="Arial" w:hAnsi="Arial"/>
                <w:sz w:val="14"/>
                <w:szCs w:val="14"/>
                <w:b w:val="1"/>
                <w:bCs w:val="1"/>
                <w:i w:val="1"/>
                <w:iCs w:val="1"/>
                <w:color w:val="auto"/>
                <w:w w:val="91"/>
              </w:rPr>
              <w:t>(Exact Name of Registrant as Specified in Its Charter</w:t>
            </w:r>
            <w:r>
              <w:rPr>
                <w:rFonts w:ascii="Arial" w:cs="Arial" w:eastAsia="Arial" w:hAnsi="Arial"/>
                <w:sz w:val="17"/>
                <w:szCs w:val="17"/>
                <w:b w:val="1"/>
                <w:bCs w:val="1"/>
                <w:i w:val="1"/>
                <w:iCs w:val="1"/>
                <w:color w:val="auto"/>
                <w:w w:val="91"/>
              </w:rPr>
              <w:t>)</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80" w:type="dxa"/>
            <w:vAlign w:val="bottom"/>
            <w:vMerge w:val="restart"/>
          </w:tcPr>
          <w:p>
            <w:pPr>
              <w:jc w:val="center"/>
              <w:ind w:left="371"/>
              <w:spacing w:after="0"/>
              <w:rPr>
                <w:sz w:val="20"/>
                <w:szCs w:val="20"/>
                <w:color w:val="auto"/>
              </w:rPr>
            </w:pPr>
            <w:r>
              <w:rPr>
                <w:rFonts w:ascii="Arial" w:cs="Arial" w:eastAsia="Arial" w:hAnsi="Arial"/>
                <w:sz w:val="13"/>
                <w:szCs w:val="13"/>
                <w:b w:val="1"/>
                <w:bCs w:val="1"/>
                <w:color w:val="auto"/>
                <w:w w:val="95"/>
              </w:rPr>
              <w:t>Nevada</w:t>
            </w:r>
          </w:p>
        </w:tc>
        <w:tc>
          <w:tcPr>
            <w:tcW w:w="38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600" w:type="dxa"/>
            <w:vAlign w:val="bottom"/>
            <w:vMerge w:val="restart"/>
          </w:tcPr>
          <w:p>
            <w:pPr>
              <w:jc w:val="center"/>
              <w:ind w:right="352"/>
              <w:spacing w:after="0"/>
              <w:rPr>
                <w:sz w:val="20"/>
                <w:szCs w:val="20"/>
                <w:color w:val="auto"/>
              </w:rPr>
            </w:pPr>
            <w:r>
              <w:rPr>
                <w:rFonts w:ascii="Arial" w:cs="Arial" w:eastAsia="Arial" w:hAnsi="Arial"/>
                <w:sz w:val="13"/>
                <w:szCs w:val="13"/>
                <w:b w:val="1"/>
                <w:bCs w:val="1"/>
                <w:color w:val="auto"/>
                <w:w w:val="95"/>
              </w:rPr>
              <w:t>87-0543688</w:t>
            </w:r>
          </w:p>
        </w:tc>
        <w:tc>
          <w:tcPr>
            <w:tcW w:w="0" w:type="dxa"/>
            <w:vAlign w:val="bottom"/>
          </w:tcPr>
          <w:p>
            <w:pPr>
              <w:spacing w:after="0"/>
              <w:rPr>
                <w:sz w:val="1"/>
                <w:szCs w:val="1"/>
                <w:color w:val="auto"/>
              </w:rPr>
            </w:pPr>
          </w:p>
        </w:tc>
      </w:tr>
      <w:tr>
        <w:trPr>
          <w:trHeight w:val="172"/>
        </w:trPr>
        <w:tc>
          <w:tcPr>
            <w:tcW w:w="26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jc w:val="center"/>
              <w:ind w:left="371"/>
              <w:spacing w:after="0"/>
              <w:rPr>
                <w:sz w:val="20"/>
                <w:szCs w:val="20"/>
                <w:color w:val="auto"/>
              </w:rPr>
            </w:pPr>
            <w:r>
              <w:rPr>
                <w:rFonts w:ascii="Arial" w:cs="Arial" w:eastAsia="Arial" w:hAnsi="Arial"/>
                <w:sz w:val="13"/>
                <w:szCs w:val="13"/>
                <w:i w:val="1"/>
                <w:iCs w:val="1"/>
                <w:color w:val="auto"/>
                <w:w w:val="96"/>
              </w:rPr>
              <w:t>(State or Other Jurisdiction of</w:t>
            </w:r>
          </w:p>
        </w:tc>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tcPr>
          <w:p>
            <w:pPr>
              <w:jc w:val="center"/>
              <w:ind w:right="352"/>
              <w:spacing w:after="0"/>
              <w:rPr>
                <w:sz w:val="20"/>
                <w:szCs w:val="20"/>
                <w:color w:val="auto"/>
              </w:rPr>
            </w:pPr>
            <w:r>
              <w:rPr>
                <w:rFonts w:ascii="Arial" w:cs="Arial" w:eastAsia="Arial" w:hAnsi="Arial"/>
                <w:sz w:val="13"/>
                <w:szCs w:val="13"/>
                <w:i w:val="1"/>
                <w:iCs w:val="1"/>
                <w:color w:val="auto"/>
                <w:w w:val="94"/>
              </w:rPr>
              <w:t>(I.R.S. Employer</w:t>
            </w:r>
          </w:p>
        </w:tc>
        <w:tc>
          <w:tcPr>
            <w:tcW w:w="0" w:type="dxa"/>
            <w:vAlign w:val="bottom"/>
          </w:tcPr>
          <w:p>
            <w:pPr>
              <w:spacing w:after="0"/>
              <w:rPr>
                <w:sz w:val="1"/>
                <w:szCs w:val="1"/>
                <w:color w:val="auto"/>
              </w:rPr>
            </w:pPr>
          </w:p>
        </w:tc>
      </w:tr>
      <w:tr>
        <w:trPr>
          <w:trHeight w:val="172"/>
        </w:trPr>
        <w:tc>
          <w:tcPr>
            <w:tcW w:w="2680" w:type="dxa"/>
            <w:vAlign w:val="bottom"/>
          </w:tcPr>
          <w:p>
            <w:pPr>
              <w:jc w:val="center"/>
              <w:ind w:left="391"/>
              <w:spacing w:after="0"/>
              <w:rPr>
                <w:sz w:val="20"/>
                <w:szCs w:val="20"/>
                <w:color w:val="auto"/>
              </w:rPr>
            </w:pPr>
            <w:r>
              <w:rPr>
                <w:rFonts w:ascii="Arial" w:cs="Arial" w:eastAsia="Arial" w:hAnsi="Arial"/>
                <w:sz w:val="13"/>
                <w:szCs w:val="13"/>
                <w:i w:val="1"/>
                <w:iCs w:val="1"/>
                <w:color w:val="auto"/>
                <w:w w:val="98"/>
              </w:rPr>
              <w:t>Incorporation or Organization</w:t>
            </w:r>
            <w:r>
              <w:rPr>
                <w:rFonts w:ascii="Arial" w:cs="Arial" w:eastAsia="Arial" w:hAnsi="Arial"/>
                <w:sz w:val="13"/>
                <w:szCs w:val="13"/>
                <w:color w:val="auto"/>
                <w:w w:val="98"/>
              </w:rPr>
              <w:t>)</w:t>
            </w:r>
          </w:p>
        </w:tc>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tcPr>
          <w:p>
            <w:pPr>
              <w:jc w:val="center"/>
              <w:ind w:right="332"/>
              <w:spacing w:after="0"/>
              <w:rPr>
                <w:sz w:val="20"/>
                <w:szCs w:val="20"/>
                <w:color w:val="auto"/>
              </w:rPr>
            </w:pPr>
            <w:r>
              <w:rPr>
                <w:rFonts w:ascii="Arial" w:cs="Arial" w:eastAsia="Arial" w:hAnsi="Arial"/>
                <w:sz w:val="13"/>
                <w:szCs w:val="13"/>
                <w:i w:val="1"/>
                <w:iCs w:val="1"/>
                <w:color w:val="auto"/>
                <w:w w:val="98"/>
              </w:rPr>
              <w:t>Identification No.)</w:t>
            </w:r>
          </w:p>
        </w:tc>
        <w:tc>
          <w:tcPr>
            <w:tcW w:w="0" w:type="dxa"/>
            <w:vAlign w:val="bottom"/>
          </w:tcPr>
          <w:p>
            <w:pPr>
              <w:spacing w:after="0"/>
              <w:rPr>
                <w:sz w:val="1"/>
                <w:szCs w:val="1"/>
                <w:color w:val="auto"/>
              </w:rPr>
            </w:pPr>
          </w:p>
        </w:tc>
      </w:tr>
      <w:tr>
        <w:trPr>
          <w:trHeight w:val="153"/>
        </w:trPr>
        <w:tc>
          <w:tcPr>
            <w:tcW w:w="2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89"/>
              </w:rPr>
              <w:t>2100 Roosevelt Avenue</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Springfield, Massachusetts 01104</w:t>
            </w: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298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93"/>
              </w:rPr>
              <w:t>(800) 331-0852</w:t>
            </w:r>
          </w:p>
        </w:tc>
        <w:tc>
          <w:tcPr>
            <w:tcW w:w="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34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2"/>
              </w:rPr>
              <w:t>(Address including zip code, and telephone number,</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34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including area code, of principal executive offices)</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40" w:type="dxa"/>
            <w:vAlign w:val="bottom"/>
            <w:gridSpan w:val="4"/>
          </w:tcPr>
          <w:p>
            <w:pPr>
              <w:jc w:val="center"/>
              <w:ind w:left="2511"/>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80" w:type="dxa"/>
            <w:vAlign w:val="bottom"/>
          </w:tcPr>
          <w:p>
            <w:pPr>
              <w:jc w:val="center"/>
              <w:spacing w:after="0"/>
              <w:rPr>
                <w:sz w:val="20"/>
                <w:szCs w:val="20"/>
                <w:color w:val="auto"/>
              </w:rPr>
            </w:pPr>
            <w:r>
              <w:rPr>
                <w:rFonts w:ascii="Arial" w:cs="Arial" w:eastAsia="Arial" w:hAnsi="Arial"/>
                <w:sz w:val="13"/>
                <w:szCs w:val="13"/>
                <w:i w:val="1"/>
                <w:iCs w:val="1"/>
                <w:color w:val="auto"/>
                <w:w w:val="95"/>
              </w:rPr>
              <w:t>(Title of Class)</w:t>
            </w:r>
          </w:p>
        </w:tc>
        <w:tc>
          <w:tcPr>
            <w:tcW w:w="380" w:type="dxa"/>
            <w:vAlign w:val="bottom"/>
          </w:tcPr>
          <w:p>
            <w:pPr>
              <w:spacing w:after="0"/>
              <w:rPr>
                <w:sz w:val="16"/>
                <w:szCs w:val="16"/>
                <w:color w:val="auto"/>
              </w:rPr>
            </w:pPr>
          </w:p>
        </w:tc>
        <w:tc>
          <w:tcPr>
            <w:tcW w:w="3080" w:type="dxa"/>
            <w:vAlign w:val="bottom"/>
            <w:gridSpan w:val="2"/>
          </w:tcPr>
          <w:p>
            <w:pPr>
              <w:ind w:left="840"/>
              <w:spacing w:after="0"/>
              <w:rPr>
                <w:sz w:val="20"/>
                <w:szCs w:val="20"/>
                <w:color w:val="auto"/>
              </w:rPr>
            </w:pPr>
            <w:r>
              <w:rPr>
                <w:rFonts w:ascii="Arial" w:cs="Arial" w:eastAsia="Arial" w:hAnsi="Arial"/>
                <w:sz w:val="13"/>
                <w:szCs w:val="13"/>
                <w:color w:val="auto"/>
              </w:rPr>
              <w:t>Trading  Symbols</w:t>
            </w:r>
          </w:p>
        </w:tc>
        <w:tc>
          <w:tcPr>
            <w:tcW w:w="2600" w:type="dxa"/>
            <w:vAlign w:val="bottom"/>
          </w:tcPr>
          <w:p>
            <w:pPr>
              <w:jc w:val="center"/>
              <w:spacing w:after="0"/>
              <w:rPr>
                <w:sz w:val="20"/>
                <w:szCs w:val="20"/>
                <w:color w:val="auto"/>
              </w:rPr>
            </w:pPr>
            <w:r>
              <w:rPr>
                <w:rFonts w:ascii="Arial" w:cs="Arial" w:eastAsia="Arial" w:hAnsi="Arial"/>
                <w:sz w:val="13"/>
                <w:szCs w:val="13"/>
                <w:i w:val="1"/>
                <w:iCs w:val="1"/>
                <w:color w:val="auto"/>
                <w:w w:val="93"/>
              </w:rPr>
              <w:t>(Name of Each Exchange on Which Registered)</w:t>
            </w:r>
          </w:p>
        </w:tc>
        <w:tc>
          <w:tcPr>
            <w:tcW w:w="0" w:type="dxa"/>
            <w:vAlign w:val="bottom"/>
          </w:tcPr>
          <w:p>
            <w:pPr>
              <w:spacing w:after="0"/>
              <w:rPr>
                <w:sz w:val="1"/>
                <w:szCs w:val="1"/>
                <w:color w:val="auto"/>
              </w:rPr>
            </w:pPr>
          </w:p>
        </w:tc>
      </w:tr>
      <w:tr>
        <w:trPr>
          <w:trHeight w:val="186"/>
        </w:trPr>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 Par Value $.001 per Share</w:t>
            </w:r>
          </w:p>
        </w:tc>
        <w:tc>
          <w:tcPr>
            <w:tcW w:w="380" w:type="dxa"/>
            <w:vAlign w:val="bottom"/>
          </w:tcPr>
          <w:p>
            <w:pPr>
              <w:spacing w:after="0"/>
              <w:rPr>
                <w:sz w:val="16"/>
                <w:szCs w:val="16"/>
                <w:color w:val="auto"/>
              </w:rPr>
            </w:pPr>
          </w:p>
        </w:tc>
        <w:tc>
          <w:tcPr>
            <w:tcW w:w="3080" w:type="dxa"/>
            <w:vAlign w:val="bottom"/>
            <w:gridSpan w:val="2"/>
          </w:tcPr>
          <w:p>
            <w:pPr>
              <w:ind w:left="1440"/>
              <w:spacing w:after="0"/>
              <w:rPr>
                <w:sz w:val="20"/>
                <w:szCs w:val="20"/>
                <w:color w:val="auto"/>
              </w:rPr>
            </w:pPr>
            <w:r>
              <w:rPr>
                <w:rFonts w:ascii="Arial" w:cs="Arial" w:eastAsia="Arial" w:hAnsi="Arial"/>
                <w:sz w:val="14"/>
                <w:szCs w:val="14"/>
                <w:color w:val="auto"/>
              </w:rPr>
              <w:t>SWBI</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0" w:type="dxa"/>
            <w:vAlign w:val="bottom"/>
          </w:tcPr>
          <w:p>
            <w:pPr>
              <w:spacing w:after="0"/>
              <w:rPr>
                <w:sz w:val="1"/>
                <w:szCs w:val="1"/>
                <w:color w:val="auto"/>
              </w:rPr>
            </w:pPr>
          </w:p>
        </w:tc>
      </w:tr>
      <w:tr>
        <w:trPr>
          <w:trHeight w:val="151"/>
        </w:trPr>
        <w:tc>
          <w:tcPr>
            <w:tcW w:w="6140" w:type="dxa"/>
            <w:vAlign w:val="bottom"/>
            <w:gridSpan w:val="4"/>
          </w:tcPr>
          <w:p>
            <w:pPr>
              <w:jc w:val="center"/>
              <w:ind w:left="2511"/>
              <w:spacing w:after="0" w:line="151" w:lineRule="exact"/>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None</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00" w:right="3160"/>
        <w:spacing w:after="0" w:line="19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firstLine="589"/>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firstLine="589"/>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ectPr>
          <w:pgSz w:w="11900" w:h="16838" w:orient="portrait"/>
          <w:cols w:equalWidth="0" w:num="1">
            <w:col w:w="11220"/>
          </w:cols>
          <w:pgMar w:left="320" w:top="540" w:right="359" w:bottom="1440" w:gutter="0" w:footer="0" w:header="0"/>
        </w:sectPr>
      </w:pPr>
    </w:p>
    <w:p>
      <w:pPr>
        <w:spacing w:after="0" w:line="3" w:lineRule="exact"/>
        <w:rPr>
          <w:sz w:val="24"/>
          <w:szCs w:val="24"/>
          <w:color w:val="auto"/>
        </w:rPr>
      </w:pPr>
    </w:p>
    <w:p>
      <w:pPr>
        <w:ind w:firstLine="589"/>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2520"/>
              <w:spacing w:after="0"/>
              <w:rPr>
                <w:sz w:val="20"/>
                <w:szCs w:val="20"/>
                <w:color w:val="auto"/>
              </w:rPr>
            </w:pPr>
            <w:r>
              <w:rPr>
                <w:rFonts w:ascii="Arial" w:cs="Arial" w:eastAsia="Arial" w:hAnsi="Arial"/>
                <w:sz w:val="14"/>
                <w:szCs w:val="14"/>
                <w:color w:val="auto"/>
              </w:rPr>
              <w:t>Accelerated filer</w:t>
            </w:r>
          </w:p>
        </w:tc>
      </w:tr>
      <w:tr>
        <w:trPr>
          <w:trHeight w:val="176"/>
        </w:trPr>
        <w:tc>
          <w:tcPr>
            <w:tcW w:w="238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2520"/>
              <w:spacing w:after="0"/>
              <w:rPr>
                <w:sz w:val="20"/>
                <w:szCs w:val="20"/>
                <w:color w:val="auto"/>
              </w:rPr>
            </w:pPr>
            <w:r>
              <w:rPr>
                <w:rFonts w:ascii="Arial" w:cs="Arial" w:eastAsia="Arial" w:hAnsi="Arial"/>
                <w:sz w:val="14"/>
                <w:szCs w:val="14"/>
                <w:color w:val="auto"/>
                <w:w w:val="93"/>
              </w:rPr>
              <w:t>Smaller reporting company</w:t>
            </w:r>
          </w:p>
        </w:tc>
      </w:tr>
      <w:tr>
        <w:trPr>
          <w:trHeight w:val="226"/>
        </w:trPr>
        <w:tc>
          <w:tcPr>
            <w:tcW w:w="23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4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0" w:lineRule="exact"/>
        <w:rPr>
          <w:sz w:val="24"/>
          <w:szCs w:val="24"/>
          <w:color w:val="auto"/>
        </w:rPr>
      </w:pPr>
    </w:p>
    <w:p>
      <w:pPr>
        <w:sectPr>
          <w:pgSz w:w="11900" w:h="16838" w:orient="portrait"/>
          <w:cols w:equalWidth="0" w:num="2">
            <w:col w:w="10640" w:space="380"/>
            <w:col w:w="200"/>
          </w:cols>
          <w:pgMar w:left="320" w:top="540" w:right="359" w:bottom="1440" w:gutter="0" w:footer="0" w:header="0"/>
          <w:type w:val="continuous"/>
        </w:sectPr>
      </w:pPr>
    </w:p>
    <w:p>
      <w:pPr>
        <w:ind w:right="80" w:firstLine="58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600"/>
        <w:spacing w:after="0" w:line="150" w:lineRule="exact"/>
        <w:tabs>
          <w:tab w:leader="none" w:pos="6280" w:val="left"/>
          <w:tab w:leader="none" w:pos="68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60" w:firstLine="589"/>
        <w:spacing w:after="0" w:line="250" w:lineRule="auto"/>
        <w:rPr>
          <w:sz w:val="20"/>
          <w:szCs w:val="20"/>
          <w:color w:val="auto"/>
        </w:rPr>
      </w:pPr>
      <w:r>
        <w:rPr>
          <w:rFonts w:ascii="Arial" w:cs="Arial" w:eastAsia="Arial" w:hAnsi="Arial"/>
          <w:sz w:val="13"/>
          <w:szCs w:val="13"/>
          <w:color w:val="auto"/>
        </w:rPr>
        <w:t>The aggregate market value of Common Stock held by non-affiliates of the registrant (47,560,970 shares) based on the last reported sale price of the registrant’s Common Stock on the Nasdaq Global Select Market on October 31, 2019, which was the last business day of the registrant’s most recently completed second fiscal quarter, was $332,064,156.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2" w:lineRule="exact"/>
        <w:rPr>
          <w:sz w:val="24"/>
          <w:szCs w:val="24"/>
          <w:color w:val="auto"/>
        </w:rPr>
      </w:pPr>
    </w:p>
    <w:p>
      <w:pPr>
        <w:ind w:left="600"/>
        <w:spacing w:after="0"/>
        <w:rPr>
          <w:sz w:val="20"/>
          <w:szCs w:val="20"/>
          <w:color w:val="auto"/>
        </w:rPr>
      </w:pPr>
      <w:r>
        <w:rPr>
          <w:rFonts w:ascii="Arial" w:cs="Arial" w:eastAsia="Arial" w:hAnsi="Arial"/>
          <w:sz w:val="13"/>
          <w:szCs w:val="13"/>
          <w:color w:val="auto"/>
        </w:rPr>
        <w:t>As of June 16, 2020, there were outstanding 55,520,481 shares of the registrant’s Common Stock, par value $.001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1" w:lineRule="exact"/>
        <w:rPr>
          <w:sz w:val="24"/>
          <w:szCs w:val="24"/>
          <w:color w:val="auto"/>
        </w:rPr>
      </w:pPr>
    </w:p>
    <w:p>
      <w:pPr>
        <w:ind w:left="600"/>
        <w:spacing w:after="0"/>
        <w:rPr>
          <w:sz w:val="20"/>
          <w:szCs w:val="20"/>
          <w:color w:val="auto"/>
        </w:rPr>
      </w:pPr>
      <w:r>
        <w:rPr>
          <w:rFonts w:ascii="Arial" w:cs="Arial" w:eastAsia="Arial" w:hAnsi="Arial"/>
          <w:sz w:val="13"/>
          <w:szCs w:val="13"/>
          <w:color w:val="auto"/>
        </w:rPr>
        <w:t>Portions of the registrant’s definitive proxy statement for the 2020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4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w w:val="99"/>
              </w:rPr>
              <w:t>SMITH &amp; WESSON BRANDS, INC</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4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w w:val="99"/>
              </w:rPr>
              <w:t>ANNUAL REPORT ON FORM 10-K</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4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w w:val="91"/>
              </w:rPr>
              <w:t>For the Fiscal Year Ended April 30, 2020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gridSpan w:val="2"/>
            <w:vMerge w:val="restart"/>
          </w:tcPr>
          <w:p>
            <w:pPr>
              <w:jc w:val="center"/>
              <w:ind w:right="1260"/>
              <w:spacing w:after="0"/>
              <w:rPr>
                <w:sz w:val="20"/>
                <w:szCs w:val="20"/>
                <w:color w:val="auto"/>
              </w:rPr>
            </w:pPr>
            <w:r>
              <w:rPr>
                <w:rFonts w:ascii="Arial" w:cs="Arial" w:eastAsia="Arial" w:hAnsi="Arial"/>
                <w:sz w:val="16"/>
                <w:szCs w:val="16"/>
                <w:b w:val="1"/>
                <w:bCs w:val="1"/>
                <w:color w:val="auto"/>
                <w:w w:val="99"/>
              </w:rPr>
              <w:t>PART I</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3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BUSINESS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1A.</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1B.</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UNRESOLVED STAFF COMMENTS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2.</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PROPERTIES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3.</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ITEM 4.</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gridSpan w:val="2"/>
          </w:tcPr>
          <w:p>
            <w:pPr>
              <w:jc w:val="center"/>
              <w:ind w:right="1260"/>
              <w:spacing w:after="0"/>
              <w:rPr>
                <w:sz w:val="20"/>
                <w:szCs w:val="20"/>
                <w:color w:val="auto"/>
              </w:rPr>
            </w:pPr>
            <w:r>
              <w:rPr>
                <w:rFonts w:ascii="Arial" w:cs="Arial" w:eastAsia="Arial" w:hAnsi="Arial"/>
                <w:sz w:val="16"/>
                <w:szCs w:val="16"/>
                <w:b w:val="1"/>
                <w:bCs w:val="1"/>
                <w:color w:val="auto"/>
              </w:rPr>
              <w:t>PART 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line="172" w:lineRule="exact"/>
              <w:rPr>
                <w:sz w:val="20"/>
                <w:szCs w:val="20"/>
                <w:color w:val="auto"/>
              </w:rPr>
            </w:pPr>
            <w:r>
              <w:rPr>
                <w:rFonts w:ascii="Arial" w:cs="Arial" w:eastAsia="Arial" w:hAnsi="Arial"/>
                <w:sz w:val="16"/>
                <w:szCs w:val="16"/>
                <w:color w:val="auto"/>
              </w:rPr>
              <w:t>ITEM 5.</w:t>
            </w:r>
          </w:p>
        </w:tc>
        <w:tc>
          <w:tcPr>
            <w:tcW w:w="9640" w:type="dxa"/>
            <w:vAlign w:val="bottom"/>
            <w:gridSpan w:val="5"/>
          </w:tcPr>
          <w:p>
            <w:pPr>
              <w:ind w:left="160"/>
              <w:spacing w:after="0" w:line="172" w:lineRule="exact"/>
              <w:rPr>
                <w:rFonts w:ascii="Arial" w:cs="Arial" w:eastAsia="Arial" w:hAnsi="Arial"/>
                <w:sz w:val="16"/>
                <w:szCs w:val="16"/>
                <w:color w:val="0000EE"/>
                <w:w w:val="98"/>
              </w:rPr>
            </w:pPr>
            <w:hyperlink w:anchor="page53">
              <w:r>
                <w:rPr>
                  <w:rFonts w:ascii="Arial" w:cs="Arial" w:eastAsia="Arial" w:hAnsi="Arial"/>
                  <w:sz w:val="16"/>
                  <w:szCs w:val="16"/>
                  <w:color w:val="0000EE"/>
                  <w:w w:val="98"/>
                </w:rPr>
                <w:t>MARKET FOR REGISTRANT’S COMMON EQUITY, RELATED STOCKHOLDER MATTERS AND ISSUER PURCHASES OF EQUITY</w:t>
              </w:r>
            </w:hyperlink>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3"/>
              </w:rPr>
            </w:pPr>
            <w:hyperlink w:anchor="page53">
              <w:r>
                <w:rPr>
                  <w:rFonts w:ascii="Arial" w:cs="Arial" w:eastAsia="Arial" w:hAnsi="Arial"/>
                  <w:sz w:val="16"/>
                  <w:szCs w:val="16"/>
                  <w:color w:val="0000EE"/>
                  <w:w w:val="93"/>
                </w:rPr>
                <w:t>SECURITIES</w:t>
              </w:r>
            </w:hyperlink>
          </w:p>
        </w:tc>
        <w:tc>
          <w:tcPr>
            <w:tcW w:w="81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1160" w:type="dxa"/>
            <w:vAlign w:val="bottom"/>
          </w:tcPr>
          <w:p>
            <w:pPr>
              <w:spacing w:after="0"/>
              <w:rPr>
                <w:sz w:val="20"/>
                <w:szCs w:val="20"/>
                <w:color w:val="auto"/>
              </w:rPr>
            </w:pPr>
            <w:r>
              <w:rPr>
                <w:rFonts w:ascii="Arial" w:cs="Arial" w:eastAsia="Arial" w:hAnsi="Arial"/>
                <w:sz w:val="16"/>
                <w:szCs w:val="16"/>
                <w:color w:val="auto"/>
              </w:rPr>
              <w:t>ITEM 6.</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SELECTED FINANCIAL DATA</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7.</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7A.</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8.</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FINANCIAL STATEMENTS AND SUPPLEMENTARY DATA</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9.</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9A.</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ITEM 9B.</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gridSpan w:val="2"/>
          </w:tcPr>
          <w:p>
            <w:pPr>
              <w:jc w:val="center"/>
              <w:ind w:right="1260"/>
              <w:spacing w:after="0"/>
              <w:rPr>
                <w:sz w:val="20"/>
                <w:szCs w:val="20"/>
                <w:color w:val="auto"/>
              </w:rPr>
            </w:pPr>
            <w:r>
              <w:rPr>
                <w:rFonts w:ascii="Arial" w:cs="Arial" w:eastAsia="Arial" w:hAnsi="Arial"/>
                <w:sz w:val="16"/>
                <w:szCs w:val="16"/>
                <w:b w:val="1"/>
                <w:bCs w:val="1"/>
                <w:color w:val="auto"/>
              </w:rPr>
              <w:t>PART III</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10.</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11.</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12.</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SECURITY OWNERSHIP OF CERTAIN BENEFICIAL OWNERS AND MANAGEMENT AND RELATED STOCKHOLDER MATTERS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13.</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CERTAIN RELATIONSHIPS AND RELATED TRANSACTIONS, AND DIRECTOR INDEPENDENCE</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ITEM 14.</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PRINCIPAL ACCOUNTANT FEES AND SERVICES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gridSpan w:val="2"/>
          </w:tcPr>
          <w:p>
            <w:pPr>
              <w:jc w:val="center"/>
              <w:ind w:right="1260"/>
              <w:spacing w:after="0"/>
              <w:rPr>
                <w:sz w:val="20"/>
                <w:szCs w:val="20"/>
                <w:color w:val="auto"/>
              </w:rPr>
            </w:pPr>
            <w:r>
              <w:rPr>
                <w:rFonts w:ascii="Arial" w:cs="Arial" w:eastAsia="Arial" w:hAnsi="Arial"/>
                <w:sz w:val="16"/>
                <w:szCs w:val="16"/>
                <w:b w:val="1"/>
                <w:bCs w:val="1"/>
                <w:color w:val="auto"/>
              </w:rPr>
              <w:t>PART IV</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ITEM 15.</w:t>
            </w:r>
          </w:p>
        </w:tc>
        <w:tc>
          <w:tcPr>
            <w:tcW w:w="9640" w:type="dxa"/>
            <w:vAlign w:val="bottom"/>
            <w:gridSpan w:val="5"/>
          </w:tcPr>
          <w:p>
            <w:pPr>
              <w:ind w:left="160"/>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EXHIBITS AND FINANCIAL STATEMENT SCHEDULES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3"/>
        </w:trPr>
        <w:tc>
          <w:tcPr>
            <w:tcW w:w="1160" w:type="dxa"/>
            <w:vAlign w:val="bottom"/>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SIGNATURES</w:t>
              </w:r>
            </w:hyperlink>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6"/>
        </w:trPr>
        <w:tc>
          <w:tcPr>
            <w:tcW w:w="10800" w:type="dxa"/>
            <w:vAlign w:val="bottom"/>
            <w:gridSpan w:val="6"/>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INDEX TO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0"/>
                <w:szCs w:val="20"/>
                <w:color w:val="auto"/>
              </w:rPr>
            </w:pPr>
            <w:r>
              <w:rPr>
                <w:rFonts w:ascii="Arial" w:cs="Arial" w:eastAsia="Arial" w:hAnsi="Arial"/>
                <w:sz w:val="16"/>
                <w:szCs w:val="16"/>
                <w:color w:val="auto"/>
              </w:rPr>
              <w:t>EX-21.1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EX-23.1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EX-31.1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EX-31.2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EX-31.3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EX-31.4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EX-32.1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EX-32.2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EX-32.3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ind w:firstLine="589"/>
        <w:spacing w:after="0" w:line="267" w:lineRule="auto"/>
        <w:rPr>
          <w:sz w:val="20"/>
          <w:szCs w:val="20"/>
          <w:color w:val="auto"/>
        </w:rPr>
      </w:pPr>
      <w:r>
        <w:rPr>
          <w:rFonts w:ascii="Arial" w:cs="Arial" w:eastAsia="Arial" w:hAnsi="Arial"/>
          <w:sz w:val="17"/>
          <w:szCs w:val="17"/>
          <w:color w:val="auto"/>
        </w:rPr>
        <w:t>Airlite®, Airweight®, Allied Forces®, America’s Master Gunmaker®, Armornite®, Arrow®, Aurora-II®, Blast Jacket®, Bodyguard®, Chiefs Special®, Compass®, Contender®, Dimension®, Encore®, EZ®, G-Core®, Gemtech®, GM®, Governor®, Halo®, Integra®, Lunar®, Lever Lock®, M&amp;P®, M&amp;P Shield®, Magnum®, Mist-22®, Mountain Lite®, Number 13®, Performance Center®, Power Rod®, Put A Legend On Your Line®, QLA®, Quickmount®, SW22 Victory®, S&amp;W®, Smith &amp; Wesson®, Smith &amp; Wesson Precision Components®, Speed Breech®, Speed Breech XT®, T17®, T/C ®, T/CR22®, The Professional’s Choice for Decades®, Trek®, Triumph®, Viper®, Weather Shield®, World Class Silencer®, 1</w:t>
      </w:r>
      <w:r>
        <w:rPr>
          <w:rFonts w:ascii="Arial" w:cs="Arial" w:eastAsia="Arial" w:hAnsi="Arial"/>
          <w:sz w:val="14"/>
          <w:szCs w:val="14"/>
          <w:color w:val="auto"/>
        </w:rPr>
        <w:t>st</w:t>
      </w:r>
      <w:r>
        <w:rPr>
          <w:rFonts w:ascii="Arial" w:cs="Arial" w:eastAsia="Arial" w:hAnsi="Arial"/>
          <w:sz w:val="17"/>
          <w:szCs w:val="17"/>
          <w:color w:val="auto"/>
        </w:rPr>
        <w:t xml:space="preserve"> Response®, 24/7®, Accumax®, Ammo Vault®, Black Ops®, BOG®, Boneyard®, Bubba®, Bubba Blade®, Caldwell®, Deadshot®, Deathgrip®, Delta Series®, Delta Force®, E-MAX®, Extreme Ops®, F.A.T. Wrench®, Fieldpod®, Flexware®, Frankford Arsenal®, Frontier®, Galaxy®, Golden Rod®, Great Divide®, Grip A Legend®, Gun Butler®, Homeland Security®, Hooyman®, H.R.T.®, Hydrosled®, Imperial®, Intellidropper®, Key Gear®, Jolt®, Lead Sled®, Lockdown®, M-Press®, M.A.G.I.C.®, Mag Charger®, Magnum Rifle Gong®, Night Guard®, Night Terror®, Nitro®, Old Timer®, One Cut and You’re Through®, Orange Peel®, Outback®, Pico Light®, S.W.A.T.®, Safe-T-Lock®, Schrade®, Schrade Tough®, Search &amp; Rescue®, Sharpfinger®, Special Ops®, Special Tactical®, Stable Table®, Sure-Lock®, Switcheroo®, Switch-it®, Tack Driver®, Tipton®, U-Dig-It®, Ultra Glide®, Uncle Henry®, Wheeler®, XLA Bipod®, Complete Focus®, Crimson Trace®, Kryptonyte®, Lasergrips®, Laserguard®, Laserlyte®, Lightguard®, LINQ®, Quick Tyme®, Rail Master®, Reaction Tyme®, Rumble Tyme®, Score Tyme®, Shockstop®, Steel Tyme®, Trigger Tyme®, and Triple Tyme® are some of the registered U.S. trademarks of our company or one of our subsidiaries. American Outdoor Brands Corporation™, 460XVR™, Alpine™, C.O.R.E.™, Dagger™, GMT-Halo™, Impact!™, M2.0™, One™, Patrolman™, Pro Hunter FX™, S&amp;W500™, SDVE™, Shield™, Strike™, SW1911™, Thompson/Center Arms™, Tracker™, Venture™, Victory™, World Class Ammunition™, Adrenaline™, Bloodmoon™, Built for Generations™, Clandestine™, Dominion™, Don’t Settle for Average. Demand Perfection™, Duro™, Engineered for the Unknown™, Field General™, Flex Change™, It’s not protected unless it’s on LOCKDOWN™, Learn and Live™, Lockdown Puck™, Magnum Magnet™, MEAT!™, MEAT Your Maker!™, Officer™, On the Edge of Adventure™, Pile Driver™, Stinger™, Survival Born, Adventure Ready™, Secure Your Lifestyle™, The Ultimate Lifestyle™, Triple Play™, Tunnel Vision™, Unmatched Accuracy at the Bench and in the Field™, UST™, Velociradar™, Water to Plate™, Your Land. Your Legacy™, Accu-Guard™, Accu-Grips™, Dart Tyme™, Defender Series™, Instant Activation™, Instinctive Activation™, Lasersaddle™, Master Series™, MOC™, and Popper Tyme™, are some of the unregistered trademarks of our company or one of our subsidiaries.</w:t>
      </w:r>
    </w:p>
    <w:p>
      <w:pPr>
        <w:spacing w:after="0" w:line="21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This report includes market and industry data that we obtained from industry publications, third-party studies and surveys, government agency sources, filings of public companies in our industry, and internal company surveys. Industry publications and surveys generally state that the information contained therein has been obtained from sources believed to be reliable. Although we believe the foregoing industry and market data to be reliable at the date of the report, this information could prove to be inaccurate as a result of a variety of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Statement Regarding Forward-Looking Information</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statements contained in this Annual Report on Form 10-K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Annual Report on Form 10-K,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Annual Report on Form 10-K include statements regarding the impact, if any, of statements regarding our objectives, goals, strategies, plans, and focus; our belief that separating our outdoor products and accessories business from our firearm business and forming a new company to conduct the outdoor products and accessories business will enable the management team of each company to focus on its specific strategies; our expectation to receive an opinion from counsel to the effect that, among other things, the Transfer will qualify as a transaction that is tax-free for U.S. federal income tax purposes, except to the extent of any cash received in lieu of fractional shares; our estimation that the annual domestic non-military firearm market based on industry shipments is approximately $2.1 billion for handguns and $1.8 billion for long guns, excluding shotguns, with our market share in calendar 2019, based on the latest data, being approximately 15.1% and 5.2%, respectively; our belief that we will drive customer satisfaction and loyalty by offering high-quality, innovative products on a timely and cost-effective basis; our intent to pursue and challenge infringements of our intellectual property; our anticipation that we will continue to incur significant capital and other expenditures with respect to the Springfield facility; our plan to continue to expand our brand recognition and product loyalty through social media and our websites; our anticipation that our advertising, marketing, and promotional efforts will increase in the foreseeable future; our anticipation that we will increasingly rely on other forms of media advertising; our expectation to incur restructuring charges of approximately $9.0 million to $12.0 million relating to legal, regulatory, and financial services, reorganization and restructuring costs, and start-up costs for the new company, in connection with the proposed spin-off; net sales, margins, expenses, earnings, royalties, and capital expenditures for fiscal 2020 and thereafter; the amount of environmental and other reserves; estimates of fair value; goodwill and intangible assets; the effect of a variety of economic, social, political, legislative, and regulatory factors on our business; the outcome of the lawsuits and claims to which we are subject and their effect on us; future investments for capital expenditures; future products and product developments; the features and performance of our products; the success of particular product or marketing programs; any manufacturing partnerships, strategic alliances, or acquisitions we may enter into or make; future enterprise resource planning implementations and system improvements; future enhancements to our manufacturing capabilities; the successful operational implementation of our new national logistics facility; the benefits of our new national logistics facility; and liquidity and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Annual Report on Form 10-K reflect our views as of the date of this Annual Report on Form 10-K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the completion of our proposed spin-off and the operations and performance of the two separate companies thereafter; our ability to maintain and enhance brand recognition and reputation; risks associated with the establishment of our new 633,000 square foot national logistics facility including the expected benefits; our ability to introduce new products; the success of new products; our ability to expand our markets; our ability to integrate acquired businesses in a successful manner; the general growth of our outdoor products and accessories business; the potential for cancellation of orders from our backlog; and other factors detailed from time to time in our reports filed with the Securities and Exchange Commission, or the SEC, including the factors discussed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outdoor products and accessories encompassing hunting, fishing, camping, shooting, and personal security defense products for rugged outdoor enthusiasts. We have two reporting segments: (1) Firearms and (2) Outdoor Products &amp; Accessories.</w:t>
      </w:r>
    </w:p>
    <w:p>
      <w:pPr>
        <w:spacing w:after="0" w:line="198"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Smith &amp; Wesson was founded in 1852 by Horace Smith and Daniel B. Wesson. Mr. Wesson purchased Mr. Smith’s interest in 1873. The Wesson family sold Smith &amp; Wesson Corp., our wholly owned subsidiary, to Bangor Punta Corp. in 1965. Lear Siegler Corporation purchased Bangor Punta in 1984, thereby acquiring ownership of Smith &amp; Wesson Corp. Forstmann Little &amp; Co. purchased Lear Siegler in 1986 and sold Smith &amp; Wesson Corp. shortly thereafter to Tomkins Corporation, an affiliate of U.K.-based Tomkins PLC. We purchased Smith &amp; Wesson Corp. from Tomkins in May 2001 and renamed our company Smith &amp; Wesson Holding Corporation. In January 2017, we changed the name of our company from Smith &amp; Wesson Holding Corporation to American Outdoor Brands Corporation to better reflect our then expanding strategic focus on the growing markets for shooting, hunting, and rugged outdoor enthusiasts. At the time, we believed that the name “American Outdoor Brands Corporation” better reflected our family of brands, our broad range of product offerings, and our plans to continue building upon our portfolio of strong American brands with two reporting segments.</w:t>
      </w:r>
    </w:p>
    <w:p>
      <w:pPr>
        <w:spacing w:after="0" w:line="165"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On November 13, 2019, we announced that we were proceeding with a plan to spin-off our outdoor products and accessories business, or the Separation, and create an independent publicly traded company to conduct that business. We believe that separating our outdoor products and accessories business from our firearm business and forming a new company to conduct the outdoor products and accessories business will enable the management team of each company to focus on its specific strategies, including, among others,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In our view, the Separation is in the best interests of our company and our stockholders and would create two industry-leading companies with attributes that best position each company for long-term success. In preparation for the Separation, on May 29, 2020, we changed our name to Smith &amp; Wesson Brands, Inc., and on June 1, 2020, we changed the name of the company that will operate our outdoor products and accessories business through its subsidiaries to American Outdoor Brands, Inc., or AOUT.</w:t>
      </w:r>
    </w:p>
    <w:p>
      <w:pPr>
        <w:spacing w:after="0" w:line="185"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Subject to the satisfaction or waiver of certain conditions, the Separation will be completed by way of the transfer of all of the assets and legal entities, subject to any related liabilities, associated with our outdoor products and accessories business to AOUT or its subsidiaries, or the Transfer, and the pro rata distribution, or the Distribution, of all of the outstanding shares of AOUT common stock to our stockholders of record as of the close of business on the record date of the Distribution. Each of our stockholders will receive shares of AOUT common stock for the shares of our common stock held by such stockholders as of the close of business on the record date, so that our stockholders would own stock of our company as well as 100% of the stock of AOUT and we will retain no ownership interest in that company. We expect to receive an opinion from counsel to the effect that, among other things, the Transfer will qualify as a transaction that is tax-free for U.S. federal income tax purposes, except to the extent of any cash received in lieu of fractional shares. The Distribution does not require the approval of our stockholders. Our common stock will continue to trade on the Nasdaq Global Select Market under the ticker symbol “SWBI,” and AOUT has applied to have its shares of common stock listed on the Nasdaq Global Market under the ticker symbol “AOUT.” The Separation is subject to the satisfaction or waiver of certain conditions, and we cannot provide any assurance that we will complete the Separation.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589"/>
        <w:spacing w:after="0" w:line="290" w:lineRule="auto"/>
        <w:rPr>
          <w:sz w:val="20"/>
          <w:szCs w:val="20"/>
          <w:color w:val="auto"/>
        </w:rPr>
      </w:pPr>
      <w:r>
        <w:rPr>
          <w:rFonts w:ascii="Arial" w:cs="Arial" w:eastAsia="Arial" w:hAnsi="Arial"/>
          <w:sz w:val="16"/>
          <w:szCs w:val="16"/>
          <w:color w:val="auto"/>
        </w:rPr>
        <w:t xml:space="preserve">We maintain our principal executive offices at 2100 Roosevelt Avenue, Springfield, Massachusetts 01104. Our telephone number is (800) 331-0852. Our website is located at </w:t>
      </w:r>
      <w:r>
        <w:rPr>
          <w:rFonts w:ascii="Arial" w:cs="Arial" w:eastAsia="Arial" w:hAnsi="Arial"/>
          <w:sz w:val="16"/>
          <w:szCs w:val="16"/>
          <w:i w:val="1"/>
          <w:iCs w:val="1"/>
          <w:color w:val="auto"/>
        </w:rPr>
        <w:t>www.aob.com</w:t>
      </w:r>
      <w:r>
        <w:rPr>
          <w:rFonts w:ascii="Arial" w:cs="Arial" w:eastAsia="Arial" w:hAnsi="Arial"/>
          <w:sz w:val="16"/>
          <w:szCs w:val="16"/>
          <w:color w:val="auto"/>
        </w:rPr>
        <w:t>. Through our website, we make available free of charge our annual reports on Form 10-K, our proxy statements, our quarterly reports on Form 10-Q, our current reports on Form 8-K, and amendments to any of these documents filed or furnished pursuant to Section 13(a) or 15(d) of the Securities Exchange Act of 1934, as amended, or the Exchange Act. These documents are available as soon as reasonably practicable after we electronically file them with the Securities and Exchange Commission, or the SEC. We also post on our website the charters of our Audit, Compensation, and Nominations and Corporate Governance Committees; our Corporate Governance Guidelines, our Code of Conduct, and any amendments or waivers thereto; and any other corporate governance materials contemplated by the regulations of the SEC and the Nasdaq Global Select Market. These documents are also available in print by contacting our corporate secretary at our executive offices.</w:t>
      </w:r>
    </w:p>
    <w:p>
      <w:pPr>
        <w:spacing w:after="0" w:line="16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Unless the context indicates otherwise, the terms “we,” “our,” “ours,” “us,” and “our company” refer to Smith &amp; Wesson Brands, Inc. and its consolidated subsidiaries. “Common stock” refers to the common stock, par value $.001 per share, of our company. Our fiscal year ended on April 30,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Firearms Division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 Introduction</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our Firearms division,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7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objective in our Firearms division is to continue to strengthen our position as one of the world’s leading firearm manufacturers. Key elements of our strategy to achieve this objective and deliver long-term stockholder value are as follows:</w:t>
      </w:r>
    </w:p>
    <w:p>
      <w:pPr>
        <w:spacing w:after="0" w:line="62" w:lineRule="exact"/>
        <w:rPr>
          <w:sz w:val="20"/>
          <w:szCs w:val="20"/>
          <w:color w:val="auto"/>
        </w:rPr>
      </w:pPr>
    </w:p>
    <w:p>
      <w:pPr>
        <w:ind w:left="130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drive organic growth by leveraging our brands and maintaining a robust product pipeline to increase market share in markets in which we participate and expand into adjacent and complementary markets;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 produce, and market high-quality, innovative firearms and related accessories that meet the needs and desires of our consumer and professional customers and that drive customer satisfaction and loyalty;</w:t>
      </w:r>
    </w:p>
    <w:p>
      <w:pPr>
        <w:spacing w:after="0" w:line="62"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a leverageable infrastructure by streamlining and standardizing our business operations, including optimizing product distribution;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our leverage and deploy our cash flow in such a manner so as to maximize return on invested capital.</w:t>
      </w:r>
    </w:p>
    <w:p>
      <w:pPr>
        <w:spacing w:after="0" w:line="225"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estimate that the annual domestic non-military firearm market based on industry shipments is approximately $2.1 billion for handguns and $1.8 billion for long guns, excluding shotguns, with our market share in calendar 2019, based on the latest data, being approximately 15.1% and 5.2%, respectively. According to 2018 reports by the U.S. Bureau of Alcohol, Tobacco, Firearms and Explosives, or ATF, the U.S. firearm manufacturing industry has shown a minimal annual decline in firearms manufactured between 2013 and 2018 in spite of individual years in which units manufactured have grown as much as 23.0% in one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jc w:val="both"/>
        <w:ind w:firstLine="589"/>
        <w:spacing w:after="0" w:line="259" w:lineRule="auto"/>
        <w:rPr>
          <w:sz w:val="20"/>
          <w:szCs w:val="20"/>
          <w:color w:val="auto"/>
        </w:rPr>
      </w:pPr>
      <w:r>
        <w:rPr>
          <w:rFonts w:ascii="Arial" w:cs="Arial" w:eastAsia="Arial" w:hAnsi="Arial"/>
          <w:sz w:val="18"/>
          <w:szCs w:val="18"/>
          <w:color w:val="auto"/>
        </w:rPr>
        <w:t>Our net sales were $678.4 million for the fiscal year ended April 30, 2020; $638.3 million for the fiscal year ended April 30, 2019; and $606.9 million, for the fiscal year ended April 30, 2018. Our gross profit for the fiscal years ended April 30, 2020, 2019, and 2018 totaled $234.7 million, $226.2 million, and $195.8 million, respectively. Total assets were $729.0 million as of April 30, 2020; $766.8 million as of April 30, 2019; and $745.1 million as of April 30, 2018.</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 Strategy</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objective is to continue to strengthen our position as one of the world’s leading firearm manufacturers. Key elements of our strategy to achieve this objective are as follows:</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Drive Organic Growth by Leveraging Brands and Designing Innovative New Products.</w:t>
      </w:r>
    </w:p>
    <w:p>
      <w:pPr>
        <w:spacing w:after="0" w:line="131"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We are focused on driving organic growth by ensuring a robust new product pipeline and leveraging our brands to help us to increase market share in markets in which we participate and to expand into adjacent and complementary markets by (1) capitalizing on the goodwill developed through our historic 168 year old “Smith &amp; Wesson” brand as well as our extensive portfolio of other well-known brands, such as M&amp;P, Performance Center, Thompson/Center Arms, and Gemtech; (2) enhancing our relationships with key retailers, distributors, and buying groups and using our standard margin advantage to engage in competitive promotional activities; and (3) introducing new products, especially in the polymer handgun market as represented by our M&amp;P brand. During the last two fiscal years, we have introduced numerous new products, including variations and product lines around the Smith &amp; Wesson, M&amp;P, Thompson/Center, Gemtech, and Performance Center brands. We plan to continue to introduce new firearm products in fiscal 2021.</w:t>
      </w:r>
    </w:p>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Design, Produce, and Market High-Quality Products that Drive Customer Satisfaction and Loyalty.</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We are focused on designing, producing, and marketing high-quality, innovative firearms and related accessories that meet the needs and desires of our consumer and professional customers and that drive customer satisfaction and loyalty. Our ongoing research and development, product engineering, product sourcing, marketing, and distribution activities are critical components of our ability to offer successful products. We believe that by offering high-quality products and services on a timely and cost-effective basis, as well as providing world-class customer service, training, and support, we will drive customer satisfaction and loyalty. We regard our high-quality, innovative products as the most important aspect of our customer satisfaction and loyalty, but we also offer customer service and support with various programs, such as toll-free customer support numbers, e-mail customer question and answer communications, broad service policies, and product warranties.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Create a Leverageable Infrastructure by Streamlining and Standardizing our Business Operations, including Optimizing Product Distribution.</w:t>
      </w:r>
    </w:p>
    <w:p>
      <w:pPr>
        <w:spacing w:after="0" w:line="142" w:lineRule="exact"/>
        <w:rPr>
          <w:sz w:val="20"/>
          <w:szCs w:val="20"/>
          <w:color w:val="auto"/>
        </w:rPr>
      </w:pPr>
    </w:p>
    <w:p>
      <w:pPr>
        <w:jc w:val="both"/>
        <w:ind w:right="20" w:firstLine="589"/>
        <w:spacing w:after="0" w:line="301" w:lineRule="auto"/>
        <w:rPr>
          <w:sz w:val="20"/>
          <w:szCs w:val="20"/>
          <w:color w:val="auto"/>
        </w:rPr>
      </w:pPr>
      <w:r>
        <w:rPr>
          <w:rFonts w:ascii="Arial" w:cs="Arial" w:eastAsia="Arial" w:hAnsi="Arial"/>
          <w:sz w:val="16"/>
          <w:szCs w:val="16"/>
          <w:color w:val="auto"/>
        </w:rPr>
        <w:t>We intend to continue to streamline and standardize certain administrative functions of our business. In addition, we are leveraging our manufacturing expertise by creating a manufacturing services platform in our Springfield, Massachusetts facility. A streamlined and standardized approach requires investing in an integrated and configurable technology infrastructure in areas such as enterprise resource planning, or ERP, and compliance. We intend to continue investing in such systems to further enhance our efficiency, improve information reporting, and strengthen internal controls.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 w:name="page8"/>
    <w:bookmarkEnd w:id="7"/>
    <w:p>
      <w:pPr>
        <w:ind w:left="600"/>
        <w:spacing w:after="0"/>
        <w:rPr>
          <w:sz w:val="20"/>
          <w:szCs w:val="20"/>
          <w:color w:val="auto"/>
        </w:rPr>
      </w:pPr>
      <w:r>
        <w:rPr>
          <w:rFonts w:ascii="Arial" w:cs="Arial" w:eastAsia="Arial" w:hAnsi="Arial"/>
          <w:sz w:val="18"/>
          <w:szCs w:val="18"/>
          <w:i w:val="1"/>
          <w:iCs w:val="1"/>
          <w:color w:val="auto"/>
        </w:rPr>
        <w:t>Reduce our Leverage and Deploy our Cash Flow in Such a Manner so as to Maximize Return on Invested Capital.</w:t>
      </w:r>
    </w:p>
    <w:p>
      <w:pPr>
        <w:spacing w:after="0" w:line="13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From fiscal 2015 through fiscal 2019, we generated $526.0 million in cash from operations. During that same period, we invested $396.7 million in cash on acquisitions and $145.0 million in cash to acquire property, equipment, and patents; increased our borrowings by $56.4 million; and repurchased $80.0 million of our outstanding stock. Following the Separation, we plan to focus on developing, growing, and protecting our iconic firearm brands and using our cash flow from operations on actions that will maximize our return on invested capital, including (1) continuing to invest as needed for organic growth, especially in machinery, equipment, and new product development; (2) reducing our leverage; and (3) returning excess capital to our stockholders. We intend to deemphasize all inorganic investment activities.</w:t>
      </w:r>
    </w:p>
    <w:p>
      <w:pPr>
        <w:spacing w:after="0" w:line="300" w:lineRule="exact"/>
        <w:rPr>
          <w:sz w:val="20"/>
          <w:szCs w:val="20"/>
          <w:color w:val="auto"/>
        </w:rPr>
      </w:pPr>
    </w:p>
    <w:p>
      <w:pPr>
        <w:jc w:val="right"/>
        <w:ind w:right="9800"/>
        <w:spacing w:after="0"/>
        <w:rPr>
          <w:sz w:val="20"/>
          <w:szCs w:val="20"/>
          <w:color w:val="auto"/>
        </w:rPr>
      </w:pPr>
      <w:r>
        <w:rPr>
          <w:rFonts w:ascii="Arial" w:cs="Arial" w:eastAsia="Arial" w:hAnsi="Arial"/>
          <w:sz w:val="16"/>
          <w:szCs w:val="16"/>
          <w:b w:val="1"/>
          <w:bCs w:val="1"/>
          <w:i w:val="1"/>
          <w:iCs w:val="1"/>
          <w:color w:val="auto"/>
        </w:rPr>
        <w:t>Firearm - Products</w:t>
      </w:r>
    </w:p>
    <w:p>
      <w:pPr>
        <w:spacing w:after="0" w:line="154" w:lineRule="exact"/>
        <w:rPr>
          <w:sz w:val="20"/>
          <w:szCs w:val="20"/>
          <w:color w:val="auto"/>
        </w:rPr>
      </w:pPr>
    </w:p>
    <w:p>
      <w:pPr>
        <w:jc w:val="right"/>
        <w:ind w:right="976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Our firearm products combine our legacy of 168 years of American manufacturing and engineering expertise with modern technological advances. We strive to leverage our tradition of innovation in materials, performance, and engineering, along with our proven history of reliability, to produce feature-rich, safe, durable, accurate, and high-performing firearms that satisfy the needs of our broad range of customers. Our introduction of new firearm products is intended to enhance our competitive position and broaden our participation in the overall firearm market.</w:t>
      </w:r>
    </w:p>
    <w:p>
      <w:pPr>
        <w:spacing w:after="0" w:line="171"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We have substantially enhanced the breadth and quality of our portfolio of firearm products over the years. We have always been a leader in the revolver market. The introduction of our popular M&amp;P branded pistol in January 2005 resulted in our company becoming one of the leaders in the polymer pistol market as well, serving both the consumer sporting goods market and law enforcement agencies. The launch of our M&amp;P branded modern sporting rifle in January 2006 has enabled us to capture what we estimate is the leading share of the modern sporting rifle market. The addition of our Thompson/Center Arms brand of hunting firearms and interchangeable firearm systems into our product portfolio in January 2007 enhanced our long gun barrel manufacturing capabilities for our modern sporting rifles. The addition of our Gemtech branded suppressor products in August 2017 expanded our firearm-related product offerings. Our suppressors are compatible with most pistols and rifles on the market and complement our firearm products. We currently participate in three categories of the long gun market: bolt action rifles, muzzleloaders, and modern sporting rifles; and both core categories of the handgun market: semi-automatic pistols and revolvers.</w:t>
      </w:r>
    </w:p>
    <w:p>
      <w:pPr>
        <w:spacing w:after="0" w:line="18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All of our firearms and firearm related products are currently sold under our Smith &amp; Wesson, M&amp;P, Performance Center, Thompson/Center Arms, and Gemtech brands. Our customers include distributors; federal, state, and municipal law enforcement agencies and officers; government and military agencies; retailers; and consumers.</w:t>
      </w:r>
    </w:p>
    <w:p>
      <w:pPr>
        <w:spacing w:after="0" w:line="1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Our product development strategy is to understand our customers’ needs and preferences and then design and develop products to uniquely meet those requirements. Throughout this process, we test multiple concepts with firearm owners and potential purchasers. We compare these test results against a growing database of prior concepts to identify those with the greatest market potential. Additional market research is completed to optimize the desired features and benefits. While this development process is ongoing, our launch timing for new products depends on market conditions to maximize sales across the entire product portfolio. In fiscal 2019, we launched several new products and product line extensions under our Smith &amp; Wesson, M&amp;P, Performance Center, Thompson/Center Arms, and Gemtech brands.</w:t>
      </w:r>
    </w:p>
    <w:p>
      <w:pPr>
        <w:spacing w:after="0" w:line="233"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fiscal 2020, we further expanded our Smith &amp; Wesson branded products by introducing the Model 648 revolver, chambered in 22 Winchester Magnum, a stainless-steel revolver available in 6” barrel and eight shot capacity. The Patridge front sight and adjustable rear sight make it a perfect choice for any competition or recreational shooter.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ind w:firstLine="589"/>
        <w:spacing w:after="0" w:line="296" w:lineRule="auto"/>
        <w:rPr>
          <w:sz w:val="20"/>
          <w:szCs w:val="20"/>
          <w:color w:val="auto"/>
        </w:rPr>
      </w:pPr>
      <w:r>
        <w:rPr>
          <w:rFonts w:ascii="Arial" w:cs="Arial" w:eastAsia="Arial" w:hAnsi="Arial"/>
          <w:sz w:val="16"/>
          <w:szCs w:val="16"/>
          <w:color w:val="auto"/>
        </w:rPr>
        <w:t>In fiscal 2020, we introduced several additions and enhancements to our popular line of M&amp;P branded pistols, most notably the M&amp;P9 Shield EZ. This high-demand firearm stays true to what made the EZ platform so popular and is now offered in the powerful 9mm caliber. In the M&amp;P M2.0 product platform, we introduced the subcompact series chambered in 9mm, 40 S&amp;W, and 45 AUTO calibers. The subcompact embodies all of the M2.0 features, including a lighter, more crisp trigger with tactile and audible reset, as well as an aggressive grip texture for increased control and four interchangeable palmswell grip sizes. The M&amp;P M2.0 subcompact is the perfect fit for someone looking for an easy to conceal and carry firearm, but wants more capacity.</w:t>
      </w:r>
    </w:p>
    <w:p>
      <w:pPr>
        <w:spacing w:after="0" w:line="18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Our customers continue to demand premium firearms that provide a competitive edge in sport shooting and hunting. Our Performance Center products are engineered and manufactured to meet this need and they incorporate many custom features not found in our standard products, such as enhanced triggers for smoother trigger pull, ported barrels for better muzzle control, and specialty sights for quicker target acquisition. During fiscal 2020, we introduced the Performance Center M&amp;P M2.0 C.O.R.E. series pistols. Among several enhancements, these pistols feature cuts in the slide allowing consumers to mount their favorite red dot optic for target and competition shooting.</w:t>
      </w:r>
    </w:p>
    <w:p>
      <w:pPr>
        <w:spacing w:after="0" w:line="17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Within our Thompson/Center Arms branded products, we continued to focus on expanding our bolt-action rifle business while maintaining our leadership in muzzleloaders and interchangeable systems. During fiscal 2020, we launched the new Compass II platform – Compass Utility, Compass II, and Compass II Compact. The Compass II boasts a new, improved trigger and comes with Thompson/Center’s M.O.A. accuracy guarantee. Each of these categories are available with or without scopes. In addition, we expanded our Venture line of bolt-action rifles with the introduction of the Venture II, which offers a threaded barrel, an improved trigger, and is chambered in 350 Legend.</w:t>
      </w:r>
    </w:p>
    <w:p>
      <w:pPr>
        <w:spacing w:after="0" w:line="188"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Within our Gemtech line of suppressors we introduced the Lunar 9 suppressor, our quietest and most versatile 9mm suppressor to date. The Lunar 9 suppressor includes our latest baffle design and offers users two configurations, the ultra-quiet full-length 7” configuration, and the ultra-compact 4.7” configuration. The Lunar 9 suppressor can be used on the vast majority of popular 9mm handguns, pistol caliber carbines, and 300BLK host firearms.</w:t>
      </w:r>
    </w:p>
    <w:p>
      <w:pPr>
        <w:spacing w:after="0" w:line="149"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Firearms net sales for the years ended April 30, 2020, 2019, and 2018 were $526.0 million, $478.5 million, and $449.0 million, respectively. Firearm gross profit for the years ended April 30, 2020, 2019, and 2018 totaled $164.2 million, $152.8 million, and $123.2 million, respectively. Total assets for our firearms business totaled $469.1 million and $389.7 million as of April 30, 2020 and 2019, respectively. Refer to our consolidated financial statements, commencing on page F-1 of this report, for more information regarding our firearm business.</w:t>
      </w:r>
    </w:p>
    <w:p>
      <w:pPr>
        <w:spacing w:after="0" w:line="17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Sales of our handguns accounted for $390.7 million, or 57.6%, of total net sales for the fiscal year ended April 30, 2020; $336.9 million, or 52.8%, of total net sales for the fiscal year ended April 30, 2019; and $326.3 million, or 53.8%, of total net sales for the fiscal year ended April 30, 2018. Sales of long guns accounted for $101.5 million, or 15.0%, of total net sales for the fiscal year ended April 30, 2020; $107.7 million, or 16.9%, of total net sales for the fiscal year ended April 30, 2019; and $90.2 million, or 14.9%, of total net sales for the fiscal year ended April 30, 2018. Sales of other products and services accounted for $33.8 million, or 5.0%, of total net sales for the fiscal year ended April 30, 2020; $33.9 million, or 5.3%, of total net sales for the fiscal year ended April 30, 2019; and $32.5 million, or 5.4%, of total net sales for the fiscal year ended April 30, 2018.</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Handguns</w:t>
      </w:r>
    </w:p>
    <w:p>
      <w:pPr>
        <w:spacing w:after="0" w:line="11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We currently manufacture an extensive variety of handgun models that include revolvers and pistols. A revolver is a handgun with a cylinder that holds the ammunition in a series of rotating chambers that are successively aligned with the barrel of the firearm during each firing cycle. There are two general types of revolvers: single-action and double-action. To fire a single-action revolver, the hammer is pulled back to cock the firearm and align the cylinder before the trigger is pulled. To fire a double-action revolver, a single trigger pull advances the cylinder as it cocks and releases the hammer. A pistol is a handgun in which the ammunition chamber is an integral part of the barrel and which is fed ammunition from a magazine contained in the grip. The firing cycle ejects the spent casings and loads a new round into the chamber.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jc w:val="both"/>
        <w:ind w:firstLine="589"/>
        <w:spacing w:after="0" w:line="311" w:lineRule="auto"/>
        <w:rPr>
          <w:sz w:val="20"/>
          <w:szCs w:val="20"/>
          <w:color w:val="auto"/>
        </w:rPr>
      </w:pPr>
      <w:r>
        <w:rPr>
          <w:rFonts w:ascii="Arial" w:cs="Arial" w:eastAsia="Arial" w:hAnsi="Arial"/>
          <w:sz w:val="16"/>
          <w:szCs w:val="16"/>
          <w:color w:val="auto"/>
        </w:rPr>
        <w:t>We have long been known as an innovator and leader in the revolver market, and most of our revolvers are currently marketed under the Smith &amp; Wesson brand. We sell a wide range of sizes from small-frame revolvers used primarily for concealed carry and personal protection to large-frame revolvers used primarily for recreational and competitive sport shooting. Our extra-large frame revolvers primarily address the handgun-hunting market.</w:t>
      </w:r>
    </w:p>
    <w:p>
      <w:pPr>
        <w:spacing w:after="0" w:line="149"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Our small-frame revolvers have been carried by law enforcement personnel and personal defense-minded citizens for 168 years. We hold a number of patents on various firearm applications, including the use of scandium, a material that possesses many of the same attributes as titanium but at a more reasonable cost. Our revolvers are available in a variety of models and calibers, with applications in virtually all professional and consumer markets.</w:t>
      </w:r>
    </w:p>
    <w:p>
      <w:pPr>
        <w:spacing w:after="0" w:line="149"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offer pistols under our Smith &amp; Wesson, M&amp;P, and Performance Center brands. Our full size and compact M&amp;P pistol products have been engineered with input from professional users and are designed to offer performance, safety, and durability that meet the standards of global law enforcement and military personnel, as well as features attractive to consumers. We believe that our M&amp;P branded pistol products are the most ergonomic, feature-rich, and innovative products on the market today. Our range of full size and compact M&amp;P pistol products are made with a polymer frame, a rigid stainless-steel chassis, and a black, through-hardened corrosion resistant finished stainless-steel barrel and slide for durability. Our M&amp;P pistol products feature patented and easily changed palmswell grips in three or four sizes, allowing the user to customize grips in a matter of seconds; a passive trigger safety to prevent the pistol from firing if dropped; an enlarged trigger guard to accommodate gloved hands; a sear lever release that eliminates the need to press the trigger in order to disassemble the firearm; an ambidextrous slide stop and reversible magazine release to accommodate right- and left-handed shooters; an optional internal locking system and magazine safety; and a universal equipment rail to allow the addition of accessories, including lights and lasers.</w:t>
      </w:r>
    </w:p>
    <w:p>
      <w:pPr>
        <w:spacing w:after="0" w:line="18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 fiscal 2012, we launched the M&amp;P Shield pistol to address the growing personal protection and concealed carry market. The M&amp;P Shield features a slim concealable profile, 9mm, 380 Auto, 40 S&amp;W, and 45 Auto calibers, and M&amp;P ergonomics. We introduced additional M&amp;P Shield models during fiscal 2020. We believe the M&amp;P Shield pistol is one of the most popular firearms in the market, having surpassed the three millionth unit shipped in fiscal 2019.</w:t>
      </w:r>
    </w:p>
    <w:p>
      <w:pPr>
        <w:spacing w:after="0" w:line="18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Our Performance Center has been providing specialized products and services for the most demanding shooting sports enthusiasts since 1990. To meet the requirements of law enforcement professionals, competitive shooters, collectors, and discriminating sport enthusiasts who demand superior firearm products, our Performance Center personnel conceptualize, engineer, and craft firearm products to create enhanced versions of our standard products. Our craftsmen, many of whom are actively involved in competitive shooting, are highly skilled and experienced gunsmiths. Performance Center products are offered under the Smith &amp; Wesson, M&amp;P, and Thompson/Center brands and are typically made in limited production quantities, although we offer a number of catalog variations in order to increase product availability.</w:t>
      </w:r>
    </w:p>
    <w:p>
      <w:pPr>
        <w:spacing w:after="0" w:line="17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Our “Classics” department makes it possible to own historic firearms that are manufactured today but modeled after original favorites, such as the Model 29, the firearm made famous by the movie character Dirty Harry. These firearms are newly crafted with designs that take advantage of some of the most famous and collectible guns that we have ever made. Our Classics department also makes commemorative firearms and employs master engravers to craft one-of-a-kind custom firearms. These custom-made applications reflect the skill and vision of the master engraver and the artistic expression of the owner. We offer a number of catalog variations of Classics and engraved Classics to our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600"/>
        <w:spacing w:after="0"/>
        <w:rPr>
          <w:sz w:val="20"/>
          <w:szCs w:val="20"/>
          <w:color w:val="auto"/>
        </w:rPr>
      </w:pPr>
      <w:r>
        <w:rPr>
          <w:rFonts w:ascii="Arial" w:cs="Arial" w:eastAsia="Arial" w:hAnsi="Arial"/>
          <w:sz w:val="18"/>
          <w:szCs w:val="18"/>
          <w:i w:val="1"/>
          <w:iCs w:val="1"/>
          <w:color w:val="auto"/>
        </w:rPr>
        <w:t>Long Guns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Our M&amp;P branded modern sporting rifles are designed to satisfy the functionality and reliability needs of global military, law enforcement, and security personnel. These long guns are popular with consumers as hunting and sporting target rifles and are sold through our sporting good distributors, retailers, and dealers. We offer M&amp;P modern sporting rifles in five different calibers (22LR, 5.56mm NATO (223), 300 Whisper, 308 Winchester (7.62x51mm), and 6.5 Creedmoor) for multiple recreational and professional uses. We also offer upper assemblies so gun owners can easily modify their M&amp;P to suit the needs and tasks of the various forms of sport shooting and hunting. Our broad product portfolio of modern sporting rifles includes a 22 caliber model, an opening price-point sport model, a hunting caliber model for longer range effectiveness, and several models designed for the exclusive use of military and law enforcement agencies throughout the world.</w:t>
      </w:r>
    </w:p>
    <w:p>
      <w:pPr>
        <w:spacing w:after="0" w:line="17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manufacture three lines of bolt-action rifles under our Thompson/Center Arms brand with several models in each line. These long guns are offered in over nine different calibers. Bolt-action rifles operate by the cycling of a bolt handle that allows for both the loading and unloading of rounds via a magazine fed system. This design allows for multi-round capacity and a level of strength that supports larger calibers. Our bolt-action rifles feature 5R rifling and a minute of angle guarantee. We offer compact rifles for shooters of smaller stature. Bolt-action rifles are the most popular firearm among hunters because of their reputation for accuracy, reliability, and relatively light-weight design.</w:t>
      </w:r>
    </w:p>
    <w:p>
      <w:pPr>
        <w:spacing w:after="0" w:line="188"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Under our Thompson/Center Arms brand, we also offer four lines of high-quality American-made single-shot “black powder,” or “muzzleloader,” firearms. Ammunition for our black powder firearms is loaded through the muzzle rather than the breech, as is the case with conventional firearms. Our black powder firearms are highly accurate, dependable rifles configured with muzzle loading barrels for hunting. Black powder firearms are purchased by hunting enthusiasts, primarily for use during exclusive black powder hunting seasons for hunting big game, such as deer and elk.</w:t>
      </w:r>
    </w:p>
    <w:p>
      <w:pPr>
        <w:spacing w:after="0" w:line="15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offer two models of interchangeable, single-shot firearm systems that deliver numerous gun, barrel, and caliber configurations and finishes. These firearm systems can be purchased fully assembled or as frame assemblies that can be configured by the owner as a center-fire rifle, rim-fire rifle, shotgun, black powder firearm, or single-shot handgun for use across the entire range of big- and small-game hunting. As a result, a firearm owner can easily change barrels, stocks, and forends, resulting in “one gun for all seasons” that can be continuously modified to suit the needs and tasks of the owner for various forms of sport shooting and hunting.</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Products and Manufacturing Services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other products and manufacturing services in the firearms division include the following:</w:t>
      </w:r>
    </w:p>
    <w:p>
      <w:pPr>
        <w:spacing w:after="0" w:line="225"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i w:val="1"/>
          <w:iCs w:val="1"/>
          <w:color w:val="auto"/>
        </w:rPr>
        <w:t xml:space="preserve">Parts: </w:t>
      </w:r>
      <w:r>
        <w:rPr>
          <w:rFonts w:ascii="Arial" w:cs="Arial" w:eastAsia="Arial" w:hAnsi="Arial"/>
          <w:sz w:val="18"/>
          <w:szCs w:val="18"/>
          <w:color w:val="auto"/>
        </w:rPr>
        <w:t>We sell parts to support our firearm business, including barrels and magazines that are manufactured at our facilities or purchased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parties.</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i w:val="1"/>
          <w:iCs w:val="1"/>
          <w:color w:val="auto"/>
        </w:rPr>
        <w:t xml:space="preserve">Handcuffs: </w:t>
      </w:r>
      <w:r>
        <w:rPr>
          <w:rFonts w:ascii="Arial" w:cs="Arial" w:eastAsia="Arial" w:hAnsi="Arial"/>
          <w:sz w:val="18"/>
          <w:szCs w:val="18"/>
          <w:color w:val="auto"/>
        </w:rPr>
        <w:t>We are one of the largest manufacturers of handcuffs and restraints in the United States. We fabricate these products from the highest-grade carbon or stainless steel. Our patented Lever Lock cuffs offer a double-locking system for added security and comfort, without extra tools or keys. Double heat-treated internal locks help prevent tampering, and smooth ratchets allow for swift cuffing and an extra measure of safety. We have the ability to customize handcuffs to fit customer specifications.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Smith &amp; Wesson Academy: </w:t>
      </w:r>
      <w:r>
        <w:rPr>
          <w:rFonts w:ascii="Arial" w:cs="Arial" w:eastAsia="Arial" w:hAnsi="Arial"/>
          <w:sz w:val="18"/>
          <w:szCs w:val="18"/>
          <w:color w:val="auto"/>
        </w:rPr>
        <w:t>The Smith &amp; Wesson Academy offers state-of-the-art-instruction designed to meet the training needs of law</w:t>
      </w:r>
      <w:r>
        <w:rPr>
          <w:rFonts w:ascii="Arial" w:cs="Arial" w:eastAsia="Arial" w:hAnsi="Arial"/>
          <w:sz w:val="18"/>
          <w:szCs w:val="18"/>
          <w:i w:val="1"/>
          <w:iCs w:val="1"/>
          <w:color w:val="auto"/>
        </w:rPr>
        <w:t xml:space="preserve"> </w:t>
      </w:r>
      <w:r>
        <w:rPr>
          <w:rFonts w:ascii="Arial" w:cs="Arial" w:eastAsia="Arial" w:hAnsi="Arial"/>
          <w:sz w:val="18"/>
          <w:szCs w:val="18"/>
          <w:color w:val="auto"/>
        </w:rPr>
        <w:t>enforcement and security customers worldwide. This service-only offering sends instructors to provide courses and training to law enforcement and military personnel at their locations in the field.</w:t>
      </w:r>
    </w:p>
    <w:p>
      <w:pPr>
        <w:spacing w:after="0" w:line="1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i w:val="1"/>
          <w:iCs w:val="1"/>
          <w:color w:val="auto"/>
        </w:rPr>
        <w:t xml:space="preserve">Suppressors: </w:t>
      </w:r>
      <w:r>
        <w:rPr>
          <w:rFonts w:ascii="Arial" w:cs="Arial" w:eastAsia="Arial" w:hAnsi="Arial"/>
          <w:sz w:val="18"/>
          <w:szCs w:val="18"/>
          <w:color w:val="auto"/>
        </w:rPr>
        <w:t>We are the nation’s oldest firearm suppressor manufacturer and an active participant in the firearm suppressor market around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Our Gemtech branded suppressors were the first to market in 1976 and have been involved in setting standards used by the military in suppressor testing, implementation, and safety. Our suppressors are constructed from high grade aluminum, steel, or titanium and are compatible with every major type of rimfire and centerfire pistol and centerfire rifle caliber currently on the market.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ind w:firstLine="589"/>
        <w:spacing w:after="0" w:line="257" w:lineRule="auto"/>
        <w:rPr>
          <w:sz w:val="20"/>
          <w:szCs w:val="20"/>
          <w:color w:val="auto"/>
        </w:rPr>
      </w:pPr>
      <w:r>
        <w:rPr>
          <w:rFonts w:ascii="Arial" w:cs="Arial" w:eastAsia="Arial" w:hAnsi="Arial"/>
          <w:sz w:val="18"/>
          <w:szCs w:val="18"/>
          <w:i w:val="1"/>
          <w:iCs w:val="1"/>
          <w:color w:val="auto"/>
        </w:rPr>
        <w:t xml:space="preserve">Manufacturing Services: </w:t>
      </w:r>
      <w:r>
        <w:rPr>
          <w:rFonts w:ascii="Arial" w:cs="Arial" w:eastAsia="Arial" w:hAnsi="Arial"/>
          <w:sz w:val="18"/>
          <w:szCs w:val="18"/>
          <w:color w:val="auto"/>
        </w:rPr>
        <w:t>We utilize our substantial manufacturing capabilities to provide services to third-party customers. Our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forging, heat treating, rapid prototyping, tooling, finishing, plating, machining, and custom plastic injection molding. We believe our manufacturing services provide us with increased flexibility and reduced supply chain risk. We also believe that business-to-business sales provide profitable revenue stream diversification and enable us to maximize capacity utilization of our manufacturing assets. We market our manufacturing services division under the Smith &amp; Wesson Precision Components brand name.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Outdoor Products &amp; Accessories (OP&amp;A) Division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OP&amp;A - Introduction</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We are a leading provider of outdoor products and accessories encompassing hunting, fishing, camping, shooting, and personal security and defense products for rugged outdoor enthusiasts. We conceive, design, produce or source, and sell products and accessories, including shooting supplies, rests, vaults, and other related accessories; premium sportsman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 We develop and market our products at our facility in Columbia, Missouri and contract for the manufacture and assembly of most of our products with third parties located in Asia. We also manufacture some of our electro-optics products at our facility in Wilsonville, Oregon.</w:t>
      </w:r>
    </w:p>
    <w:p>
      <w:pPr>
        <w:spacing w:after="0" w:line="17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Caldwell, Wheeler, Tipton, Frankford Arsenal, Hooyman, BOG, MEAT!, Uncle Henry, Old Timer, Imperial, Crimson Trace, LaserLyte, Lockdown, UST, BUBBA, and Schrade, and we license from our Firearms division for use in association with certain products that we sell, including M&amp;P, Smith &amp; Wesson, Performance Center by Smith &amp; Wesson, and Thompson/Center Arms. In focusing on the growth of our brands, we organize our creative, product development, sourcing, and e-commerce teams into four brand lanes, each of which focuses on one of four distinct consumer verticals – Marksman, Defender, Harvester, and Adventurer – with each of our brands included in one of the brand lanes. Our sales activities focus on our various distribution channels, which we refer to as classes of trade, such as online retailers, specialty retailers, dealers, distributors, and direct to consumer.</w:t>
      </w:r>
    </w:p>
    <w:p>
      <w:pPr>
        <w:spacing w:after="0" w:line="178"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Our Marksman brands address product needs arising from consumer activities that take place primarily at the shooting range and where firearms are cleaned, maintained, and worked on. Our Defender brands include products that help consumers aim their firearms more accurately, including situations that require self-defense, and products that help secure, store, and maintain connectivity to those possessions that some consumers would consider to be high value or high consequence. Our Harvester brands focus on the activities hunters typically engage in, including hunting preparation, the hunt itself, and the activities that follow a hunt, such as meat processing. Our Adventurer brands include products that help enhance consumers’ fishing and camping experiences.</w:t>
      </w:r>
    </w:p>
    <w:p>
      <w:pPr>
        <w:spacing w:after="0" w:line="19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objective in our OP&amp;A division is to enhance our position as a leading provider of high-quality and innovative outdoor products and accessories for the hunting, fishing, camping, shooting, personal security and defense, and other rugged outdoor markets and to expand our addressable market into carefully selected new product arenas. Key elements of our strategy to achieve this objective and deliver long-term stockholder value are as follows:</w:t>
      </w:r>
    </w:p>
    <w:p>
      <w:pPr>
        <w:spacing w:after="0" w:line="79" w:lineRule="exact"/>
        <w:rPr>
          <w:sz w:val="20"/>
          <w:szCs w:val="20"/>
          <w:color w:val="auto"/>
        </w:rPr>
      </w:pPr>
    </w:p>
    <w:p>
      <w:pPr>
        <w:ind w:left="13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 a continuing stream of innovative new and differentiated rugged outdoor products and product extensions that appeal to consumers and achieve market acceptance and drive customer satisfaction and loyalty;</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the size of our addressable market by appealing to new and larger consumer audiences in new product categories outside the rugged outdoor market;</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cultivate and enhance direct-to-consumer relationships through our digital platforms;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enhance our supply chain;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acquisitions that financially and strategically complement our current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ind w:firstLine="589"/>
        <w:spacing w:after="0" w:line="273" w:lineRule="auto"/>
        <w:rPr>
          <w:sz w:val="20"/>
          <w:szCs w:val="20"/>
          <w:color w:val="auto"/>
        </w:rPr>
      </w:pPr>
      <w:r>
        <w:rPr>
          <w:rFonts w:ascii="Arial" w:cs="Arial" w:eastAsia="Arial" w:hAnsi="Arial"/>
          <w:sz w:val="17"/>
          <w:szCs w:val="17"/>
          <w:color w:val="auto"/>
        </w:rPr>
        <w:t>Throughout our history, we believe that we have been able to utilize our understanding of consumer needs to develop and introduce innovative new disruptive products with strong intellectual property protection that have continually increased our market share in their product categories, such as our Lead Sled, which we believe represents a substantial portion of the market share in the shooting rest category. Since the acquisition of Battenfeld Technologies, Inc. in 2014 as a stock transaction in which we acquired key brands like Caldwell, Wheeler, Tipton, Frankford Arsenal, and Lockdown, we have enhanced our product development capabilities, developed a multi-faceted marketing approach, improved our multi-channel distribution platform, and expanded and diversified our business through organic growth and strategic acquisitions.</w:t>
      </w:r>
    </w:p>
    <w:p>
      <w:pPr>
        <w:spacing w:after="0" w:line="17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information regarding the brands and products added to our operations through acquisitions in the fiscal years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b w:val="1"/>
                <w:bCs w:val="1"/>
                <w:color w:val="auto"/>
              </w:rPr>
              <w:t>Name, Original</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Type of Acquisition</w:t>
            </w:r>
          </w:p>
        </w:tc>
        <w:tc>
          <w:tcPr>
            <w:tcW w:w="160" w:type="dxa"/>
            <w:vAlign w:val="bottom"/>
            <w:vMerge w:val="restart"/>
          </w:tcPr>
          <w:p>
            <w:pPr>
              <w:spacing w:after="0"/>
              <w:rPr>
                <w:sz w:val="14"/>
                <w:szCs w:val="14"/>
                <w:color w:val="auto"/>
              </w:rPr>
            </w:pPr>
          </w:p>
        </w:tc>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Product Brands</w:t>
            </w:r>
          </w:p>
        </w:tc>
        <w:tc>
          <w:tcPr>
            <w:tcW w:w="160" w:type="dxa"/>
            <w:vAlign w:val="bottom"/>
            <w:vMerge w:val="restart"/>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Produced Products</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Location, and Developments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3600" w:type="dxa"/>
            <w:vAlign w:val="bottom"/>
            <w:gridSpan w:val="4"/>
          </w:tcPr>
          <w:p>
            <w:pPr>
              <w:spacing w:after="0"/>
              <w:rPr>
                <w:sz w:val="20"/>
                <w:szCs w:val="20"/>
                <w:color w:val="auto"/>
              </w:rPr>
            </w:pPr>
            <w:r>
              <w:rPr>
                <w:rFonts w:ascii="Arial" w:cs="Arial" w:eastAsia="Arial" w:hAnsi="Arial"/>
                <w:sz w:val="18"/>
                <w:szCs w:val="18"/>
                <w:color w:val="auto"/>
                <w:w w:val="95"/>
              </w:rPr>
              <w:t>Hooyman, LLC, Appleton, Wisconsin (operated</w:t>
            </w:r>
          </w:p>
        </w:tc>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Asset</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Hooyman</w:t>
            </w: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rPr>
              <w:t>Extendable  tree  saws  for  the</w:t>
            </w:r>
          </w:p>
        </w:tc>
        <w:tc>
          <w:tcPr>
            <w:tcW w:w="0" w:type="dxa"/>
            <w:vAlign w:val="bottom"/>
          </w:tcPr>
          <w:p>
            <w:pPr>
              <w:spacing w:after="0"/>
              <w:rPr>
                <w:sz w:val="1"/>
                <w:szCs w:val="1"/>
                <w:color w:val="auto"/>
              </w:rPr>
            </w:pP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w w:val="95"/>
              </w:rPr>
              <w:t>out of our Columbia, Missouri facility)</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60" w:type="dxa"/>
            <w:vAlign w:val="bottom"/>
            <w:gridSpan w:val="7"/>
          </w:tcPr>
          <w:p>
            <w:pPr>
              <w:ind w:left="160"/>
              <w:spacing w:after="0"/>
              <w:rPr>
                <w:sz w:val="20"/>
                <w:szCs w:val="20"/>
                <w:color w:val="auto"/>
              </w:rPr>
            </w:pPr>
            <w:r>
              <w:rPr>
                <w:rFonts w:ascii="Arial" w:cs="Arial" w:eastAsia="Arial" w:hAnsi="Arial"/>
                <w:sz w:val="18"/>
                <w:szCs w:val="18"/>
                <w:color w:val="auto"/>
                <w:w w:val="91"/>
              </w:rPr>
              <w:t>hunting and outdoor industry</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PowerTech,</w:t>
            </w:r>
          </w:p>
        </w:tc>
        <w:tc>
          <w:tcPr>
            <w:tcW w:w="620" w:type="dxa"/>
            <w:vAlign w:val="bottom"/>
          </w:tcPr>
          <w:p>
            <w:pPr>
              <w:ind w:left="80"/>
              <w:spacing w:after="0"/>
              <w:rPr>
                <w:sz w:val="20"/>
                <w:szCs w:val="20"/>
                <w:color w:val="auto"/>
              </w:rPr>
            </w:pPr>
            <w:r>
              <w:rPr>
                <w:rFonts w:ascii="Arial" w:cs="Arial" w:eastAsia="Arial" w:hAnsi="Arial"/>
                <w:sz w:val="18"/>
                <w:szCs w:val="18"/>
                <w:color w:val="auto"/>
              </w:rPr>
              <w:t>Inc.,</w:t>
            </w:r>
          </w:p>
        </w:tc>
        <w:tc>
          <w:tcPr>
            <w:tcW w:w="1180" w:type="dxa"/>
            <w:vAlign w:val="bottom"/>
          </w:tcPr>
          <w:p>
            <w:pPr>
              <w:ind w:left="60"/>
              <w:spacing w:after="0"/>
              <w:rPr>
                <w:sz w:val="20"/>
                <w:szCs w:val="20"/>
                <w:color w:val="auto"/>
              </w:rPr>
            </w:pPr>
            <w:r>
              <w:rPr>
                <w:rFonts w:ascii="Arial" w:cs="Arial" w:eastAsia="Arial" w:hAnsi="Arial"/>
                <w:sz w:val="18"/>
                <w:szCs w:val="18"/>
                <w:color w:val="auto"/>
              </w:rPr>
              <w:t>Collierville,</w:t>
            </w:r>
          </w:p>
        </w:tc>
        <w:tc>
          <w:tcPr>
            <w:tcW w:w="760" w:type="dxa"/>
            <w:vAlign w:val="bottom"/>
          </w:tcPr>
          <w:p>
            <w:pPr>
              <w:ind w:left="20"/>
              <w:spacing w:after="0"/>
              <w:rPr>
                <w:sz w:val="20"/>
                <w:szCs w:val="20"/>
                <w:color w:val="auto"/>
              </w:rPr>
            </w:pPr>
            <w:r>
              <w:rPr>
                <w:rFonts w:ascii="Arial" w:cs="Arial" w:eastAsia="Arial" w:hAnsi="Arial"/>
                <w:sz w:val="18"/>
                <w:szCs w:val="18"/>
                <w:color w:val="auto"/>
                <w:w w:val="80"/>
              </w:rPr>
              <w:t>Tennessee</w:t>
            </w:r>
          </w:p>
        </w:tc>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Asset</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Smith &amp; Wesson, M&amp;P</w:t>
            </w: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w w:val="94"/>
              </w:rPr>
              <w:t>Tactical flashlights, universal LED</w:t>
            </w:r>
          </w:p>
        </w:tc>
        <w:tc>
          <w:tcPr>
            <w:tcW w:w="0" w:type="dxa"/>
            <w:vAlign w:val="bottom"/>
          </w:tcPr>
          <w:p>
            <w:pPr>
              <w:spacing w:after="0"/>
              <w:rPr>
                <w:sz w:val="1"/>
                <w:szCs w:val="1"/>
                <w:color w:val="auto"/>
              </w:rPr>
            </w:pPr>
          </w:p>
        </w:tc>
      </w:tr>
      <w:tr>
        <w:trPr>
          <w:trHeight w:val="230"/>
        </w:trPr>
        <w:tc>
          <w:tcPr>
            <w:tcW w:w="3600" w:type="dxa"/>
            <w:vAlign w:val="bottom"/>
            <w:gridSpan w:val="4"/>
          </w:tcPr>
          <w:p>
            <w:pPr>
              <w:spacing w:after="0"/>
              <w:rPr>
                <w:sz w:val="20"/>
                <w:szCs w:val="20"/>
                <w:color w:val="auto"/>
              </w:rPr>
            </w:pPr>
            <w:r>
              <w:rPr>
                <w:rFonts w:ascii="Arial" w:cs="Arial" w:eastAsia="Arial" w:hAnsi="Arial"/>
                <w:sz w:val="18"/>
                <w:szCs w:val="18"/>
                <w:color w:val="auto"/>
                <w:w w:val="94"/>
              </w:rPr>
              <w:t>(operated out of our Columbia, Missouri facility)</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20" w:type="dxa"/>
            <w:vAlign w:val="bottom"/>
            <w:gridSpan w:val="6"/>
          </w:tcPr>
          <w:p>
            <w:pPr>
              <w:ind w:left="160"/>
              <w:spacing w:after="0"/>
              <w:rPr>
                <w:sz w:val="20"/>
                <w:szCs w:val="20"/>
                <w:color w:val="auto"/>
              </w:rPr>
            </w:pPr>
            <w:r>
              <w:rPr>
                <w:rFonts w:ascii="Arial" w:cs="Arial" w:eastAsia="Arial" w:hAnsi="Arial"/>
                <w:sz w:val="18"/>
                <w:szCs w:val="18"/>
                <w:color w:val="auto"/>
                <w:w w:val="98"/>
              </w:rPr>
              <w:t>lights, and pocket lights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00" w:type="dxa"/>
            <w:vAlign w:val="bottom"/>
            <w:gridSpan w:val="4"/>
          </w:tcPr>
          <w:p>
            <w:pPr>
              <w:spacing w:after="0"/>
              <w:rPr>
                <w:sz w:val="20"/>
                <w:szCs w:val="20"/>
                <w:color w:val="auto"/>
              </w:rPr>
            </w:pPr>
            <w:r>
              <w:rPr>
                <w:rFonts w:ascii="Arial" w:cs="Arial" w:eastAsia="Arial" w:hAnsi="Arial"/>
                <w:sz w:val="18"/>
                <w:szCs w:val="18"/>
                <w:color w:val="auto"/>
              </w:rPr>
              <w:t>Taylor Brands, LLC, operated as BTI Tools,</w:t>
            </w:r>
          </w:p>
        </w:tc>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Asset</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9"/>
              </w:rPr>
              <w:t>Smith  &amp;  Wesson,  M&amp;P,</w:t>
            </w: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rPr>
              <w:t>High-quality   knives,   specialty</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rPr>
              <w:t>LLC,  or  BTI  Tools,  Kingsport,  Tennessee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4"/>
              </w:rPr>
              <w:t>Schrade, Uncle Henry, Old</w:t>
            </w:r>
          </w:p>
        </w:tc>
        <w:tc>
          <w:tcPr>
            <w:tcW w:w="2020" w:type="dxa"/>
            <w:vAlign w:val="bottom"/>
            <w:gridSpan w:val="6"/>
          </w:tcPr>
          <w:p>
            <w:pPr>
              <w:ind w:left="160"/>
              <w:spacing w:after="0"/>
              <w:rPr>
                <w:sz w:val="20"/>
                <w:szCs w:val="20"/>
                <w:color w:val="auto"/>
              </w:rPr>
            </w:pPr>
            <w:r>
              <w:rPr>
                <w:rFonts w:ascii="Arial" w:cs="Arial" w:eastAsia="Arial" w:hAnsi="Arial"/>
                <w:sz w:val="18"/>
                <w:szCs w:val="18"/>
                <w:color w:val="auto"/>
              </w:rPr>
              <w:t>tools, and accessories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rPr>
              <w:t>(subsequently  relocated  operations  to  our</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Timer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4"/>
          </w:tcPr>
          <w:p>
            <w:pPr>
              <w:spacing w:after="0"/>
              <w:rPr>
                <w:sz w:val="20"/>
                <w:szCs w:val="20"/>
                <w:color w:val="auto"/>
              </w:rPr>
            </w:pPr>
            <w:r>
              <w:rPr>
                <w:rFonts w:ascii="Arial" w:cs="Arial" w:eastAsia="Arial" w:hAnsi="Arial"/>
                <w:sz w:val="18"/>
                <w:szCs w:val="18"/>
                <w:color w:val="auto"/>
              </w:rPr>
              <w:t>Columbia, Missouri facility in fiscal 2018)</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00" w:type="dxa"/>
            <w:vAlign w:val="bottom"/>
            <w:gridSpan w:val="4"/>
          </w:tcPr>
          <w:p>
            <w:pPr>
              <w:spacing w:after="0"/>
              <w:rPr>
                <w:sz w:val="20"/>
                <w:szCs w:val="20"/>
                <w:color w:val="auto"/>
              </w:rPr>
            </w:pPr>
            <w:r>
              <w:rPr>
                <w:rFonts w:ascii="Arial" w:cs="Arial" w:eastAsia="Arial" w:hAnsi="Arial"/>
                <w:sz w:val="18"/>
                <w:szCs w:val="18"/>
                <w:color w:val="auto"/>
                <w:w w:val="96"/>
              </w:rPr>
              <w:t>Crimson Trace Corporation, or Crimson Trace,</w:t>
            </w:r>
          </w:p>
        </w:tc>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Stock</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Crimson Trace</w:t>
            </w: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w w:val="94"/>
              </w:rPr>
              <w:t>Laser sighting and tactical lighting</w:t>
            </w: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Wilsonville, Oregon</w:t>
            </w: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w w:val="90"/>
              </w:rPr>
              <w:t>systems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00" w:type="dxa"/>
            <w:vAlign w:val="bottom"/>
            <w:gridSpan w:val="4"/>
          </w:tcPr>
          <w:p>
            <w:pPr>
              <w:spacing w:after="0"/>
              <w:rPr>
                <w:sz w:val="20"/>
                <w:szCs w:val="20"/>
                <w:color w:val="auto"/>
              </w:rPr>
            </w:pPr>
            <w:r>
              <w:rPr>
                <w:rFonts w:ascii="Arial" w:cs="Arial" w:eastAsia="Arial" w:hAnsi="Arial"/>
                <w:sz w:val="18"/>
                <w:szCs w:val="18"/>
                <w:color w:val="auto"/>
                <w:w w:val="98"/>
              </w:rPr>
              <w:t>Ultimate Survival Technologies, Inc., currently</w:t>
            </w:r>
          </w:p>
        </w:tc>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Asset</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UST</w:t>
            </w: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w w:val="94"/>
              </w:rPr>
              <w:t>High-quality survival and camping</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w w:val="95"/>
              </w:rPr>
              <w:t>operating  as  Ultimate  Survival  Technologies,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8"/>
              </w:rPr>
              <w:t>equipment,</w:t>
            </w:r>
          </w:p>
        </w:tc>
        <w:tc>
          <w:tcPr>
            <w:tcW w:w="1200" w:type="dxa"/>
            <w:vAlign w:val="bottom"/>
            <w:gridSpan w:val="4"/>
          </w:tcPr>
          <w:p>
            <w:pPr>
              <w:spacing w:after="0"/>
              <w:rPr>
                <w:sz w:val="20"/>
                <w:szCs w:val="20"/>
                <w:color w:val="auto"/>
              </w:rPr>
            </w:pPr>
            <w:r>
              <w:rPr>
                <w:rFonts w:ascii="Arial" w:cs="Arial" w:eastAsia="Arial" w:hAnsi="Arial"/>
                <w:sz w:val="18"/>
                <w:szCs w:val="18"/>
                <w:color w:val="auto"/>
              </w:rPr>
              <w:t>including LED</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lights,</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w w:val="91"/>
              </w:rPr>
              <w:t>LLC, or UST, Jacksonville, Florida (subsequently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9"/>
              </w:rPr>
              <w:t>all-weather</w:t>
            </w:r>
          </w:p>
        </w:tc>
        <w:tc>
          <w:tcPr>
            <w:tcW w:w="1200" w:type="dxa"/>
            <w:vAlign w:val="bottom"/>
            <w:gridSpan w:val="4"/>
          </w:tcPr>
          <w:p>
            <w:pPr>
              <w:ind w:left="200"/>
              <w:spacing w:after="0"/>
              <w:rPr>
                <w:sz w:val="20"/>
                <w:szCs w:val="20"/>
                <w:color w:val="auto"/>
              </w:rPr>
            </w:pPr>
            <w:r>
              <w:rPr>
                <w:rFonts w:ascii="Arial" w:cs="Arial" w:eastAsia="Arial" w:hAnsi="Arial"/>
                <w:sz w:val="18"/>
                <w:szCs w:val="18"/>
                <w:color w:val="auto"/>
              </w:rPr>
              <w:t>fire-starting</w:t>
            </w:r>
          </w:p>
        </w:tc>
        <w:tc>
          <w:tcPr>
            <w:tcW w:w="460" w:type="dxa"/>
            <w:vAlign w:val="bottom"/>
          </w:tcPr>
          <w:p>
            <w:pPr>
              <w:jc w:val="right"/>
              <w:spacing w:after="0"/>
              <w:rPr>
                <w:sz w:val="20"/>
                <w:szCs w:val="20"/>
                <w:color w:val="auto"/>
              </w:rPr>
            </w:pPr>
            <w:r>
              <w:rPr>
                <w:rFonts w:ascii="Arial" w:cs="Arial" w:eastAsia="Arial" w:hAnsi="Arial"/>
                <w:sz w:val="18"/>
                <w:szCs w:val="18"/>
                <w:color w:val="auto"/>
              </w:rPr>
              <w:t>kits,</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w w:val="96"/>
              </w:rPr>
              <w:t>relocated operations to our Columbia, Missouri</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88"/>
              </w:rPr>
              <w:t>unbreakable</w:t>
            </w:r>
          </w:p>
        </w:tc>
        <w:tc>
          <w:tcPr>
            <w:tcW w:w="30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signal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mirrors,</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w w:val="98"/>
              </w:rPr>
              <w:t>facility in fiscal 2019)</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auto"/>
                <w:w w:val="99"/>
              </w:rPr>
              <w:t>premium  outdoor</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cutting</w:t>
            </w:r>
          </w:p>
        </w:tc>
        <w:tc>
          <w:tcPr>
            <w:tcW w:w="460" w:type="dxa"/>
            <w:vAlign w:val="bottom"/>
          </w:tcPr>
          <w:p>
            <w:pPr>
              <w:jc w:val="right"/>
              <w:spacing w:after="0"/>
              <w:rPr>
                <w:sz w:val="20"/>
                <w:szCs w:val="20"/>
                <w:color w:val="auto"/>
              </w:rPr>
            </w:pPr>
            <w:r>
              <w:rPr>
                <w:rFonts w:ascii="Arial" w:cs="Arial" w:eastAsia="Arial" w:hAnsi="Arial"/>
                <w:sz w:val="18"/>
                <w:szCs w:val="18"/>
                <w:color w:val="auto"/>
              </w:rPr>
              <w:t>tools,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w w:val="98"/>
              </w:rPr>
              <w:t>first  aid  kits,  survival  kits,  and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auto"/>
                <w:w w:val="98"/>
              </w:rPr>
              <w:t>camping products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00" w:type="dxa"/>
            <w:vAlign w:val="bottom"/>
            <w:gridSpan w:val="4"/>
          </w:tcPr>
          <w:p>
            <w:pPr>
              <w:spacing w:after="0"/>
              <w:rPr>
                <w:sz w:val="20"/>
                <w:szCs w:val="20"/>
                <w:color w:val="auto"/>
              </w:rPr>
            </w:pPr>
            <w:r>
              <w:rPr>
                <w:rFonts w:ascii="Arial" w:cs="Arial" w:eastAsia="Arial" w:hAnsi="Arial"/>
                <w:sz w:val="18"/>
                <w:szCs w:val="18"/>
                <w:color w:val="auto"/>
                <w:w w:val="94"/>
              </w:rPr>
              <w:t>Fish Tales, LLC, Tucson, Arizona (operated out</w:t>
            </w:r>
          </w:p>
        </w:tc>
        <w:tc>
          <w:tcPr>
            <w:tcW w:w="16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Asset</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BUBBA</w:t>
            </w: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w w:val="92"/>
              </w:rPr>
              <w:t>Premium sporting knives and tools</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of our Columbia, Missouri facility)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rPr>
              <w:t>for fishing and</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w w:val="95"/>
              </w:rPr>
              <w:t>hunting, including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Bubba</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Blade</w:t>
            </w:r>
          </w:p>
        </w:tc>
        <w:tc>
          <w:tcPr>
            <w:tcW w:w="660" w:type="dxa"/>
            <w:vAlign w:val="bottom"/>
            <w:gridSpan w:val="2"/>
          </w:tcPr>
          <w:p>
            <w:pPr>
              <w:spacing w:after="0"/>
              <w:rPr>
                <w:sz w:val="20"/>
                <w:szCs w:val="20"/>
                <w:color w:val="auto"/>
              </w:rPr>
            </w:pPr>
            <w:r>
              <w:rPr>
                <w:rFonts w:ascii="Arial" w:cs="Arial" w:eastAsia="Arial" w:hAnsi="Arial"/>
                <w:sz w:val="18"/>
                <w:szCs w:val="18"/>
                <w:color w:val="auto"/>
                <w:w w:val="96"/>
              </w:rPr>
              <w:t>branded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products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rPr>
              <w:t>(subsequently</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w w:val="90"/>
              </w:rPr>
              <w:t>rebranded</w:t>
            </w:r>
          </w:p>
        </w:tc>
        <w:tc>
          <w:tcPr>
            <w:tcW w:w="460" w:type="dxa"/>
            <w:vAlign w:val="bottom"/>
          </w:tcPr>
          <w:p>
            <w:pPr>
              <w:jc w:val="right"/>
              <w:spacing w:after="0"/>
              <w:rPr>
                <w:sz w:val="20"/>
                <w:szCs w:val="20"/>
                <w:color w:val="auto"/>
              </w:rPr>
            </w:pPr>
            <w:r>
              <w:rPr>
                <w:rFonts w:ascii="Arial" w:cs="Arial" w:eastAsia="Arial" w:hAnsi="Arial"/>
                <w:sz w:val="18"/>
                <w:szCs w:val="18"/>
                <w:color w:val="auto"/>
              </w:rPr>
              <w:t>as</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BUBBA)</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180" w:type="dxa"/>
            <w:vAlign w:val="bottom"/>
            <w:gridSpan w:val="6"/>
          </w:tcPr>
          <w:p>
            <w:pPr>
              <w:spacing w:after="0"/>
              <w:rPr>
                <w:sz w:val="20"/>
                <w:szCs w:val="20"/>
                <w:color w:val="auto"/>
              </w:rPr>
            </w:pPr>
            <w:r>
              <w:rPr>
                <w:rFonts w:ascii="Arial" w:cs="Arial" w:eastAsia="Arial" w:hAnsi="Arial"/>
                <w:sz w:val="18"/>
                <w:szCs w:val="18"/>
                <w:color w:val="auto"/>
              </w:rPr>
              <w:t>P&amp;L  Industries,  Inc.,  Cottonwood,  Arizona  Asset</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LaserLyte</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Laser</w:t>
            </w:r>
          </w:p>
        </w:tc>
        <w:tc>
          <w:tcPr>
            <w:tcW w:w="800" w:type="dxa"/>
            <w:vAlign w:val="bottom"/>
            <w:gridSpan w:val="3"/>
          </w:tcPr>
          <w:p>
            <w:pPr>
              <w:ind w:left="40"/>
              <w:spacing w:after="0"/>
              <w:rPr>
                <w:sz w:val="20"/>
                <w:szCs w:val="20"/>
                <w:color w:val="auto"/>
              </w:rPr>
            </w:pPr>
            <w:r>
              <w:rPr>
                <w:rFonts w:ascii="Arial" w:cs="Arial" w:eastAsia="Arial" w:hAnsi="Arial"/>
                <w:sz w:val="18"/>
                <w:szCs w:val="18"/>
                <w:color w:val="auto"/>
              </w:rPr>
              <w:t>training</w:t>
            </w:r>
          </w:p>
        </w:tc>
        <w:tc>
          <w:tcPr>
            <w:tcW w:w="440" w:type="dxa"/>
            <w:vAlign w:val="bottom"/>
          </w:tcPr>
          <w:p>
            <w:pPr>
              <w:ind w:left="40"/>
              <w:spacing w:after="0"/>
              <w:rPr>
                <w:sz w:val="20"/>
                <w:szCs w:val="20"/>
                <w:color w:val="auto"/>
              </w:rPr>
            </w:pPr>
            <w:r>
              <w:rPr>
                <w:rFonts w:ascii="Arial" w:cs="Arial" w:eastAsia="Arial" w:hAnsi="Arial"/>
                <w:sz w:val="18"/>
                <w:szCs w:val="18"/>
                <w:color w:val="auto"/>
              </w:rPr>
              <w:t>and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sighting</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rPr>
              <w:t>(subsequently  relocated  operations  to  our</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720" w:type="dxa"/>
            <w:vAlign w:val="bottom"/>
            <w:gridSpan w:val="8"/>
          </w:tcPr>
          <w:p>
            <w:pPr>
              <w:ind w:left="160"/>
              <w:spacing w:after="0"/>
              <w:rPr>
                <w:sz w:val="20"/>
                <w:szCs w:val="20"/>
                <w:color w:val="auto"/>
              </w:rPr>
            </w:pPr>
            <w:r>
              <w:rPr>
                <w:rFonts w:ascii="Arial" w:cs="Arial" w:eastAsia="Arial" w:hAnsi="Arial"/>
                <w:sz w:val="18"/>
                <w:szCs w:val="18"/>
                <w:color w:val="auto"/>
                <w:w w:val="92"/>
              </w:rPr>
              <w:t>products for the consumer market,</w:t>
            </w:r>
          </w:p>
        </w:tc>
        <w:tc>
          <w:tcPr>
            <w:tcW w:w="0" w:type="dxa"/>
            <w:vAlign w:val="bottom"/>
          </w:tcPr>
          <w:p>
            <w:pPr>
              <w:spacing w:after="0"/>
              <w:rPr>
                <w:sz w:val="1"/>
                <w:szCs w:val="1"/>
                <w:color w:val="auto"/>
              </w:rPr>
            </w:pPr>
          </w:p>
        </w:tc>
      </w:tr>
      <w:tr>
        <w:trPr>
          <w:trHeight w:val="216"/>
        </w:trPr>
        <w:tc>
          <w:tcPr>
            <w:tcW w:w="3600" w:type="dxa"/>
            <w:vAlign w:val="bottom"/>
            <w:gridSpan w:val="4"/>
          </w:tcPr>
          <w:p>
            <w:pPr>
              <w:spacing w:after="0"/>
              <w:rPr>
                <w:sz w:val="20"/>
                <w:szCs w:val="20"/>
                <w:color w:val="auto"/>
              </w:rPr>
            </w:pPr>
            <w:r>
              <w:rPr>
                <w:rFonts w:ascii="Arial" w:cs="Arial" w:eastAsia="Arial" w:hAnsi="Arial"/>
                <w:sz w:val="18"/>
                <w:szCs w:val="18"/>
                <w:color w:val="auto"/>
              </w:rPr>
              <w:t>Wilsonville, Oregon facility in fiscal 2019)</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rPr>
              <w:t>including</w:t>
            </w:r>
          </w:p>
        </w:tc>
        <w:tc>
          <w:tcPr>
            <w:tcW w:w="960" w:type="dxa"/>
            <w:vAlign w:val="bottom"/>
            <w:gridSpan w:val="3"/>
          </w:tcPr>
          <w:p>
            <w:pPr>
              <w:ind w:left="60"/>
              <w:spacing w:after="0"/>
              <w:rPr>
                <w:sz w:val="20"/>
                <w:szCs w:val="20"/>
                <w:color w:val="auto"/>
              </w:rPr>
            </w:pPr>
            <w:r>
              <w:rPr>
                <w:rFonts w:ascii="Arial" w:cs="Arial" w:eastAsia="Arial" w:hAnsi="Arial"/>
                <w:sz w:val="18"/>
                <w:szCs w:val="18"/>
                <w:color w:val="auto"/>
              </w:rPr>
              <w:t>LaserLyte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9"/>
              </w:rPr>
              <w:t>branded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w w:val="86"/>
              </w:rPr>
              <w:t>products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gridSpan w:val="2"/>
          </w:tcPr>
          <w:p>
            <w:pPr>
              <w:jc w:val="right"/>
              <w:ind w:right="588"/>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ind w:firstLine="589"/>
        <w:spacing w:after="0" w:line="296" w:lineRule="auto"/>
        <w:rPr>
          <w:sz w:val="20"/>
          <w:szCs w:val="20"/>
          <w:color w:val="auto"/>
        </w:rPr>
      </w:pPr>
      <w:r>
        <w:rPr>
          <w:rFonts w:ascii="Arial" w:cs="Arial" w:eastAsia="Arial" w:hAnsi="Arial"/>
          <w:sz w:val="16"/>
          <w:szCs w:val="16"/>
          <w:color w:val="auto"/>
        </w:rPr>
        <w:t>Outdoor Products &amp; Accessories net sales were $152.4 million, or 22.5%, of total net sales, for the fiscal year ended April 30, 2020; $159.8 million, or 25.0%, of total net sales, for the fiscal year ended April 30, 2019; and $157.9 million, or 26.0%, of total net sales, for the fiscal year ended April 30, 2018. Results reported include net sales related to acquisitions for the period subsequent to their respective acquisition dates. Our Outdoor Products &amp; Accessories gross profit for the fiscal years ended April 30, 2020, 2019, and 2018 totaled $70.5 million, $73.4 million, and $72.5 million, respectively. Total assets for our Outdoor Products &amp; Accessories business totaled $261.0 million and $377.1 million as of April 30, 2020 and 2019,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OP&amp;A - Strategy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Introduce a Continuing Stream of New and Differentiated High-Quality Rugged Outdoor Products that Drive Customer Satisfaction and Loyalty</w:t>
      </w:r>
    </w:p>
    <w:p>
      <w:pPr>
        <w:spacing w:after="0" w:line="14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plan to continue conceiving, designing, producing or sourcing, and marketing in a timely manner a continuing stream of innovative new and differentiated high-quality rugged outdoor products and product extensions that appeal to consumers, achieve market acceptance, and drive customer satisfaction and loyalty to our product groups. Our tradition of innovation and our ongoing research and development, product engineering, product and component sourcing, marketing, and distribution activities are critical components of our ability to continue to offer successful products and bolster our market share in the product categories in which we participate.</w:t>
      </w:r>
    </w:p>
    <w:p>
      <w:pPr>
        <w:spacing w:after="0" w:line="18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believe our track record of understanding consumer desires, introducing flagship products in our core product categories, and then strategically expanding within those categories will enable us to continue to expand our existing product offerings. For example, we expanded the BUBBA brand’s red handled non-slip grip knives to a line of electronic fillet knives that utilized lithium-ion and drive-train technology that we previously developed for our line of rechargeable flashlight and tree saws under our M&amp;P and Hooyman brands, respectively. The American Sportfishing Association awarded this new product as “Best in Category for Cutlery, Hand Pliers or Tools.”</w:t>
      </w:r>
    </w:p>
    <w:p>
      <w:pPr>
        <w:spacing w:after="0" w:line="18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also plan to devote significant time and energy to expand the reach of our brands into targeted new rugged outdoor markets that are aligned with the positioning of our brands. For example, we rebranded our BOG-POD brand to simply BOG in order to expand into new extensive product categories beyond shooting rests only, including hunting blinds, chairs, and game cameras; expanded our BUBBA brand into nets, gaffs, pliers, and gloves; expanded our Frankford Arsenal brand into larger reloading product categories; and expanded our Crimson Trace brand into other large and growing firearm aiming selective categories, including mounted flashlights, sights, and scopes. We also plan to utilize or “cross pollinate” technologies across brands, such as transporting the non-slip grip from our BUBBA fishing products onto the handles of Hooyman’s new line of hand-held land management tools to provide further product differentiation.</w:t>
      </w:r>
    </w:p>
    <w:p>
      <w:pPr>
        <w:spacing w:after="0" w:line="30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Expand Our Addressable Market by Appealing to New and Larger Audiences in New Product Categories Outside the Rugged Outdoor Market</w:t>
      </w:r>
    </w:p>
    <w:p>
      <w:pPr>
        <w:spacing w:after="0" w:line="12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plan to expand the size of our addressable market beyond the shooting, hunting, and rugged outdoor markets and thereby enlarge our customer base and customer relationships through entry into new large product categories outside the rugged outdoor market. For example, we recently expanded our Lockdown branded products from vault accessories used when storing firearms to introducing the Lockdown Puck, which is a compact hockey-puck sized product designed to protect high value or otherwise important items that sends a message to a smart phone or other device when the item or its location is moved or otherwise disturbed from its storage in a closet, cabinet, or drawer. We believe the expansion of our Lockdown brand from its original firearm safety application to applications such as monitoring jewelry compartments and liquor cabinets and controlling the humidity of humidors and wine cellars will enable us to gain an organic entry into the very large home security market. Expanding our addressable market will reduce our dependence on a small group of customers and increase our revenue.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ind w:left="600"/>
        <w:spacing w:after="0"/>
        <w:rPr>
          <w:sz w:val="20"/>
          <w:szCs w:val="20"/>
          <w:color w:val="auto"/>
        </w:rPr>
      </w:pPr>
      <w:r>
        <w:rPr>
          <w:rFonts w:ascii="Arial" w:cs="Arial" w:eastAsia="Arial" w:hAnsi="Arial"/>
          <w:sz w:val="18"/>
          <w:szCs w:val="18"/>
          <w:i w:val="1"/>
          <w:iCs w:val="1"/>
          <w:color w:val="auto"/>
        </w:rPr>
        <w:t>Cultivate and Enhance Direct-to-Consumer Relationships through Our Digital Platforms</w:t>
      </w:r>
    </w:p>
    <w:p>
      <w:pPr>
        <w:spacing w:after="0" w:line="11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plan to cultivate and enhance our direct relationships with consumers by addressing the growing desire of consumers to deal directly with the product and brand source and by recognizing the changing retail landscape and the trend to two-day or next-day delivery. In this regard, we have made significant investments in building both our creative teams and new e-commerce platforms, positioning us to create and distribute our products directly to consumers. Each of our brands will have a dedicated website, and each of our brand lanes has a dedicated creative and e-commerce team that works to support online marketing and delivery methods that foster direct-to-consumer efforts. Because of this targeted approach, our fiscal 2019 direct-to-consumer revenue increased 50% over fiscal 2018. We also expect that our direct-to-consumer efforts will generate pull-through for our products at retail locations for those who prefer a traditional retail approach rather than purchasing directly from our online platform. Our new e-commerce platform and digital systems also provide opportunities to support the launch of entirely new brands and products to meet the needs of our consumers. For example, we leveraged our new e-commerce platform and digital ecosystem to organically enter the new market of meat processing with our MEAT! brand that includes grinders, mixers, vacuum sealers, sausage stuffers, dehydrators, and slicers.</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Expand and Enhance Our Supply Chain</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plan to expand and enhance our supply chain by identifying, qualifying, attracting, and maintaining qualified contract manufacturers and other suppliers of finished products and product components made to our specifications and the raw materials needed for products and product components that meet our efficiency, quality, cost, delivery, and other requirements. Qualifying additional suppliers will reduce our dependence on any one or small group of suppliers and protect us against supplier financial, operational, performance, or capacity issues.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Pursue Acquisitions that Financially and Strategically Complement our Current Business</w:t>
      </w:r>
    </w:p>
    <w:p>
      <w:pPr>
        <w:spacing w:after="0" w:line="11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We intend to continue to complement our organic growth initiatives by pursuing strategic acquisitions that will enable us to expand our product offerings, add new brands, penetrate adjacent and complementary markets, increase our customer base, expand our supply chain, increase our marketing and distribution capabilities, and enhance our operating results through improved acquired company performance, especially when we believe we can improve the performance and profitability of an acquired company through the implementation of our operating methods, strategies, and services. We believe the architecture of our brand lanes and sales organization provide us with a leverageable platform from which to integrate acquisitions quickly, achieve cost savings, provide immediate brand support, and add sales expertise to drive brand penetration within our existing customer base. During the last five fiscal years, we have spent nearly $232.9 million (exclusive of the $133.6 million purchase price for Battenfeld Technologies, Inc., our first acquisition of an outdoor products and accessories business) on acquiring companies and brands to support our growth in the outdoor products and accessories market. In fiscal 2017, we acquired the stock of Crimson Trace Corporation, and the assets of Taylor Brands, LLC, and Ultimate Survival Technologies, Inc., which allowed us to capitalize on established brands to expand into the electro-optics, knife, and survival and camping equipment markets, respectively. We further expanded our knife offerings and entered the large fishing accessories market in fiscal 2018 when we purchased Bubba Blade branded knives, a provider of premium branded sports knives and tools for fishing and hunting. We have now expanded that business into other types of fishing gear and accessories, as well as rebranded it as BUBBA to reflect this expansion beyond knives only. We believe we have succeeded in integrating our acquired companies into our brand lanes and sales structure. Consolidation of these brands into our platform has yielded approximately $12.0 million in annualized cost savings while giving us entry into new, larger rugged outdoor market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OP&amp;A - Product Design and Development</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are a leading provider of outdoor products and accessories used in hunting, fishing, camping, shooting, personal security and defense, and other rugged outdoor activities. To be successful, we must continue to conceive, design, produce or source, and market a continuing stream of innovative new products and product extensions that appeal to consumers and achieve market acceptance and drive customer satisfaction and loyalty to our brands and product groups.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jc w:val="both"/>
        <w:ind w:firstLine="589"/>
        <w:spacing w:after="0" w:line="275" w:lineRule="auto"/>
        <w:rPr>
          <w:sz w:val="20"/>
          <w:szCs w:val="20"/>
          <w:color w:val="auto"/>
        </w:rPr>
      </w:pPr>
      <w:r>
        <w:rPr>
          <w:rFonts w:ascii="Arial" w:cs="Arial" w:eastAsia="Arial" w:hAnsi="Arial"/>
          <w:sz w:val="17"/>
          <w:szCs w:val="17"/>
          <w:color w:val="auto"/>
        </w:rPr>
        <w:t>We believe that we will drive customer satisfaction and loyalty by offering high-quality, innovative products on a timely and cost-effective basis, as well as providing world-class customer service, training, and support. We regard our high-quality, innovative products as the most important aspect of our customer satisfaction and loyalty, but we also offer customer service and support with various programs, such as toll-free customer support numbers, e-mail customer question and answer communications, broad service policies, and product warranties. We have developed unique brand-specific content on our websites to help maximize the consumers’ experience with our products.</w:t>
      </w:r>
    </w:p>
    <w:p>
      <w:pPr>
        <w:spacing w:after="0" w:line="1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noted previously, our products include shooting supplies, rests, vaults, and other related accessories; premium sportsmen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w:t>
      </w:r>
    </w:p>
    <w:p>
      <w:pPr>
        <w:spacing w:after="0" w:line="1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typically launch well over 150 new outdoor products and accessories SKUs each year. We generally strive to bring a new product from concept to market within 6 to 12 months, depending on product complexity and other matters. Since 2011, we have introduced over 1,500 variations of outdoor products and accessories products, including the products introduced by the companies we acquired. Our extensive product portfolio includes highly regarded brands, such as the Caldwell line of shooting supplies, which has marketed and sold shooting accessories for more than 20 years, and Crimson Trace, which has provided laser lighting systems for nearly 25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OP&amp;A - Brands</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organize our OP&amp;A brands in “Brand Lanes,” which are the foundation for our distinctive operations. Our brand-first approach is combined with passionate personnel to deliver authentic experiences to our consumers. Our knowledgeable employees develop a deep understanding of our brands and understand precisely what our customers and consumers desire most in new products. Dedicated management, marketing, creative, e-commerce, and engineering teams assigned to each brand lane allow us to strategically and efficiently approach our development roadmap and marketing efforts. We currently sell our products under 20 distinct brands, organized into four brand lanes aligned with our specific consumer verticals: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Marksman Brands</w:t>
      </w:r>
    </w:p>
    <w:p>
      <w:pPr>
        <w:spacing w:after="0" w:line="117" w:lineRule="exact"/>
        <w:rPr>
          <w:sz w:val="20"/>
          <w:szCs w:val="20"/>
          <w:color w:val="auto"/>
        </w:rPr>
      </w:pPr>
    </w:p>
    <w:p>
      <w:pPr>
        <w:ind w:left="1300" w:hanging="44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Caldwell – shooting range and marksman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Frankford Arsenal – ammunition reloading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Tipton – firearm cleaning and maintenance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Wheeler – gunsmithing tools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Defender Brands</w:t>
      </w:r>
    </w:p>
    <w:p>
      <w:pPr>
        <w:spacing w:after="0" w:line="117" w:lineRule="exact"/>
        <w:rPr>
          <w:sz w:val="20"/>
          <w:szCs w:val="20"/>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Crimson Trace – firearm aiming solutions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Imperial – cutlery and tools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LaserLyte – firearm training systems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Lockdown – security and storage solutions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M&amp;P Accessories – cutlery, flashlights, and various firearm accessories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Center by Smith &amp; Wesson – cutlery, cleaning kits, and various firearm accessories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Smith &amp; Wesson Accessories – knives, flashlights, shooting glasses and cases, cleaning kits, and hearing protection products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600"/>
        <w:spacing w:after="0"/>
        <w:rPr>
          <w:sz w:val="20"/>
          <w:szCs w:val="20"/>
          <w:color w:val="auto"/>
        </w:rPr>
      </w:pPr>
      <w:r>
        <w:rPr>
          <w:rFonts w:ascii="Arial" w:cs="Arial" w:eastAsia="Arial" w:hAnsi="Arial"/>
          <w:sz w:val="18"/>
          <w:szCs w:val="18"/>
          <w:i w:val="1"/>
          <w:iCs w:val="1"/>
          <w:color w:val="auto"/>
        </w:rPr>
        <w:t>Harvester Brands</w:t>
      </w:r>
    </w:p>
    <w:p>
      <w:pPr>
        <w:spacing w:after="0" w:line="117" w:lineRule="exact"/>
        <w:rPr>
          <w:sz w:val="20"/>
          <w:szCs w:val="20"/>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BOG – hunting accessories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Hooyman – land management tools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MEAT! – meat processing equipment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Old Timer – cutlery and tools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Thompson/Center Accessories – firearm scopes, black powder barrels, speed loaders, magazines, and cleaning and maintenance products</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Uncle Henry – hunting knives and tools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Adventurer Brands</w:t>
      </w:r>
    </w:p>
    <w:p>
      <w:pPr>
        <w:spacing w:after="0" w:line="117" w:lineRule="exact"/>
        <w:rPr>
          <w:sz w:val="20"/>
          <w:szCs w:val="20"/>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BUBBA – fishing tools and knives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Schrade – rugged outdoor cutlery and tools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UST – camping and survival products</w:t>
      </w:r>
    </w:p>
    <w:p>
      <w:pPr>
        <w:spacing w:after="0" w:line="22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own all of the above brands and we have established a licensing arrangement between our Firearms and OP&amp;A divisions for those brands and trademarks that are specifically owned by our Firearms division, which include the Smith &amp; Wesson logo, the script “Smith &amp; Wesson,” the “M&amp;P” logo, the script “Thompson/Center Arms,” and the script “Performance Center,” which are well-known and have a reputation for quality, value, and trustworthiness in the accessories industry.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Our Firearm business goes to market in a variety of ways, including two-step distribution, strategic retailers, and buying groups consisting of certain large, regional retailers, utilizing direct sales employees to service these customers. We also sell firearms directly to law enforcement agencies and manufacturing services directly to other businesses. We sell internationally primarily through distributors, which in turn sell to retail stores and government agencies. Those commercial distributors are not regionally exclusive and have many of the same dealer customers. Therefore, we believe that the loss of one or more of these distributors would not materially impact sales as the remaining distributors would be allocated additional sales.</w:t>
      </w:r>
    </w:p>
    <w:p>
      <w:pPr>
        <w:spacing w:after="0" w:line="16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 xml:space="preserve">We market our firearms products to consumers through independent dealers, large retailers, in-store retail channels, direct to consumer, and range operations using focused marketing and promotional campaigns, which include print, broadcast, and digital advertising campaigns; social and electronic media; and in-store retail merchandising strategies. We are prominently featured in vertical print media, including editorial coverage in an extensive list of leading firearms and outdoor magazines, including </w:t>
      </w:r>
      <w:r>
        <w:rPr>
          <w:rFonts w:ascii="Arial" w:cs="Arial" w:eastAsia="Arial" w:hAnsi="Arial"/>
          <w:sz w:val="17"/>
          <w:szCs w:val="17"/>
          <w:i w:val="1"/>
          <w:iCs w:val="1"/>
          <w:color w:val="auto"/>
        </w:rPr>
        <w:t>Guns &amp; Ammo</w:t>
      </w:r>
      <w:r>
        <w:rPr>
          <w:rFonts w:ascii="Arial" w:cs="Arial" w:eastAsia="Arial" w:hAnsi="Arial"/>
          <w:sz w:val="17"/>
          <w:szCs w:val="17"/>
          <w:color w:val="auto"/>
        </w:rPr>
        <w:t xml:space="preserve">, </w:t>
      </w:r>
      <w:r>
        <w:rPr>
          <w:rFonts w:ascii="Arial" w:cs="Arial" w:eastAsia="Arial" w:hAnsi="Arial"/>
          <w:sz w:val="17"/>
          <w:szCs w:val="17"/>
          <w:i w:val="1"/>
          <w:iCs w:val="1"/>
          <w:color w:val="auto"/>
        </w:rPr>
        <w:t>American Rifleman</w:t>
      </w:r>
      <w:r>
        <w:rPr>
          <w:rFonts w:ascii="Arial" w:cs="Arial" w:eastAsia="Arial" w:hAnsi="Arial"/>
          <w:sz w:val="17"/>
          <w:szCs w:val="17"/>
          <w:color w:val="auto"/>
        </w:rPr>
        <w:t xml:space="preserve">, </w:t>
      </w:r>
      <w:r>
        <w:rPr>
          <w:rFonts w:ascii="Arial" w:cs="Arial" w:eastAsia="Arial" w:hAnsi="Arial"/>
          <w:sz w:val="17"/>
          <w:szCs w:val="17"/>
          <w:i w:val="1"/>
          <w:iCs w:val="1"/>
          <w:color w:val="auto"/>
        </w:rPr>
        <w:t>Shooting Times</w:t>
      </w:r>
      <w:r>
        <w:rPr>
          <w:rFonts w:ascii="Arial" w:cs="Arial" w:eastAsia="Arial" w:hAnsi="Arial"/>
          <w:sz w:val="17"/>
          <w:szCs w:val="17"/>
          <w:color w:val="auto"/>
        </w:rPr>
        <w:t xml:space="preserve">, </w:t>
      </w:r>
      <w:r>
        <w:rPr>
          <w:rFonts w:ascii="Arial" w:cs="Arial" w:eastAsia="Arial" w:hAnsi="Arial"/>
          <w:sz w:val="17"/>
          <w:szCs w:val="17"/>
          <w:i w:val="1"/>
          <w:iCs w:val="1"/>
          <w:color w:val="auto"/>
        </w:rPr>
        <w:t>American Handgunner</w:t>
      </w:r>
      <w:r>
        <w:rPr>
          <w:rFonts w:ascii="Arial" w:cs="Arial" w:eastAsia="Arial" w:hAnsi="Arial"/>
          <w:sz w:val="17"/>
          <w:szCs w:val="17"/>
          <w:color w:val="auto"/>
        </w:rPr>
        <w:t xml:space="preserve">, </w:t>
      </w:r>
      <w:r>
        <w:rPr>
          <w:rFonts w:ascii="Arial" w:cs="Arial" w:eastAsia="Arial" w:hAnsi="Arial"/>
          <w:sz w:val="17"/>
          <w:szCs w:val="17"/>
          <w:i w:val="1"/>
          <w:iCs w:val="1"/>
          <w:color w:val="auto"/>
        </w:rPr>
        <w:t>Shooting Illustrated</w:t>
      </w:r>
      <w:r>
        <w:rPr>
          <w:rFonts w:ascii="Arial" w:cs="Arial" w:eastAsia="Arial" w:hAnsi="Arial"/>
          <w:sz w:val="17"/>
          <w:szCs w:val="17"/>
          <w:color w:val="auto"/>
        </w:rPr>
        <w:t xml:space="preserve">, </w:t>
      </w:r>
      <w:r>
        <w:rPr>
          <w:rFonts w:ascii="Arial" w:cs="Arial" w:eastAsia="Arial" w:hAnsi="Arial"/>
          <w:sz w:val="17"/>
          <w:szCs w:val="17"/>
          <w:i w:val="1"/>
          <w:iCs w:val="1"/>
          <w:color w:val="auto"/>
        </w:rPr>
        <w:t>American Hunter</w:t>
      </w:r>
      <w:r>
        <w:rPr>
          <w:rFonts w:ascii="Arial" w:cs="Arial" w:eastAsia="Arial" w:hAnsi="Arial"/>
          <w:sz w:val="17"/>
          <w:szCs w:val="17"/>
          <w:color w:val="auto"/>
        </w:rPr>
        <w:t>,</w:t>
      </w:r>
      <w:r>
        <w:rPr>
          <w:rFonts w:ascii="Arial" w:cs="Arial" w:eastAsia="Arial" w:hAnsi="Arial"/>
          <w:sz w:val="17"/>
          <w:szCs w:val="17"/>
          <w:i w:val="1"/>
          <w:iCs w:val="1"/>
          <w:color w:val="auto"/>
        </w:rPr>
        <w:t xml:space="preserve"> Outdoor Life</w:t>
      </w:r>
      <w:r>
        <w:rPr>
          <w:rFonts w:ascii="Arial" w:cs="Arial" w:eastAsia="Arial" w:hAnsi="Arial"/>
          <w:sz w:val="17"/>
          <w:szCs w:val="17"/>
          <w:color w:val="auto"/>
        </w:rPr>
        <w:t>, and</w:t>
      </w:r>
      <w:r>
        <w:rPr>
          <w:rFonts w:ascii="Arial" w:cs="Arial" w:eastAsia="Arial" w:hAnsi="Arial"/>
          <w:sz w:val="17"/>
          <w:szCs w:val="17"/>
          <w:i w:val="1"/>
          <w:iCs w:val="1"/>
          <w:color w:val="auto"/>
        </w:rPr>
        <w:t xml:space="preserve"> Field &amp; Stream</w:t>
      </w:r>
      <w:r>
        <w:rPr>
          <w:rFonts w:ascii="Arial" w:cs="Arial" w:eastAsia="Arial" w:hAnsi="Arial"/>
          <w:sz w:val="17"/>
          <w:szCs w:val="17"/>
          <w:color w:val="auto"/>
        </w:rPr>
        <w:t>. We also sponsor many outdoor television, internet, and online programs that generate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editorial exposure. We sponsor a number of firearm safety, shooting, and hunting events and organizations.</w:t>
      </w:r>
    </w:p>
    <w:p>
      <w:pPr>
        <w:spacing w:after="0" w:line="17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print various product catalogs that are distributed to our dealers and mailed directly, on a limited basis, to consumers. We also attend various trade shows, such as the Shooting, Hunting, Outdoor Trade (SHOT) Show, the NRA Annual Meeting &amp; Exhibits, the National Association of Sporting Goods Wholesalers Show, the International Association of Chiefs of Police Show, the Association of the United States Army Show, or AUSA Show, the International Weapons Exhibition Show, or IWA Show, in Europe, and various distributor, buying group, and consumer shows.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ind w:firstLine="589"/>
        <w:spacing w:after="0" w:line="269" w:lineRule="auto"/>
        <w:rPr>
          <w:sz w:val="20"/>
          <w:szCs w:val="20"/>
          <w:color w:val="auto"/>
        </w:rPr>
      </w:pPr>
      <w:r>
        <w:rPr>
          <w:rFonts w:ascii="Arial" w:cs="Arial" w:eastAsia="Arial" w:hAnsi="Arial"/>
          <w:sz w:val="17"/>
          <w:szCs w:val="17"/>
          <w:color w:val="auto"/>
        </w:rPr>
        <w:t>In our OP&amp;A business, we deploy a multi-faceted strategy to engage with consumers and to deliver positive consumer experiences. Our marketing approach begins with our team utilizing television, print, and other advertising media to assure that our customers and consumers connect with our brands and to the products we offer. In order to help convert at the point of purchase, increase the likelihood of loyal consumer relationships, and build advocacy with our consumer base, we market our products to consumers using focused campaigns that align with each brand’s core characteristics. In this regard, we utilize what we believe are the most impactful mediums, such as in-store retail merchandising, online merchandising, grassroots events, digital advertising campaigns, influencer marketing, and robust distribution of content across most social media channels, to encourage enthusiasts to continue exploring our brand offerings and ultimately lead to purchases. To further our message, we frequently participate in various earned media across a full spectrum of digital and print publications, which drives authenticity back to our consumer base as they read about the latest information regarding our suite of new products. This multifaceted approach is intertwined with the brand lane structure that we believe differentiates us from our competition and offers a significant advantage in efficiency.</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Digital Marketing</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 xml:space="preserve">In our Firearms division, we utilize our websites, including </w:t>
      </w:r>
      <w:r>
        <w:rPr>
          <w:rFonts w:ascii="Arial" w:cs="Arial" w:eastAsia="Arial" w:hAnsi="Arial"/>
          <w:sz w:val="17"/>
          <w:szCs w:val="17"/>
          <w:i w:val="1"/>
          <w:iCs w:val="1"/>
          <w:color w:val="auto"/>
        </w:rPr>
        <w:t>www.smith-wesson.com</w:t>
      </w:r>
      <w:r>
        <w:rPr>
          <w:rFonts w:ascii="Arial" w:cs="Arial" w:eastAsia="Arial" w:hAnsi="Arial"/>
          <w:sz w:val="17"/>
          <w:szCs w:val="17"/>
          <w:color w:val="auto"/>
        </w:rPr>
        <w:t xml:space="preserve">, </w:t>
      </w:r>
      <w:r>
        <w:rPr>
          <w:rFonts w:ascii="Arial" w:cs="Arial" w:eastAsia="Arial" w:hAnsi="Arial"/>
          <w:sz w:val="17"/>
          <w:szCs w:val="17"/>
          <w:i w:val="1"/>
          <w:iCs w:val="1"/>
          <w:color w:val="auto"/>
        </w:rPr>
        <w:t>www.tcarms.com,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w:t>
      </w:r>
      <w:r>
        <w:rPr>
          <w:rFonts w:ascii="Arial" w:cs="Arial" w:eastAsia="Arial" w:hAnsi="Arial"/>
          <w:sz w:val="17"/>
          <w:szCs w:val="17"/>
          <w:color w:val="auto"/>
        </w:rPr>
        <w:t>g</w:t>
      </w:r>
      <w:r>
        <w:rPr>
          <w:rFonts w:ascii="Arial" w:cs="Arial" w:eastAsia="Arial" w:hAnsi="Arial"/>
          <w:sz w:val="17"/>
          <w:szCs w:val="17"/>
          <w:i w:val="1"/>
          <w:iCs w:val="1"/>
          <w:color w:val="auto"/>
        </w:rPr>
        <w:t>emtech.com,</w:t>
      </w:r>
      <w:r>
        <w:rPr>
          <w:rFonts w:ascii="Arial" w:cs="Arial" w:eastAsia="Arial" w:hAnsi="Arial"/>
          <w:sz w:val="17"/>
          <w:szCs w:val="17"/>
          <w:color w:val="auto"/>
        </w:rPr>
        <w:t xml:space="preserve"> to market our products and services and to provide a wide range of information regarding our company to customers, consumers, dealers, distributors, investors, and government and law enforcement agencies worldwide. Social media platforms such as Facebook, Instagram, YouTube, LinkedIn, and Twitter are effective ways for us to communicate the features and benefits of our products. Our direct to consumer e-mail marketing helps us to further engage our consumers and communicate the value of our brands. We continue to invest in new digital marketing capabilities designed by our e-commerce team to provide best-in-class customer experiences. Utilizing our digital platform, we operate branded e-commerce websites designed to inform, inspire, and prepare our customers for the rugged outdoors. We believe our digital platform supports future sales growth and profitability.</w:t>
      </w:r>
    </w:p>
    <w:p>
      <w:pPr>
        <w:spacing w:after="0" w:line="177" w:lineRule="exact"/>
        <w:rPr>
          <w:sz w:val="20"/>
          <w:szCs w:val="20"/>
          <w:color w:val="auto"/>
        </w:rPr>
      </w:pPr>
    </w:p>
    <w:p>
      <w:pPr>
        <w:jc w:val="both"/>
        <w:ind w:firstLine="589"/>
        <w:spacing w:after="0" w:line="284" w:lineRule="auto"/>
        <w:rPr>
          <w:sz w:val="20"/>
          <w:szCs w:val="20"/>
          <w:color w:val="auto"/>
        </w:rPr>
      </w:pPr>
      <w:r>
        <w:rPr>
          <w:rFonts w:ascii="Arial" w:cs="Arial" w:eastAsia="Arial" w:hAnsi="Arial"/>
          <w:sz w:val="16"/>
          <w:szCs w:val="16"/>
          <w:color w:val="auto"/>
        </w:rPr>
        <w:t xml:space="preserve">In our OP&amp;A division, we believe social media platforms, such as Facebook, Instagram, YouTube, LinkedIn, and Twitter, are effective in enabling us to showcase content, educate our customer base about our products, and generate enthusiasm for our brands. Our direct-to-consumer e-mail marketing helps us to further engage our consumers and communicate the value of our brands. We continue to invest in new digital marketing capabilities designed by our e-commerce and marketing teams to provide favorable customer experiences. Utilizing our digital platform, we operate branded e-commerce websites designed to inform, inspire, and prepare our customers for the rugged outdoors. We believe our digital platform supports our core business and facilitates future sales growth and profitability. We utilize our websites, including </w:t>
      </w:r>
      <w:r>
        <w:rPr>
          <w:rFonts w:ascii="Arial" w:cs="Arial" w:eastAsia="Arial" w:hAnsi="Arial"/>
          <w:sz w:val="16"/>
          <w:szCs w:val="16"/>
          <w:i w:val="1"/>
          <w:iCs w:val="1"/>
          <w:color w:val="auto"/>
        </w:rPr>
        <w:t>www.aob.com</w:t>
      </w:r>
      <w:r>
        <w:rPr>
          <w:rFonts w:ascii="Arial" w:cs="Arial" w:eastAsia="Arial" w:hAnsi="Arial"/>
          <w:sz w:val="16"/>
          <w:szCs w:val="16"/>
          <w:color w:val="auto"/>
        </w:rPr>
        <w:t xml:space="preserve">, </w:t>
      </w:r>
      <w:r>
        <w:rPr>
          <w:rFonts w:ascii="Arial" w:cs="Arial" w:eastAsia="Arial" w:hAnsi="Arial"/>
          <w:sz w:val="16"/>
          <w:szCs w:val="16"/>
          <w:i w:val="1"/>
          <w:iCs w:val="1"/>
          <w:color w:val="auto"/>
        </w:rPr>
        <w:t>www.btibrands.com</w:t>
      </w:r>
      <w:r>
        <w:rPr>
          <w:rFonts w:ascii="Arial" w:cs="Arial" w:eastAsia="Arial" w:hAnsi="Arial"/>
          <w:sz w:val="16"/>
          <w:szCs w:val="16"/>
          <w:color w:val="auto"/>
        </w:rPr>
        <w:t xml:space="preserve">, </w:t>
      </w:r>
      <w:r>
        <w:rPr>
          <w:rFonts w:ascii="Arial" w:cs="Arial" w:eastAsia="Arial" w:hAnsi="Arial"/>
          <w:sz w:val="16"/>
          <w:szCs w:val="16"/>
          <w:i w:val="1"/>
          <w:iCs w:val="1"/>
          <w:color w:val="auto"/>
        </w:rPr>
        <w:t>www.crimsontrace.com</w:t>
      </w:r>
      <w:r>
        <w:rPr>
          <w:rFonts w:ascii="Arial" w:cs="Arial" w:eastAsia="Arial" w:hAnsi="Arial"/>
          <w:sz w:val="16"/>
          <w:szCs w:val="16"/>
          <w:color w:val="auto"/>
        </w:rPr>
        <w:t xml:space="preserve">, </w:t>
      </w:r>
      <w:r>
        <w:rPr>
          <w:rFonts w:ascii="Arial" w:cs="Arial" w:eastAsia="Arial" w:hAnsi="Arial"/>
          <w:sz w:val="16"/>
          <w:szCs w:val="16"/>
          <w:i w:val="1"/>
          <w:iCs w:val="1"/>
          <w:color w:val="auto"/>
        </w:rPr>
        <w:t>www.store.smith-</w:t>
      </w:r>
    </w:p>
    <w:p>
      <w:pPr>
        <w:spacing w:after="0" w:line="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wesson.com</w:t>
      </w:r>
      <w:r>
        <w:rPr>
          <w:rFonts w:ascii="Arial" w:cs="Arial" w:eastAsia="Arial" w:hAnsi="Arial"/>
          <w:sz w:val="16"/>
          <w:szCs w:val="16"/>
          <w:color w:val="auto"/>
        </w:rPr>
        <w:t>,</w:t>
      </w:r>
      <w:r>
        <w:rPr>
          <w:rFonts w:ascii="Arial" w:cs="Arial" w:eastAsia="Arial" w:hAnsi="Arial"/>
          <w:sz w:val="16"/>
          <w:szCs w:val="16"/>
          <w:i w:val="1"/>
          <w:iCs w:val="1"/>
          <w:color w:val="auto"/>
        </w:rPr>
        <w:t xml:space="preserve"> www.lockdown.com</w:t>
      </w:r>
      <w:r>
        <w:rPr>
          <w:rFonts w:ascii="Arial" w:cs="Arial" w:eastAsia="Arial" w:hAnsi="Arial"/>
          <w:sz w:val="16"/>
          <w:szCs w:val="16"/>
          <w:color w:val="auto"/>
        </w:rPr>
        <w:t>,</w:t>
      </w:r>
      <w:r>
        <w:rPr>
          <w:rFonts w:ascii="Arial" w:cs="Arial" w:eastAsia="Arial" w:hAnsi="Arial"/>
          <w:sz w:val="16"/>
          <w:szCs w:val="16"/>
          <w:i w:val="1"/>
          <w:iCs w:val="1"/>
          <w:color w:val="auto"/>
        </w:rPr>
        <w:t xml:space="preserve"> www.caldwellshooting.com</w:t>
      </w:r>
      <w:r>
        <w:rPr>
          <w:rFonts w:ascii="Arial" w:cs="Arial" w:eastAsia="Arial" w:hAnsi="Arial"/>
          <w:sz w:val="16"/>
          <w:szCs w:val="16"/>
          <w:color w:val="auto"/>
        </w:rPr>
        <w:t>,</w:t>
      </w:r>
      <w:r>
        <w:rPr>
          <w:rFonts w:ascii="Arial" w:cs="Arial" w:eastAsia="Arial" w:hAnsi="Arial"/>
          <w:sz w:val="16"/>
          <w:szCs w:val="16"/>
          <w:i w:val="1"/>
          <w:iCs w:val="1"/>
          <w:color w:val="auto"/>
        </w:rPr>
        <w:t xml:space="preserve"> www.frankfordarsenal.com</w:t>
      </w:r>
      <w:r>
        <w:rPr>
          <w:rFonts w:ascii="Arial" w:cs="Arial" w:eastAsia="Arial" w:hAnsi="Arial"/>
          <w:sz w:val="16"/>
          <w:szCs w:val="16"/>
          <w:color w:val="auto"/>
        </w:rPr>
        <w:t>,</w:t>
      </w:r>
      <w:r>
        <w:rPr>
          <w:rFonts w:ascii="Arial" w:cs="Arial" w:eastAsia="Arial" w:hAnsi="Arial"/>
          <w:sz w:val="16"/>
          <w:szCs w:val="16"/>
          <w:i w:val="1"/>
          <w:iCs w:val="1"/>
          <w:color w:val="auto"/>
        </w:rPr>
        <w:t xml:space="preserve"> www.wheelertools.com</w:t>
      </w:r>
      <w:r>
        <w:rPr>
          <w:rFonts w:ascii="Arial" w:cs="Arial" w:eastAsia="Arial" w:hAnsi="Arial"/>
          <w:sz w:val="16"/>
          <w:szCs w:val="16"/>
          <w:color w:val="auto"/>
        </w:rPr>
        <w:t>,</w:t>
      </w:r>
      <w:r>
        <w:rPr>
          <w:rFonts w:ascii="Arial" w:cs="Arial" w:eastAsia="Arial" w:hAnsi="Arial"/>
          <w:sz w:val="16"/>
          <w:szCs w:val="16"/>
          <w:i w:val="1"/>
          <w:iCs w:val="1"/>
          <w:color w:val="auto"/>
        </w:rPr>
        <w:t xml:space="preserve"> www.ustgear.com</w:t>
      </w:r>
      <w:r>
        <w:rPr>
          <w:rFonts w:ascii="Arial" w:cs="Arial" w:eastAsia="Arial" w:hAnsi="Arial"/>
          <w:sz w:val="16"/>
          <w:szCs w:val="16"/>
          <w:color w:val="auto"/>
        </w:rPr>
        <w:t>,</w:t>
      </w:r>
      <w:r>
        <w:rPr>
          <w:rFonts w:ascii="Arial" w:cs="Arial" w:eastAsia="Arial" w:hAnsi="Arial"/>
          <w:sz w:val="16"/>
          <w:szCs w:val="16"/>
          <w:i w:val="1"/>
          <w:iCs w:val="1"/>
          <w:color w:val="auto"/>
        </w:rPr>
        <w:t xml:space="preserve"> www.bubbablade.com</w:t>
      </w:r>
      <w:r>
        <w:rPr>
          <w:rFonts w:ascii="Arial" w:cs="Arial" w:eastAsia="Arial" w:hAnsi="Arial"/>
          <w:sz w:val="16"/>
          <w:szCs w:val="16"/>
          <w:color w:val="auto"/>
        </w:rPr>
        <w:t>,</w:t>
      </w:r>
      <w:r>
        <w:rPr>
          <w:rFonts w:ascii="Arial" w:cs="Arial" w:eastAsia="Arial" w:hAnsi="Arial"/>
          <w:sz w:val="16"/>
          <w:szCs w:val="16"/>
          <w:i w:val="1"/>
          <w:iCs w:val="1"/>
          <w:color w:val="auto"/>
        </w:rPr>
        <w:t xml:space="preserve"> www.boghunt.com</w:t>
      </w:r>
      <w:r>
        <w:rPr>
          <w:rFonts w:ascii="Arial" w:cs="Arial" w:eastAsia="Arial" w:hAnsi="Arial"/>
          <w:sz w:val="16"/>
          <w:szCs w:val="16"/>
          <w:color w:val="auto"/>
        </w:rPr>
        <w:t>,</w:t>
      </w:r>
      <w:r>
        <w:rPr>
          <w:rFonts w:ascii="Arial" w:cs="Arial" w:eastAsia="Arial" w:hAnsi="Arial"/>
          <w:sz w:val="16"/>
          <w:szCs w:val="16"/>
          <w:i w:val="1"/>
          <w:iCs w:val="1"/>
          <w:color w:val="auto"/>
        </w:rPr>
        <w:t xml:space="preserve"> www.hooyman.com</w:t>
      </w:r>
      <w:r>
        <w:rPr>
          <w:rFonts w:ascii="Arial" w:cs="Arial" w:eastAsia="Arial" w:hAnsi="Arial"/>
          <w:sz w:val="16"/>
          <w:szCs w:val="16"/>
          <w:color w:val="auto"/>
        </w:rPr>
        <w:t>,</w:t>
      </w:r>
      <w:r>
        <w:rPr>
          <w:rFonts w:ascii="Arial" w:cs="Arial" w:eastAsia="Arial" w:hAnsi="Arial"/>
          <w:sz w:val="16"/>
          <w:szCs w:val="16"/>
          <w:i w:val="1"/>
          <w:iCs w:val="1"/>
          <w:color w:val="auto"/>
        </w:rPr>
        <w:t xml:space="preserve"> www.accessories.tcarms.com</w:t>
      </w:r>
      <w:r>
        <w:rPr>
          <w:rFonts w:ascii="Arial" w:cs="Arial" w:eastAsia="Arial" w:hAnsi="Arial"/>
          <w:sz w:val="16"/>
          <w:szCs w:val="16"/>
          <w:color w:val="auto"/>
        </w:rPr>
        <w:t>, and</w:t>
      </w:r>
      <w:r>
        <w:rPr>
          <w:rFonts w:ascii="Arial" w:cs="Arial" w:eastAsia="Arial" w:hAnsi="Arial"/>
          <w:sz w:val="16"/>
          <w:szCs w:val="16"/>
          <w:i w:val="1"/>
          <w:iCs w:val="1"/>
          <w:color w:val="auto"/>
        </w:rPr>
        <w:t xml:space="preserve"> www.madewithmeat.com</w:t>
      </w:r>
      <w:r>
        <w:rPr>
          <w:rFonts w:ascii="Arial" w:cs="Arial" w:eastAsia="Arial" w:hAnsi="Arial"/>
          <w:sz w:val="16"/>
          <w:szCs w:val="16"/>
          <w:color w:val="auto"/>
        </w:rPr>
        <w:t>, to market our products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wide range of information regarding our company to customers, consumers, dealers, distributors, investors, and government agencies.</w:t>
      </w:r>
    </w:p>
    <w:p>
      <w:pPr>
        <w:spacing w:after="0" w:line="26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Service and Support</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our Firearms division, we utilize a variety of methods for supporting our consumers and dealers. We have a toll-free customer service number, e-mail, and social media messaging to answer questions and resolve issues regarding our firearm products. In addition, we offer a limited one-year warranty program and a lifetime service policy under which we repair defects in material or workmanship in our firearm products without charge for as long as the original purchaser owns the firearm. We also maintain a number of authorized warranty centers throughout the world and provide both warranty and charge repair services at our facilities.</w:t>
      </w:r>
    </w:p>
    <w:p>
      <w:pPr>
        <w:spacing w:after="0" w:line="188"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our OP&amp;A division, in order to provide consumers with positive experiences involving our products, we maintain a dedicated team of trained customer support representatives who seek to successfully address customer questions or issues that may arise across our product offerings. We utilize a toll-free customer service number to answer questions and resolve issues. We stand behind the quality of our products by offering a variety of warranties, ranging from limited one-year, three-year, limited-lifetime, or full-lifetime warranties, depending on the product. We also will repair or replace with an item of equivalent value, at our option, certain products or parts that are found to be defective under normal use and service, without charge during the warranty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left="600"/>
        <w:spacing w:after="0"/>
        <w:rPr>
          <w:sz w:val="20"/>
          <w:szCs w:val="20"/>
          <w:color w:val="auto"/>
        </w:rPr>
      </w:pPr>
      <w:r>
        <w:rPr>
          <w:rFonts w:ascii="Arial" w:cs="Arial" w:eastAsia="Arial" w:hAnsi="Arial"/>
          <w:sz w:val="18"/>
          <w:szCs w:val="18"/>
          <w:i w:val="1"/>
          <w:iCs w:val="1"/>
          <w:color w:val="auto"/>
        </w:rPr>
        <w:t>Total Company Marketing Metrics</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Our top five commercial distributors in the United States accounted for a total of 32.6% and 30.3%, of our consolidated net sales for the fiscal years ended April 30, 2020 and 2019, respectively.</w:t>
      </w:r>
    </w:p>
    <w:p>
      <w:pPr>
        <w:spacing w:after="0" w:line="170"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We sell our products worldwide. International sales accounted for 4%, 5%, and 5% of our net sales for the fiscal years ended April 30, 2020, 2019, and 2018, respectively. Our businesses own tooling that is located at various suppliers in Asia and North America.</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fiscal years ended April 30, 2020, 2019, and 2018, marketing, advertising, and promotion expenses were $28.1 million, $24.3 million, and $25.8 million, respectively, excluding the cost of rebates and promotions reflected in gross profit.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2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In our Firearms division, we manufacture most of the components for our firearms, but purchase certain components and parts, including bolt carriers, rifle receivers, magazines, small parts, and rifle stocks, from third parties. We also purchase ammunition for product testing. Most of our major suppliers for our firearm products are U.S.-based and provide materials, components, and parts, such as steel, polymer components, and metal-injected-molded components. The costs of these materials, components, and parts are at competitive rates. We have become less dependent on any particular supplier by strategically sourcing parts and raw material from multiple suppliers based on quality, cost, and risk. Whenever appropriate, critical parts and components have primary and secondary sources of supply. We are also able to leverage our supply base to supplement our internal capacity and provide flexibility in our response to changes in market conditions. We use numerous raw materials, such as steel, wood, lead, brass, and plastics, in producing and testing our products. We have alternative sources for these raw materials.</w:t>
      </w:r>
    </w:p>
    <w:p>
      <w:pPr>
        <w:spacing w:after="0" w:line="17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In our OP&amp;A division, we generally utilize third-party contract manufacturers and suppliers for our finished products and product components, except for laser aiming and tactical lighting systems that we assemble at our Wilsonville, Oregon facility. Third-party contract manufacturers and suppliers provide finished products and product components to us in accordance with our product and component specifications. Third parties also supply us and our contract manufacturers with the raw materials used in our products and product components, including steel, plastic, aluminum, copper, lead, and packaging materials. Most of our third-party contract manufacturers and suppliers are in Asia, primarily China, and, to a lesser extent, Taiwan and Japan. We perform some very minor assembly of products at our Columbia, Missouri facility. For certain products and components, we utilize a dual sourcing supply chain to mitigate risks associated with sourcing key components from only one supplier. We do not have long-term contractual arrangements with any of our suppliers that guarantee us production capacity, prices, lead times, or delivery schedules. Our reliance on these independent parties exposes us to vulnerability because of our dependence on a few sources of supply. We believe, however, that other sources of supply are available. In addition, we continually strive to develop relationships with other sources of supply in order to reduce our dependence on any one source of supply. As a result, we believe that our current and other available suppliers will ensure that we obtain a sufficient supply of goods built to our specifications in a timely manner and on satisfactory economic terms.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have three manufacturing facilities at which we produce our firearm products: a 575,000 square-foot facility located in Springfield, Massachusetts; a 38,000 square-foot facility located in Houlton, Maine; and a 150,000 square-foot facility located in Deep River, Connecticut. We conduct our handgun and long gun manufacturing and some of our manufacturing service activities at our Springfield facility. Our Houlton facility is a machining center only with no assembly, finishing, or small parts operations. We also produce handcuffs and other restraint devices at our Houlton facility. We use our Deep River facility for custom plastic injection molding services, rapid prototyping, and tooling. All of these facilities are ISO 9001 certified.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firstLine="589"/>
        <w:spacing w:after="0" w:line="293" w:lineRule="auto"/>
        <w:rPr>
          <w:sz w:val="20"/>
          <w:szCs w:val="20"/>
          <w:color w:val="auto"/>
        </w:rPr>
      </w:pPr>
      <w:r>
        <w:rPr>
          <w:rFonts w:ascii="Arial" w:cs="Arial" w:eastAsia="Arial" w:hAnsi="Arial"/>
          <w:sz w:val="16"/>
          <w:szCs w:val="16"/>
          <w:color w:val="auto"/>
        </w:rPr>
        <w:t>We perform in our own facilities most of the machining and all of the assembly, inspection, and testing of the firearms that we sell. We produce our major firearm components utilizing computer-assisted machines. Our skilled employees use sophisticated automated testing equipment to ensure the proper functioning of our firearms. Every firearm is test fired before shipment. Our Springfield and Houlton facilities are currently operating on two shift patterns; a four shift, 168 hour per week schedule and a three shift, 120 hour per week schedule. We seek to minimize inventory costs through an integrated planning and production system. All facilities in our Firearms division operate under SAP, a fully integrated ERP system. We intend to continue investing in improving our facilities and our systems in order to increase efficiency, improve information reporting, and strengthen internal controls</w:t>
      </w:r>
    </w:p>
    <w:p>
      <w:pPr>
        <w:spacing w:after="0" w:line="16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Columbia, Missouri we lease a 633,000 square foot facility, which was constructed for us, completed in November 2018, and then sold and leased back by us. This facility serves as the warehouse and distribution facility for our Firearms division and as principal executive, administrative, financial, sales, marketing, R&amp;D, assembly, and distribution operations for our OP&amp;A division. We also lease a 50,000 square foot facility in Wilsonville, Oregon, which houses production, assembly, and warehousing operations for our laser sighting and tactical lighting systems operations in our OP&amp;A division.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Through our advanced products engineering departments, we enhance existing products and develop new products for all our businesses. Through our research and development personnel, we conceive, design, and develop potential products that we believe will be attractive to our customers and help address the needs, wants, and desires of our target consumer base. In so doing, we must seek to anticipate and respond to trends and shifts in consumer preferences by continually adjusting our product mix with innovative features and designs and marketing them in an effective manner. Prior to introducing any product, we assess its cost of production and delivery, estimate its potential sales volume and margin, and conduct vigorous prototype and production-quality sample testing. In fiscal 2020, 2019, and 2018, our gross spending on research activities relating to the development of new products was $12.4 million, $12.9 million, and $11.4 million, respectively. As of April 30, 2020, we had 66 employees at our various facilities engaged in ongoing research and development activities for all of our brands.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Copyrights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recognize the importance of innovation and protecting our intellectual property. Accordingly, we own numerous patents related to our products. We apply for patents whenever we develop innovative new products, unique designs, or processes of commercial importance. We do not believe that our business is materially dependent on any single patent.</w:t>
      </w:r>
    </w:p>
    <w:p>
      <w:pPr>
        <w:spacing w:after="0" w:line="1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Because of the significance of our brand names, our trademarks, service marks, trade dress, and copyrights are also important to our business. We have an active global program of trademark registration, monitoring, and enforcement. We believe that our Smith &amp; Wesson, M&amp;P, Performance Center, Thompson/Center Arms, and Gemtech brands and our S&amp;W monogram trademarks are known and recognized by the public worldwide and are important to our firearm business. In addition, we market our outdoor products and accessories under the 20 brand names listed above. We also sell outdoor products and accessories utilizing our firearm brands.</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intend to vigorously pursue and challenge infringements of our patents, trademarks, service marks, trade dress, and copyrights, as we believe the goodwill associated with them is a cornerstone of our branding strategy.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encounter competition in the firearms industry from both domestic and foreign manufacturers. Although some competitors manufacture a wide variety of firearms as we do, most of our competitors manufacture only certain types of firearms. We are one of the largest manufacturers of handguns, modern sporting rifles, and handcuffs in the United States and an active participant in the hunting rifle market. We compete primarily based upon innovation, quality, reliability, durability, price, performance, consumer brand awareness, and customer service and support. Our customer service organization is proactive in offering timely responses to customer inquiries. We believe we can effectively compete with all our present competitors. Our primary competitors in our Firearm division are Ruger and Taurus in the revolver market and Glock, Ruger, Sig Sauer, Springfield Armory, and Taurus in the pistol market. We compete primarily with Sig Sauer, Ruger, Remington, Savage, and Daniel Defense in the modern sporting rifle market and Browning, Remington, Ruger, Savage, CVA, and Traditions in the hunting rifle market.</w:t>
      </w:r>
    </w:p>
    <w:p>
      <w:pPr>
        <w:spacing w:after="0" w:line="178"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Our OP&amp;A division operates in a highly competitive market and encounters competition from both domestic and foreign participants. We compete primarily based upon innovation, performance, price, quality, reliability, durability, consumer brand awareness, and customer service and support. Our competitors include Vista Outdoor and a large number of small private companies that directly compete with a limited number of our brands. Certain of our competitors may have more established brand names and stronger distribution channels than we do, and have, or have through their owners, access to financial and marketing resources that are substantially greater than we possess, that may allow them to invest more heavily in product development, intellectual property, and marketing.</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addition, our products compete with many other sporting and recreational products and activities for the discretionary spending of consumers.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sell our firearm products through a variety of federally licensed distribution channels. Depending upon the product or service, our firearm customers include distributors; federal, state, and municipal law enforcement agencies and officers; government and military agencies; retailers; and consumers. Our outdoor products and accessories customers consist primarily of online retailers, sports specialty stores, sporting goods stores, dealers and distributors, mass market, home and auto retailers, and consumers through our own e-commerce platform, including our websites. The ultimate users of our products consist of outdoor enthusiasts, fisherman, campers, hikers, and other sportsmen.</w:t>
      </w:r>
    </w:p>
    <w:p>
      <w:pPr>
        <w:spacing w:after="0" w:line="176"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We grant payment terms to most commercial customers ranging from 20 to 90 days. However, in some instances, we provide longer payment terms, particularly as it relates to our hunting dating programs, which provides payment terms due in the fall for certain orders of hunting products received in the spring and summer.</w:t>
      </w:r>
    </w:p>
    <w:p>
      <w:pPr>
        <w:spacing w:after="0" w:line="184"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During fiscal 2020, firearm sales into our professional channel accounted for approximately 8.0% of our firearm revenue, which included state and local law enforcement agencies, the federal government, and international customers. The remaining 92.0% of our firearm revenue was through federal firearm licensees to domestic consumers. Revenue for our OP&amp;A division during fiscal 2020 was approximately 4.3% to international customers and 95.7% to domestic customers. Our domestic net sales are made to e-commerce retailers, strategic retailers, dealers, and distributors that sell to licensed dealers that in turn sell to the end users. In some cases, we sell directly to large retailers and dealers.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firearm business is seasonal with revenue generally peaking in our fourth fiscal quarter, which ends April 30, as a result of most industry events and distributor shows normally scheduled during the early spring months. In addition, because of our operating schedule, which includes a summer and a winter shutdown of our firearm manufacturing facilities, we have an increased number of operating days in our fourth fiscal quarter, which allows our shipping and production volumes to exceed other quarters. Seasonality, however, can be disrupted by external events that may drive sales or impact channel inventories, which may slow or accelerate our sales.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589"/>
        <w:spacing w:after="0" w:line="259" w:lineRule="auto"/>
        <w:rPr>
          <w:sz w:val="20"/>
          <w:szCs w:val="20"/>
          <w:color w:val="auto"/>
        </w:rPr>
      </w:pPr>
      <w:r>
        <w:rPr>
          <w:rFonts w:ascii="Arial" w:cs="Arial" w:eastAsia="Arial" w:hAnsi="Arial"/>
          <w:sz w:val="18"/>
          <w:szCs w:val="18"/>
          <w:color w:val="auto"/>
        </w:rPr>
        <w:t>Our outdoor products and accessories business is also seasonal, especially because many of its products are used in outdoor-based activities. Our sales of outdoor products and accessories are typically the highest between August and October because of demand relating to prime hunting season, seasonal cutlery promotions, the timing of industry trade shows, and holiday season demand. The sales of outdoor products and accessories may also be affected by unseasonal weather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firearm and suppressor business is primarily regulated by the ATF, which licenses the manufacture, sale, and import of firearms and suppressors in the United States. The ATF conducts periodic audits of our facilities that hold Federal Firearms Licenses. The U.S. Department of State currently oversees the export of articles, services, and related technical data that are designated as defense articles or defense services on the U.S. Munitions List, as set forth in the International Traffic in Arms Regulations, or ITAR, under the Arms Export Control Act, or AECA. We are required to obtain an export license for all international shipments of items controlled under ITAR and AECA.</w:t>
      </w:r>
    </w:p>
    <w:p>
      <w:pPr>
        <w:spacing w:after="0" w:line="188"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There are also various state laws, regulations, and local ordinances relating to firearm characteristics, features, and sales, as well as firearm magazine capacities. Local firearm dealers must comply with state and local laws, regulations, and ordinances pertaining to firearm, suppressor, and magazine sales within their jurisdictions. We manufacture several firearm models and magazines in various capacities that comply with those laws, regulations, and ordinances for sales in those states and localities. In Massachusetts, for example, there are regulations related to the weight of the trigger pull, barrel length, material strength, and independent testing of handguns. California, Connecticut, Maryland, New Jersey, and New York, as well as other states, the District of Columbia, and other localities, have similar laws, ordinances, and restrictions. In addition, California and the District of Columbia require new pistols to contain a microstamping mechanism, which must be able to etch or imprint, in two locations, a microstamp array of characters that identify the make, model, and serial number of the pistols onto each cartridge case when the pistol is fired. No commercially produced firearm has utilized the microstamping process, which is considered by most to be unfeasible, and we have no plans to utilize any microstamping feature in our firearms. Therefore, we will not sell into California or the District of Columbia any pistol that is subject to the microstamping feature requirement.</w:t>
      </w:r>
    </w:p>
    <w:p>
      <w:pPr>
        <w:spacing w:after="0" w:line="168"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Warnings and instructions concerning the safe operation of our firearms and suppressors are contained in Safety &amp; Instruction Manuals included in all boxes in which firearms and suppressors are shipped and are also available for download from our Smith &amp; Wesson, Thompson/Center Arms, and Gemtech websites.</w:t>
      </w:r>
    </w:p>
    <w:p>
      <w:pPr>
        <w:spacing w:after="0" w:line="184"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Like other manufacturers and distributors of consumer products, the products we sell in our OP&amp;A division are required to comply with a wide variety of federal, state, and international laws, rules, and regulations, including those related to consumer products and consumer protection, advertising and marketing, labor and employment, data protection and privacy, intellectual property, workplace health and safety, the environment, the import and export of products, and tax matters. Our failure to comply with applicable federal, state, and international laws, rules, and regulations may result in our being subject to claims, lawsuits, fines, and adverse publicity that could have a material adverse effect on our business, operating results, and financial condition. These laws, rules, and regulations currently impose significant compliance requirements on our business, and more restrictive laws, rules, and regulations may be adopted in the future. In addition to the foregoing, the U.S. Food and Drug Administration, or FDA, regulates certain of our electro-optics products and meat processing equipment.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are subject to numerous federal, state, and local laws and regulations that regulate the health and safety of our workforce, including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ind w:firstLine="589"/>
        <w:spacing w:after="0" w:line="296" w:lineRule="auto"/>
        <w:rPr>
          <w:sz w:val="20"/>
          <w:szCs w:val="20"/>
          <w:color w:val="auto"/>
        </w:rPr>
      </w:pPr>
      <w:r>
        <w:rPr>
          <w:rFonts w:ascii="Arial" w:cs="Arial" w:eastAsia="Arial" w:hAnsi="Arial"/>
          <w:sz w:val="16"/>
          <w:szCs w:val="16"/>
          <w:color w:val="auto"/>
        </w:rPr>
        <w:t>We are also subject to numerous federal, state, and local environmental laws and regulations concerning, among other things, emissions to the air, discharges to land, surface, subsurface strata and water and the generation, handling, storage, transportation, treatment, and disposal of hazardous waste and other materials. These laws require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 or RCRA.</w:t>
      </w:r>
    </w:p>
    <w:p>
      <w:pPr>
        <w:spacing w:after="0" w:line="16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6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our efforts to satisfy our environmental responsibilities and to comply with environmental laws and regulations, we have established, and periodically update, policies relating to the environmental standards of performance for our operations. We have in place programs that monitor compliance with various federal, state, and local environmental regulations. However, in the normal course of our manufacturing operations, we are subject to governmental proceedings and orders pertaining to waste disposal, air emissions, and water discharges from our operations into the environment. We regularly incur substantial capital and operating costs to comply with environmental laws, including remediation of known environmental conditions which we fund through cash flows from operations. We spent $1.2 million in fiscal 2020 on environmental compliance, consisting of $918,000 for disposal fees and containers, $237,000 for remediation, and $60,000 for DEP analysis and fees.</w:t>
      </w:r>
    </w:p>
    <w:p>
      <w:pPr>
        <w:spacing w:after="0" w:line="17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the normal course of our business, we may become involved in various proceedings relating to environmental health and safety matters, and we are currently engaged in an environmental investigation and remediation. Our manufacturing facilities are located on properties with a long history of industrial use, including the use of hazardous substances. We have identified soil and groundwater contamination at our Springfield, Massachusetts plant that we are investigating, monitoring, or remediating, as appropriate. Based on the situation, an environmental reserve may be recorded based upon currently enacted laws and regulations, currently available facts, experience in remediation efforts, existing technology, and the ability of other potentially responsible parties or contractually liable parties to pay the allocated portions of any environmental obligations. As of April 30, 2020, we do not have an open environmental reverse recorded in our consolidated balance sheet.</w:t>
      </w:r>
    </w:p>
    <w:p>
      <w:pPr>
        <w:spacing w:after="0" w:line="17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of the cost of resolution of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There can be no assurance that additional or changing environmental regulation will not become more burdensome in the future and that any such development would not have a material adverse effect on our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As of May 31, 2020, we had 1,970 employees, including 6 part-time employees. None of our employees are represented by a union in collective bargaining with us. Of our employees, 24% have 10 or more years of service with our company and 6% have greater than 25 years of service with our company. We believe that our employee relations are good and that the high quality of our employee base is instrumental to our success.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As of April 30, 2020 and 2019, we had a backlog of orders in our Firearms segment totaling $95.7 million and $39.2 million, respectively. The increase in firearms order backlog from the prior fiscal year was primarily because of the increased demand for firearms as a result of the COVID-19 pandemic. In our OP&amp;A segment, we had a backlog of orders totaling $1.8 million and $12.7 million as of April 30, 2020 and 2019, respectively. Our backlog consists of orders for which purchase orders have been received and which are generally scheduled for shipment within six months and subject to capacity constraints, including lack of available product. We allow orders received that have not yet shipped to be cancelled; therefore, our backlog may not be indicative of future sales.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certain information regarding our executive officers: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3"/>
          </w:tcPr>
          <w:p>
            <w:pPr>
              <w:ind w:left="160"/>
              <w:spacing w:after="0"/>
              <w:rPr>
                <w:sz w:val="20"/>
                <w:szCs w:val="20"/>
                <w:color w:val="auto"/>
              </w:rPr>
            </w:pPr>
            <w:r>
              <w:rPr>
                <w:rFonts w:ascii="Arial" w:cs="Arial" w:eastAsia="Arial" w:hAnsi="Arial"/>
                <w:sz w:val="14"/>
                <w:szCs w:val="14"/>
                <w:b w:val="1"/>
                <w:bCs w:val="1"/>
                <w:color w:val="auto"/>
              </w:rPr>
              <w:t>Age</w:t>
            </w:r>
          </w:p>
        </w:tc>
        <w:tc>
          <w:tcPr>
            <w:tcW w:w="74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60" w:type="dxa"/>
            <w:vAlign w:val="bottom"/>
            <w:shd w:val="clear" w:color="auto" w:fill="000000"/>
          </w:tcPr>
          <w:p>
            <w:pPr>
              <w:spacing w:after="0" w:line="20" w:lineRule="exact"/>
              <w:rPr>
                <w:sz w:val="1"/>
                <w:szCs w:val="1"/>
                <w:color w:val="auto"/>
              </w:rPr>
            </w:pPr>
          </w:p>
        </w:tc>
      </w:tr>
      <w:tr>
        <w:trPr>
          <w:trHeight w:val="298"/>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 P. Smith</w:t>
            </w:r>
          </w:p>
        </w:tc>
        <w:tc>
          <w:tcPr>
            <w:tcW w:w="68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FF0FC"/>
            </w:tcBorders>
            <w:shd w:val="clear" w:color="auto" w:fill="CFF0FC"/>
          </w:tcPr>
          <w:p>
            <w:pPr>
              <w:spacing w:after="0"/>
              <w:rPr>
                <w:sz w:val="24"/>
                <w:szCs w:val="24"/>
                <w:color w:val="auto"/>
              </w:rPr>
            </w:pPr>
          </w:p>
        </w:tc>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Co-President and Co-Chief Executive Officer</w:t>
            </w:r>
          </w:p>
        </w:tc>
      </w:tr>
      <w:tr>
        <w:trPr>
          <w:trHeight w:val="257"/>
        </w:trPr>
        <w:tc>
          <w:tcPr>
            <w:tcW w:w="2940" w:type="dxa"/>
            <w:vAlign w:val="bottom"/>
          </w:tcPr>
          <w:p>
            <w:pPr>
              <w:spacing w:after="0"/>
              <w:rPr>
                <w:sz w:val="20"/>
                <w:szCs w:val="20"/>
                <w:color w:val="auto"/>
              </w:rPr>
            </w:pPr>
            <w:r>
              <w:rPr>
                <w:rFonts w:ascii="Arial" w:cs="Arial" w:eastAsia="Arial" w:hAnsi="Arial"/>
                <w:sz w:val="18"/>
                <w:szCs w:val="18"/>
                <w:color w:val="auto"/>
              </w:rPr>
              <w:t>Brian D. Murphy</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2"/>
                <w:szCs w:val="22"/>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Co-President and Co-Chief Executive Officer</w:t>
            </w:r>
          </w:p>
        </w:tc>
      </w:tr>
      <w:tr>
        <w:trPr>
          <w:trHeight w:val="54"/>
        </w:trPr>
        <w:tc>
          <w:tcPr>
            <w:tcW w:w="2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60" w:type="dxa"/>
            <w:vAlign w:val="bottom"/>
          </w:tcPr>
          <w:p>
            <w:pPr>
              <w:spacing w:after="0"/>
              <w:rPr>
                <w:sz w:val="4"/>
                <w:szCs w:val="4"/>
                <w:color w:val="auto"/>
              </w:rPr>
            </w:pPr>
          </w:p>
        </w:tc>
      </w:tr>
      <w:tr>
        <w:trPr>
          <w:trHeight w:val="311"/>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Jeffrey D. Buchanan</w:t>
            </w:r>
          </w:p>
        </w:tc>
        <w:tc>
          <w:tcPr>
            <w:tcW w:w="6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24"/>
                <w:szCs w:val="24"/>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Chief Financial Officer, Chief Administrative Officer, and Treasurer</w:t>
            </w:r>
          </w:p>
        </w:tc>
      </w:tr>
      <w:tr>
        <w:trPr>
          <w:trHeight w:val="108"/>
        </w:trPr>
        <w:tc>
          <w:tcPr>
            <w:tcW w:w="29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460" w:type="dxa"/>
            <w:vAlign w:val="bottom"/>
            <w:shd w:val="clear" w:color="auto" w:fill="CFF0FC"/>
          </w:tcPr>
          <w:p>
            <w:pPr>
              <w:spacing w:after="0"/>
              <w:rPr>
                <w:sz w:val="9"/>
                <w:szCs w:val="9"/>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8"/>
                <w:szCs w:val="18"/>
                <w:color w:val="auto"/>
              </w:rPr>
              <w:t>Robert J. Cicero</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Senior Vice President, General Counsel, Chief Compliance Officer, and Secretary</w:t>
            </w:r>
          </w:p>
        </w:tc>
      </w:tr>
      <w:tr>
        <w:trPr>
          <w:trHeight w:val="94"/>
        </w:trPr>
        <w:tc>
          <w:tcPr>
            <w:tcW w:w="2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60" w:type="dxa"/>
            <w:vAlign w:val="bottom"/>
          </w:tcPr>
          <w:p>
            <w:pPr>
              <w:spacing w:after="0"/>
              <w:rPr>
                <w:sz w:val="8"/>
                <w:szCs w:val="8"/>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Lane A. Tobiassen</w:t>
            </w:r>
          </w:p>
        </w:tc>
        <w:tc>
          <w:tcPr>
            <w:tcW w:w="6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20"/>
                <w:szCs w:val="20"/>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President, Firearms</w:t>
            </w:r>
          </w:p>
        </w:tc>
      </w:tr>
      <w:tr>
        <w:trPr>
          <w:trHeight w:val="26"/>
        </w:trPr>
        <w:tc>
          <w:tcPr>
            <w:tcW w:w="29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460" w:type="dxa"/>
            <w:vAlign w:val="bottom"/>
            <w:shd w:val="clear" w:color="auto" w:fill="CFF0FC"/>
          </w:tcPr>
          <w:p>
            <w:pPr>
              <w:spacing w:after="0"/>
              <w:rPr>
                <w:sz w:val="2"/>
                <w:szCs w:val="2"/>
                <w:color w:val="auto"/>
              </w:rPr>
            </w:pPr>
          </w:p>
        </w:tc>
      </w:tr>
    </w:tbl>
    <w:p>
      <w:pPr>
        <w:spacing w:after="0" w:line="24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Mark P. Smith has served as Co-President and Co-Chief Executive Officer since January 2020. Mr. Smith served as President, Manufacturing Services of our company and as President of Manufacturing Services for Smith &amp; Wesson Corp., a subsidiary of our company, since March 2016. Mr. Smith served as Vice President of Manufacturing and Supply Chain Management from May 2011 until March 2016 and served as Vice President of Supply Chain Management from May 2010 until May 2011. He was Director Supply Chain Solutions for Alvarez &amp; Marsal Business Consulting, LLC from April 2007 until April 2010. Mr. Smith held various positions for Ecolab, Inc., a developer and marketer of programs, products, and services for the hospitality, foodservice, healthcare, industrial, and energy markets, from March 2001 until April 2007, including Program Manager, Acquisition Integration Manager, Senior Manufacturing Planner, Plant Engineer, and Senior Production / Quality Supervisor. Mr. Smith was a Production Supervisor for Bell Aromatics, a manufacturer of flavors and fragrances, from August 1999 until March 2001.</w:t>
      </w:r>
    </w:p>
    <w:p>
      <w:pPr>
        <w:spacing w:after="0" w:line="205"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i w:val="1"/>
          <w:iCs w:val="1"/>
          <w:color w:val="auto"/>
        </w:rPr>
        <w:t xml:space="preserve">Brian D. Murphy </w:t>
      </w:r>
      <w:r>
        <w:rPr>
          <w:rFonts w:ascii="Arial" w:cs="Arial" w:eastAsia="Arial" w:hAnsi="Arial"/>
          <w:sz w:val="17"/>
          <w:szCs w:val="17"/>
          <w:color w:val="auto"/>
        </w:rPr>
        <w:t>has served as Co-President and Co-Chief Executive Officer since January 2020. Mr. Murphy served as President of the Outdoor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&amp; Accessories Division from May 2017 to January 2020. From December 2016 until May 2017, he was President of the Outdoor Recreation Division, the activities of which were collapsed into Outdoor Product &amp; Accessories. From February 2015 until December 2016, he was Vice President, Corporate Development of Vista Outdoor, Inc., a publicly held designer, manufacturer, and marketer of outdoor sports and recreation products. From April 2013 until February 2015, Mr. Murphy was Director of Mergers &amp; Acquisitions and Director of Financial Planning &amp; Analysis for Alliant Techsystems, an aerospace, defense, and outdoor sporting goods company. Mr. Murphy held various management roles at McMaster-Carr Supply Company, a supplier of maintenance, repair, and operations materials to industrial and commercial facilities worldwide, from April 2011 until March 2013. From May 2006 until October 2010 he served as an investment banker with the publicly held firm Houlihan Lokey, where he advised companies in the areas of strategy, acquisitions, divestitures, recapitalizations, and restructuring.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589"/>
        <w:spacing w:after="0" w:line="269" w:lineRule="auto"/>
        <w:rPr>
          <w:sz w:val="20"/>
          <w:szCs w:val="20"/>
          <w:color w:val="auto"/>
        </w:rPr>
      </w:pPr>
      <w:r>
        <w:rPr>
          <w:rFonts w:ascii="Arial" w:cs="Arial" w:eastAsia="Arial" w:hAnsi="Arial"/>
          <w:sz w:val="17"/>
          <w:szCs w:val="17"/>
          <w:i w:val="1"/>
          <w:iCs w:val="1"/>
          <w:color w:val="auto"/>
        </w:rPr>
        <w:t xml:space="preserve">Jeffrey D. Buchanan </w:t>
      </w:r>
      <w:r>
        <w:rPr>
          <w:rFonts w:ascii="Arial" w:cs="Arial" w:eastAsia="Arial" w:hAnsi="Arial"/>
          <w:sz w:val="17"/>
          <w:szCs w:val="17"/>
          <w:color w:val="auto"/>
        </w:rPr>
        <w:t>has served as Executive Vice President, Chief Financial Officer, and Treasurer of our company since January 2011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Chief Administrative Officer since September 2015. Mr. Buchanan served as Secretary from January 2011 until April 2012. Mr. Buchanan served as a director of our company from November 2004 until December 2010. He was of counsel to the law firm of Ballard Spahr LLP from May 2010 until December 2010. Mr. Buchanan served as a Senior Managing Director of CKS Securities, LLC, a registered broker-dealer, from August 2009 until May 2010 and as a Senior Managing Director of Alare Capital Securities, L.L.C., a registered broker-dealer, from November 2006 until July 2009. From 2005 to 2006, Mr. Buchanan was principal of Echo Advisors, Inc., a corporate consulting and advisory firm focusing on mergers, acquisitions, and strategic planning. Mr. Buchanan served in various positions for Three-Five Systems, Inc., a publicly traded electronic manufacturing services company, including Executive Vice President, Chief Financial Officer, and Treasurer, from May 1996 until February 2005. Mr. Buchanan was a business attorney from 1986 until 1996 for the law firm of O’Connor, Cavanagh, Anderson, Killingsworth &amp; Beshears and for the law firm of Davis Wright Tremaine LLP from 1984 until 1986. He was a senior staff person at Deloitte &amp; Touche LLP from 1982 to 1984. Mr. Buchanan is a director and Audit Committee Chairman of Synaptics Incorporated, a publicly traded company that develops custom user interface solutions.</w:t>
      </w:r>
    </w:p>
    <w:p>
      <w:pPr>
        <w:spacing w:after="0" w:line="18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i w:val="1"/>
          <w:iCs w:val="1"/>
          <w:color w:val="auto"/>
        </w:rPr>
        <w:t xml:space="preserve">Robert J. Cicero </w:t>
      </w:r>
      <w:r>
        <w:rPr>
          <w:rFonts w:ascii="Arial" w:cs="Arial" w:eastAsia="Arial" w:hAnsi="Arial"/>
          <w:sz w:val="17"/>
          <w:szCs w:val="17"/>
          <w:color w:val="auto"/>
        </w:rPr>
        <w:t>has served as Senior Vice President and General Counsel of our company since June 2017, Vice President and General Counsel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since October 2011 and Chief Compliance Officer and Secretary since April 2012. Mr. Cicero was Associate General Counsel, Compliance Officer and Assistant Secretary of Chemtura Corporation, a global specialty chemicals company, from March 2009 until October 2011; Assistant General Counsel from July 2005 until March 2009; and Chief Counsel from September 2003 until July 2005. He was an Associate in the Executive Compensation and Employee Benefits Group for the law firm of Shearman &amp; Sterling LLP from May 2000 until September 2003; an Associate in the Labor and Employment Section for the law firm of Morgan, Lewis &amp; Bockius, LLP, from May 1998 until May 2000; and an Associate in the Labor and Employment Section for the law firm of Akin Gump Strauss Hauer &amp; Feld, LLP from June 1996 until May 1998. Mr. Cicero was an Assistant Corporation Counsel in the New York City Office of the Corporation Counsel from September 1993 until June 1996.</w:t>
      </w:r>
    </w:p>
    <w:p>
      <w:pPr>
        <w:spacing w:after="0" w:line="219"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i w:val="1"/>
          <w:iCs w:val="1"/>
          <w:color w:val="auto"/>
        </w:rPr>
        <w:t xml:space="preserve">Lane A. Tobiassen </w:t>
      </w:r>
      <w:r>
        <w:rPr>
          <w:rFonts w:ascii="Arial" w:cs="Arial" w:eastAsia="Arial" w:hAnsi="Arial"/>
          <w:sz w:val="17"/>
          <w:szCs w:val="17"/>
          <w:color w:val="auto"/>
        </w:rPr>
        <w:t>has served as President of the Firearms Division of our company since March 2019. From August 2016 until March 2019, he</w:t>
      </w:r>
      <w:r>
        <w:rPr>
          <w:rFonts w:ascii="Arial" w:cs="Arial" w:eastAsia="Arial" w:hAnsi="Arial"/>
          <w:sz w:val="17"/>
          <w:szCs w:val="17"/>
          <w:i w:val="1"/>
          <w:iCs w:val="1"/>
          <w:color w:val="auto"/>
        </w:rPr>
        <w:t xml:space="preserve"> </w:t>
      </w:r>
      <w:r>
        <w:rPr>
          <w:rFonts w:ascii="Arial" w:cs="Arial" w:eastAsia="Arial" w:hAnsi="Arial"/>
          <w:sz w:val="17"/>
          <w:szCs w:val="17"/>
          <w:color w:val="auto"/>
        </w:rPr>
        <w:t>was President of the Electro-Optics Division of our company, which was established in August 2016 when our company acquired Crimson Trace Corporation, the industry leader in laser sighting systems and tactical lighting for firearms. Mr. Tobiassen served as President of Crimson Trace Corporation from September 2009 until August 2016, and as Marketing Director from April 2005 until September 2009. Previously, he was Vice President of Marketing at LaCrosse Footwear, Inc., a leading producer of outdoor footwear and protective apparel. From August 2000 until September 2001, he served as Vice President of Marketing for Danner, Inc., a division of LaCrosse Footwear, Inc.</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Investors should carefully consider the following risk factors, together with all the other information included in the Form 10-K, in evaluating our company, our business, and our prospects. The most significant risks that could materially and adversely affect our business operations, financial condition, and cash flows include the risk factors described below.</w:t>
      </w:r>
    </w:p>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dependent on the proper functioning of our critical facilities, our supply chain, and distribution networks as well as the financial stability of our customers, all of which could be negatively impacted by the coronavirus, or COVID-19, in a manner that could materially adversely affect our business, financial condition, or results of operations.</w:t>
      </w:r>
    </w:p>
    <w:p>
      <w:pPr>
        <w:spacing w:after="0" w:line="7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COVID-19 is impacting worldwide economic activity. Estimates for economic growth have been reduced as a result of COVID-19, which may have a corresponding effect on our sales activity. The virus continues to spread globally and has been declared a pandemic by the World Health Organization. The impact of this pandemic has been, and will likely continue to be, extensive in many aspects of society, which has resulted in, and will likely continue to result in, significant disruptions to the global economy, as well as businesses and capital markets around the world. With the spread of COVID-19 to the United States and other countries, it is unclear how economic activity and work flows might be impacted on a worldwide basis. Many employers in the United States have curtailed or ceased their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color w:val="auto"/>
        </w:rPr>
        <w:t>operations and others are requiring their employees to work from home or not come into their offices or facilities. In addition, the facilities of certain of our contract manufacturers and other suppliers are subject to the same and additional risks, especially since some of them are located in parts of Asia. For example, most of our third-party contract manufacturers and suppliers in our OP&amp;A division are located in Asia, primarily China, the place of origin of COVID-19, and, to a lesser extent, Taiwan and Japan, and, at this point, the extent to which COVID-19 may impact our results is uncertain, but it could negatively impact our business. A reduction or interruption in any of our manufacturing processes could have a material adverse effect on our business, results of operations, financial condition, and cash flows. We may also experience significant and unpredictable reductions in demand for certain products as our customers and vendors may experience financial difficulties or be unable to borrow money to fund their operations, which may adversely impact their ability to purchase our products or pay for our products on a timely basis, if at all. The impact of COVID-19 on economic activity, and its effect on our manufacturing facility, supply chain, distribution networks, and our customers is uncertain at this time and could have a material adverse effect on our results, especially to the extent these effects continue and/or increase in severity over an extended period of time.</w:t>
      </w:r>
    </w:p>
    <w:p>
      <w:pPr>
        <w:spacing w:after="0" w:line="185"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A significant portion of our OP&amp;A division assets consists of goodwill, intangible assets, and fixed assets, the carrying value of which may be reduced if we determine that those assets are impaired. 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annually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and at least annually, we test intangible assets for impairment based on estimates of future cash flows. During our fourth fiscal quarter ended April 30, 2020, we recognized an impairment of $98.7 million, which included certain impacts associated with COVID-19 that we were aware of at the time of the impairment. Based upon the ultimate scope and scale of the COVID-19 global pandemic, there may be additional materially negative impacts to the assumptions made with respect to our goodwill and other long-lived intangible assets that could result in an additional impairment of such assets.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is influenced by a variety of economic, social, political, legislative, and regulatory factors.</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Our performance is influenced by a variety of economic, social, political, legislative, and regulatory factors. General economic conditions and consumer spending patterns can negatively impact our operating results. Economic uncertainty, unfavorable employment levels, declines in consumer confidence, increases in consumer debt levels, increased commodity prices, and other economic factors may affect consumer spending on discretionary items and adversely affect the demand for our products. Economic conditions also affect governmental, political, and budgetary policies. As a result, economic conditions also can have an effect on the sale of our products to law enforcement, government, and military customers.</w:t>
      </w:r>
    </w:p>
    <w:p>
      <w:pPr>
        <w:spacing w:after="0" w:line="17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Social, political, and other factors also can affect our performance. Concerns about presidential, congressional, and state elections and legislature and policy shifts resulting from those elections can affect the demand for our products. In addition, speculation surrounding increased gun control at the federal, state, and local level and heightened fears of terrorism and crime can affect consumer demand for our products. Often, such concerns result in an increase in near-term consumer demand and subsequent softening of demand when such concerns subside. Inventory levels in excess of customer demand may negatively impact operating results.</w:t>
      </w:r>
    </w:p>
    <w:p>
      <w:pPr>
        <w:spacing w:after="0" w:line="188"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Federal and state legislatures frequently consider legislation relating to the regulation of firearms, including amendment or repeal of existing legislation. Existing laws may also be affected by future judicial rulings and interpretations. These possible changes to existing legislation or the enactment of new legislation may seek to restrict the makeup of a firearm, including limitations on magazine capacity; mandate the use of certain technologies in a firearm; remove existing legal defenses in lawsuits; or ban the sale and, in some cases, the ownership of various types of firearms and accessories. If such restrictive changes to legislation develop, we could find it difficult, expensive, or even impossible to comply with them, impeding new product development and distribution of existing products. In addition, gun-control activists may succeed in imposing restrictions or an outright ban on private gun ownership. Such restrictions or bans could have a material adverse effect on our business, operating results,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Our operating results depend upon the level of consumer spending, which is sensitive to global economic conditions and other factors.</w:t>
      </w:r>
    </w:p>
    <w:p>
      <w:pPr>
        <w:spacing w:after="0" w:line="133"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success of many aspects of our business depends on consumer spending, and there are a number of factors that influence consumer spending, including actual and perceived economic conditions; disposable consumer income; interest rates; consumer credit availability; employment levels; stock market performance; weather conditions; energy prices; consumer discretionary spending patterns; and tax rates in the international, national, regional, and local markets where our products are produced or sold. The current global economic environment is unpredictable, and adverse economic trends or other factors could negatively impact the level of consumer spending, which could have a material adverse impact on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become even more dependent on the sale of our firearm products.</w:t>
      </w:r>
    </w:p>
    <w:p>
      <w:pPr>
        <w:spacing w:after="0" w:line="12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manufacture a wide array of handguns, modern sporting rifles, hunting rifles, black powder firearms, handcuffs, and firearm-related products and accessories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Since fiscal 2015, we have completed numerous acquisitions and grown our revenue in the adjacent outdoor products and accessories market. As a result, in the current fiscal year, firearm product sales represented approximately 78% of our consolidated net sales. Once the Separation occurs, however, nearly 100% of our revenue will be generated from firearm product sales. As noted above, sales of firearms are influenced by a variety of economic, social, political, legislative, and regulatory factors. Therefore, having nearly 100% of our revenue from firearm product sales may result in volatile revenue patterns.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introduce new products that are successful in the marketplace.</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Our success depends on our ability to continue to conceive, design, produce or source, and market in a timely manner a continuing stream of innovative new products that appeal to consumers and achieve market acceptance and drive customer satisfaction and loyalty. The development of new products is a lengthy and costly process. Any new products that we develop and introduce to the marketplace may be unsuccessful in achieving customer or market acceptance or may achieve success that does not meet our expectations for a variety of reasons, including delays in introduction, unfavorable cost comparisons with alternative products, unfavorable customer or consumer acceptance, and unfavorable performance. Our business, operating results, and financial condition could be adversely affected if we fail to introduce new products that consumers want to buy or we incur significant expenses related to proposed new products that prove to be unsuccessful for any reason.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our businesses are subject to extensive regulation.</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firearm business, as well as the business of all producers and marketers of firearms and firearm parts, is subject to numerous federal, state, local, and foreign laws, regulations, and protocols, including the rules and regulations of the ATF. If we fail to comply with ATF rules and regulations, the ATF may limit our activities or growth, fine us, or ultimately put us out of business.</w:t>
      </w:r>
    </w:p>
    <w:p>
      <w:pPr>
        <w:spacing w:after="0" w:line="184"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The manufacture, sale, and purchase of firearms are subject to extensive federal, state, and local governmental regulation. The primary federal laws are the National Firearms Act of 1934, or NFA, the Gun Control Act of 1968, or GCA, and the Arms Export Control Act of 1976, or AECA, which have been amended from time to time. The NFA severely restricts the private ownership of fully automatic weapons and heavily regulates other firearms defined in that law and accompanying regulations, including firearm suppressors. The GCA places certain restrictions on the interstate sales of firearms, among other things. The export of our products is controlled by the International Traffic in Arms Regulations, or ITAR. ITAR implements the provisions of the AECA as described in the Code of Federal Regulations and is enforced by the U.S. Department of State. In order for us to sell some of our products in accordance with ITAR, including firearms and firearm suppressors to foreign customers, we must obtain export licenses from the U.S. government, primarily the U.S. Department of State. The U.S. Department of State has discretion as to whether to grant a license, and approval depends on the foreign policies and national security interests of the United States. In addition, Congress may take action to block a proposed sale of firearms for export valued at $1 million or higher. Consequently, we may not be able to obtain export licenses, or to complete profitable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contracts as a result of political or other reasons that are outside our control. Failure to receive required licenses or authorizations or the termination or suspension of our export privileges could have an adverse effect on our business. Further, because our manufacturing process includes certain toxic, flammable, and explosive chemicals, we are subject to the Chemical Facility Anti-Terrorism Standards, as administered by the Department of Homeland Security, which requires that we take additional reporting and security measures related to our manufacturing process.</w:t>
      </w:r>
    </w:p>
    <w:p>
      <w:pPr>
        <w:spacing w:after="0" w:line="17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addition, like many other manufacturers, we are subject to compliance with the Fair Labor Standards Act, the Occupational Safety and Health Act, the data privacy laws of Massachusetts and other jurisdictions, and many other regulations surrounding employment law, environmental law, taxation, and consumer protection.</w:t>
      </w:r>
    </w:p>
    <w:p>
      <w:pPr>
        <w:spacing w:after="0" w:line="1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addition to federal requirements, state and local laws and regulations may place additional restrictions or prohibitions on gun ownership and transfer. These laws and regulations vary significantly from jurisdiction to jurisdiction. Some states or other governmental entities have enacted, and others are considering, legislation restricting or prohibiting the ownership, use, or sale of certain categories of firearms, firearm suppressors, ammunition, ammunition feeding devices, or all of these products. Several states require internal or external locking mechanisms for firearms sold in their jurisdictions. Some states mandate, or are considering mandating, certain design features on safety or other grounds. Such legislation could have a material adverse effect on our business, operating results, and financial condition.</w:t>
      </w:r>
    </w:p>
    <w:p>
      <w:pPr>
        <w:spacing w:after="0" w:line="233"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 xml:space="preserve">Existing industry protections may be repealed or affected by judicial rulings. For example, the Protection of Lawful Commerce in Arms Act of 2005, or the PLCAA, was enacted by Congress in 2005 in order to protect firearms manufacturers and dealers from liability when their legally manufactured and lawfully sold products are later used in criminal acts. The PLCAA (or the state law equivalent of the PLCAA) could be repealed or amended, and legislation has been introduced in Congress to repeal the law. The PLCAA (or the state law equivalent of the PLCAA) may also be affected by future judicial rulings and interpretations. In </w:t>
      </w:r>
      <w:r>
        <w:rPr>
          <w:rFonts w:ascii="Arial" w:cs="Arial" w:eastAsia="Arial" w:hAnsi="Arial"/>
          <w:sz w:val="17"/>
          <w:szCs w:val="17"/>
          <w:i w:val="1"/>
          <w:iCs w:val="1"/>
          <w:color w:val="auto"/>
        </w:rPr>
        <w:t>Soto v. Bushmaster Firearms International, LLC,</w:t>
      </w:r>
      <w:r>
        <w:rPr>
          <w:rFonts w:ascii="Arial" w:cs="Arial" w:eastAsia="Arial" w:hAnsi="Arial"/>
          <w:sz w:val="17"/>
          <w:szCs w:val="17"/>
          <w:color w:val="auto"/>
        </w:rPr>
        <w:t xml:space="preserve"> a case arising from the mass shooting in Sandy Hook Elementary School in Newtown, Connecticut, the Connecticut Court of Appeals allowed claimants to pursue state claims for unfair trade practices and potentially other theories of liability notwithstanding the immunity granted to firearms manufacturers under the PLCAA. If the PLCAA (or the state law equivalent of the PLCAA) were repealed, amended, or reinterpreted, firearms manufacturers could face a significant increase in litigation, which could have a material adverse effect on our business, operating results, and financial condition.</w:t>
      </w:r>
    </w:p>
    <w:p>
      <w:pPr>
        <w:spacing w:after="0" w:line="208"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Compliance with all of these laws, regulations, and protocols is costly and time consuming. Although we make substantial efforts to ensure compliance with the many regulations to which we are subject, inadvertent violation of any of these laws, regulations, and protocols could cause us to incur fines and penalties and could also lead to restrictions on our ability to manufacture and sell our products and services and to import or export the products that we sell. In addition, these laws, regulations, and protocols, as well as their interpretation by courts and regulatory authorities, may change at any time. There can be no assurance that such changes to the laws, regulations, and protocols or to their interpretations will not adversely affect our business.</w:t>
      </w:r>
    </w:p>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Actions of social activists could cause us to incur substantial costs, divert management’s attention and resources, and have an adverse effect on our business.</w:t>
      </w:r>
    </w:p>
    <w:p>
      <w:pPr>
        <w:spacing w:after="0" w:line="71"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From time to time, we may be subject to informal private or public inquiries and/or formal proxy proposals by activists urging us to take certain corporate actions, many of which may not be aligned with the best financial or operational interests of our company. Such activities may adversely affect our business in a number of ways, since responding to such inquiries or proposals can be costly, time consuming, disruptive to our operations, and could meaningfully divert the attention of our resources, including those of our management team and our employees. For example, such activities could require us to retain the services of various professionals to advise us on such matters, including legal, financial, and communications advisors, which could be costly. In addition, certain stockholder inquiries and proposals could create perceived uncertainties or concerns as to our future operating environment, legislative environment, strategy direction, or leadership, and such uncertainties or concerns could result in the loss of potential business opportunities; could harm our ability to attract new investors, customers, and employees; could harm or disrupt our business and financial relationships; could result in consumer boycotts of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96" w:lineRule="auto"/>
        <w:rPr>
          <w:sz w:val="20"/>
          <w:szCs w:val="20"/>
          <w:color w:val="auto"/>
        </w:rPr>
      </w:pPr>
      <w:r>
        <w:rPr>
          <w:rFonts w:ascii="Arial" w:cs="Arial" w:eastAsia="Arial" w:hAnsi="Arial"/>
          <w:sz w:val="16"/>
          <w:szCs w:val="16"/>
          <w:color w:val="auto"/>
        </w:rPr>
        <w:t>products; and could cause our stock price to experience periods of decline, volatility, or stagnation. For example, gun-control activists could pressure our financial institutions, our insurance carriers, our customers, our vendors, or other businesses and institutions with whom we maintain relationships to cease doing business with us or adopt actions that are not in the best interests of our company, inconsistent with the legal operations of our business, or contrary to the beliefs of our core consumers. In addition, our reputation could be irreparably damaged if our core consumers believe that we have adopted the gun control agenda of certain activists. Such activities could have a negative impact on our business, operating results, and financial condition.</w:t>
      </w:r>
    </w:p>
    <w:p>
      <w:pPr>
        <w:spacing w:after="0" w:line="2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produce or source and sell products that create exposure to potential product liability, warranty liability, or personal injury claims and litigation.</w:t>
      </w:r>
    </w:p>
    <w:p>
      <w:pPr>
        <w:spacing w:after="0" w:line="5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Some of our products involve or are used in applications and situations that involve risk of personal injury and death. Our products expose us to potential product liability, warranty liability, personal injury claims, and litigation relating to the use or misuse of our products, including allegations of defects in manufacturing, defects in design, a failure to warn of dangers inherent in the product or activities associated with the product, negligence, and strict liability. If successful, such claims could have a material adverse effect on our business. In addition, defects in our products could reduce demand for our products and result in a decrease in sales and market acceptance and damage to our reputation.</w:t>
      </w:r>
    </w:p>
    <w:p>
      <w:pPr>
        <w:spacing w:after="0" w:line="176"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Components used in our products may contain undetected defects that are subsequently discovered at any point in the life of the product. In addition, we obtain many of our finished products and product components from third-party suppliers and may not be able to detect defects in such products or components until after they are sold. Defects in our products may result in a loss of sales, recall expenses, delay in market acceptance, damage to our reputation, and increased warranty costs, which could have a material adverse effect on our business, operating results, and financial condition.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lawsuits and governmental investigations and inquiries.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currently involved in several lawsuits, including a lawsuit involving a municipality and several product liability lawsuits.</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vigorously defending ourselves in the lawsuits to which we are subject. There can be no assurance, however, that we will not have to pay significant damages or amounts in settlement above insurance coverage. An unfavorable outcome or prolonged litigation could harm our business. Litigation of this nature is also expensive and time consuming and may divert the time and attention of our management.</w:t>
      </w:r>
    </w:p>
    <w:p>
      <w:pPr>
        <w:spacing w:after="0" w:line="184"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Our products expose us to potential product liability, warranty liability, and personal injury claims, as well as litigation relating to the use or misuse of our products. These include allegations of defects in manufacturing and design, failure to warn of inherent dangers in the product itself or activities associated with the product, and negligence and strict liability. In addition, as described earlier, we could be subject to future litigation arising out of the criminal misuse of our firearms. If successful, such claims could have a material adverse effect on our business, operating results, and financial condition. Although we maintain product liability insurance in amounts that we believe are reasonable, we may not be able to maintain such insurance on acceptable terms, if at all, in the future, and product liability claims may exceed the amount of insurance coverage available to us. Because we manufacture and sell firearms, insurance carriers may decide not to insure our products or our company in the future. In addition, our reputation may be adversely affected by such claims, whether or not successful, including potential negative publicity about our products. Due to the nature of our products, we anticipate that we will continue to be involved in litigation, including product liability cases and claims in the future.</w:t>
      </w:r>
    </w:p>
    <w:p>
      <w:pPr>
        <w:spacing w:after="0" w:line="2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Defects in our products could reduce demand and result in a decrease in sales or damage to our reputation. Our products can contain latent defects that are not detected until after the product is introduced to the market. In addition, we obtain many of our products and component parts from third-party suppliers and may not be able to detect defects until after they are sold. Defects in our products may result in a loss of sales, recall or corrective action expenses, damage to our reputation, and increased warranty costs, which could have a material adverse effect on our business, operating results,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firstLine="589"/>
        <w:spacing w:after="0" w:line="257" w:lineRule="auto"/>
        <w:rPr>
          <w:sz w:val="20"/>
          <w:szCs w:val="20"/>
          <w:color w:val="auto"/>
        </w:rPr>
      </w:pPr>
      <w:r>
        <w:rPr>
          <w:rFonts w:ascii="Arial" w:cs="Arial" w:eastAsia="Arial" w:hAnsi="Arial"/>
          <w:sz w:val="18"/>
          <w:szCs w:val="18"/>
          <w:color w:val="auto"/>
        </w:rPr>
        <w:t>We have been and may continue to be subject to governmental investigations and inquiries. Such investigations and inquiries could subject us to various sanctions, including significant civil and criminal penalties, the indictment of our company or various of our officers and employees, our being prevented from bidding on domestic military and government contracts, our disbarment by the U.S. Department of State, private civil litigation arising out of the outcome of the investigations or inquiries, the diversion of time and attention of our management from normal business operations, and a negative impact on the perception of our company by investors, customers, and others.</w:t>
      </w:r>
    </w:p>
    <w:p>
      <w:pPr>
        <w:spacing w:after="0" w:line="29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involves the potential for product recalls, product liability, and other claims against us, which could affect our earnings and financial condition.</w:t>
      </w:r>
    </w:p>
    <w:p>
      <w:pPr>
        <w:spacing w:after="0" w:line="58"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As a distributor of non-firearm consumer products, we are subject to the U.S. Consumer Products Safety Act of 1972, as amended by the Consumer Product Safety Improvement Act of 2008, which empowers the Consumer Products Safety Commission to exclude from the market products that are found to be unsafe or hazardous, and similar laws under foreign jurisdictions. Under certain circumstances, the Consumer Products Safety Commission or comparable foreign agency could require us to repurchase or recall one or more of our products. Additionally, other laws and agencies regulate certain consumer products sold by us and more restrictive laws and regulations may be adopted in the future. Any repurchase or recall of our products could be costly and damage our reputation. If we were required to remove, or we voluntarily remove, our products from the market, our reputation could be tarnished, and we might have large quantities of finished products that we could not sell. We also face exposure to product liability claims in the event that one of our products is alleged to have resulted in property damage, bodily injury, or other adverse effects. In addition to the risk of substantial monetary judgments, fines, or penalties that may result from any governmental investigations, product liability claims, or regulatory actions, such events could result in negative publicity that could harm our reputation in the marketplace, adversely impact the value of our brands, and result in an increase in the cost of producing our products. Similar to product liability claims, we face exposure to class action lawsuits related to the performance, safety, or advertising of our products. Such class action lawsuits could result in substantial monetary judgments, injunctions related to the sale of products, and potentially tarnish our reputation.</w:t>
      </w:r>
    </w:p>
    <w:p>
      <w:pPr>
        <w:spacing w:after="0" w:line="186"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In fiscal 2020, we formed a wholly owned captive insurance company, which provides firearm product liability insurance to us and our subsidiaries. This captive insurance company was included in our consolidated financial statements for the fiscal year end April 30, 2020. Although we maintain product liability insurance in amounts that we believe are reasonable, that insurance is, in most cases, subject to large self-insured retentions for which we are responsible, and we cannot assure you that we will be able to maintain such insurance on acceptable terms, if at all, in the future or that product liability claims will not exceed the amount of insurance coverage. As a result, product recalls or product liability claims could have a material adverse effect on our business, operating results, and financial condition. In addition, we face potential other types of litigation arising out of alleged defects in our products or otherwise, such as class action lawsuits. We do not maintain insurance against many types of claims involving alleged defects in our products that do not involve personal injury or property damage. We spend substantial resources ensuring compliance with governmental and other applicable standards.</w:t>
      </w:r>
    </w:p>
    <w:p>
      <w:pPr>
        <w:spacing w:after="0" w:line="19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product liability insurance program is an occurrence-based program based on our current and historical claims experience and the availability and cost of insurance. We cannot assure you, however, that our future product liability experience will be consistent with our past experience or that claims and awards will not substantially impact the costs of our insurance programs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difficult to align our capacity with our demand.</w:t>
      </w:r>
    </w:p>
    <w:p>
      <w:pPr>
        <w:spacing w:after="0" w:line="121"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From time to time, we have been capacity constrained and have been unable to satisfy on a timely basis the demand for some of our products. During the last several fiscal years, we have improved our manufacturing productivity by adding capacity, increasing daily production quantities, increasing operational availability of equipment, reducing machinery down time, extending machinery useful life, and increasing manufacturing efficiency. Future significant increases in consumer demand for our products or increased business from law enforcement or military agencies may require us to expand further our manufacturing capacity, particularly through the purchase of additional manufacturing equipment and the addition of manufacturing space. We may not be able to increase our capacity in time to satisfy increases in demand that may occur from time-to-time, and we may not have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7"/>
          <w:szCs w:val="17"/>
          <w:color w:val="auto"/>
        </w:rPr>
        <w:t>adequate financial resources to increase capacity to meet demand. Capacity constraints may prevent us from satisfying customer orders and result in a loss of market share to competitors that are not capacity constrained. At other times, such as recently, we may suffer excess capacity and increased overhead costs, particularly if we increase our capacity to meet actual or anticipated demand and that demand decreases or does not materialize. Various actions that we have taken in the past, such as outsourcing a portion of our production and reducing our expenses, enable us to mitigate the effect of reduced product demand, but such actions cannot totally mitigate the effect of reduced product demand.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manufacturing facilities are critical to our success.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Springfield, Massachusetts facility is critical to our success, as we currently produce most of our firearm products at this facility.</w:t>
      </w:r>
    </w:p>
    <w:p>
      <w:pPr>
        <w:spacing w:after="0" w:line="22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The Springfield facility also houses our principal research, development, engineering, design, shipping, sales, marketing, finance, and management functions. Any event that causes a disruption of the operation of this facility for even a relatively short period of time would adversely affect our ability to produce and ship many of our firearm products and to provide service to our firearm customers. We frequently make certain changes in our manufacturing operations to modernize the facility and associated equipment and systems as a result of the age of the facility and the need to introduce certain efficiencies in manufacturing and other processes in order to produce our anticipated volume of products in a more efficient and cost-effective manner. We anticipate that we will continue to incur significant capital and other expenditures with respect to the facility, but we may not be successful in continuing to improve efficiencies.</w:t>
      </w:r>
    </w:p>
    <w:p>
      <w:pPr>
        <w:spacing w:after="0" w:line="195"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We also depend on our Houlton, Maine and Deep River, Connecticut facilities. Our Houlton facility is used primarily as a machining facility for our firearms as well as our handcuffs and restraints, and our Deep River facility is used primarily for custom plastic injection molding services, rapid prototyping, and tooling. A disruption in the activities of these facilities could adversely affect our firearm manufacturing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new distribution facility, which may not produce the benefits expected.</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extremely dependent on our new distribution facility in Columbia, Missouri, which just recently became fully operational. The facility houses our warehouse for firearms products as well as the principal executive, administrative, financial, sales, marketing, research and development, assembly, and quality inspection operations for our OP&amp;A division.</w:t>
      </w:r>
    </w:p>
    <w:p>
      <w:pPr>
        <w:spacing w:after="0" w:line="184"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The facility includes computer controlled and automated equipment. As a result, the operations of the facility are complicated and may be subject to a number of risks related to security or computer viruses, the proper operation of software and hardware, electronic or power interruptions, and other system failures. In addition, because substantially all of our products are distributed from one location, our operations could be interrupted by labor difficulties, extreme or severe weather conditions, or by floods, fires, or other natural disasters near our facility. Our ability to successfully operate the facility depends on numerous factors, including the proper design of the facility, the ability to employ an adequate number of skilled workers to operate the facility, the design and operation of computer controlled and automated systems, the design of software systems to operate the facility, and the integration of the facility into our ERP system. Difficulties or delays in performing any of these critical tasks could negatively impact our operating results.</w:t>
      </w:r>
    </w:p>
    <w:p>
      <w:pPr>
        <w:spacing w:after="0" w:line="16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ability to meet customer expectations, manage inventory, complete sales, and achieve objectives for operating profits will depend on our proper operation of the facility.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spacing w:after="0" w:line="282" w:lineRule="auto"/>
        <w:rPr>
          <w:sz w:val="20"/>
          <w:szCs w:val="20"/>
          <w:color w:val="auto"/>
        </w:rPr>
      </w:pPr>
      <w:r>
        <w:rPr>
          <w:rFonts w:ascii="Arial" w:cs="Arial" w:eastAsia="Arial" w:hAnsi="Arial"/>
          <w:sz w:val="18"/>
          <w:szCs w:val="18"/>
          <w:b w:val="1"/>
          <w:bCs w:val="1"/>
          <w:color w:val="auto"/>
        </w:rPr>
        <w:t>We rely on outsourcing for a portion of our production, and any interruptions in these arrangements could disrupt our ability to fill our customers’ orders.</w:t>
      </w:r>
    </w:p>
    <w:p>
      <w:pPr>
        <w:spacing w:after="0" w:line="7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utilize contract manufacturers for a portion of our firearm production requirements, particularly during periods of very high customer demand, in order to increase our manufacturing capacity and reduce our capital expenditures for facilities that may not always operate at peak capacity. Qualifying new contract manufacturers is time consuming and may result in unforeseen disruptions in our manufacturing and operations. The loss of our relationships with our contract manufacturers or their inability to conduct their services for us as anticipated in terms of capacity, cost, quality, and timeliness could adversely affect our ability to fill customer orders in accordance with required delivery, quality, and performance requirements. If this were to occur, the resulting decline in revenue could harm our business.</w:t>
      </w:r>
    </w:p>
    <w:p>
      <w:pPr>
        <w:spacing w:after="0" w:line="192"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We source a significant portion of our made-to-order finished products and product components in our OP&amp;A division from third-party contract manufacturers and other suppliers located primarily in Asia. We depend on our contract manufacturers and other suppliers to maintain high levels of productivity and satisfactory delivery schedules. Our ability to secure qualified suppliers that meet our quality and other standards and to receive from them these products and components in a timely and efficient manner represents a challenge, especially with suppliers located and products and product components sourced outside of the United States. The ability of our suppliers to effectively satisfy our production requirements could also be impacted by their financial difficulty or damage to their operations caused by fire, pandemic, such as the current coronavirus pandemic, terrorist attack, natural disaster, or other events. The failure of any supplier to perform to our expectations could result in supply shortages or delays for certain products and product components and harm our business. If we experience significantly increased demand, or if we need to replace an existing supplier as a result of a lack of performance, we may be unable to supplement or replace our production capacity on a timely basis or on terms that are acceptable to us, which may increase our costs, reduce our margins, and harm our ability to deliver our products on time. For certain of our products, it may take a significant amount of time to identify and qualify a supplier that has the capability and resources to meet our product specifications in sufficient volume and satisfy our service and quality control standards. Political and economic instability in countries in which foreign suppliers are located, the financial and managerial instability of suppliers, the failure by suppliers to meet our standards, failure to meet production deadlines, insufficient quality control, problems with production capacity, labor problems experienced by our suppliers, the availability of raw materials to our suppliers, product quality issues, currency exchange rates, transport availability and cost, inflation, and other factors relating to suppliers and the countries in which they are located are beyond our control.</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often rely on third parties, including product sourcing intermediaries, independent sales representatives, and agents, that act on our behalf.</w:t>
      </w:r>
    </w:p>
    <w:p>
      <w:pPr>
        <w:spacing w:after="0" w:line="14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often rely on third parties, including product sourcing intermediaries, independent sales representatives, and agents. These intermediaries, representatives, and agents sometimes have the actual or apparent authority to enter into agreements on our behalf. The actions of these third parties could adversely affect our business if they agree to low margin contracts or conduct themselves in a manner that damages our reputation in the marketplace. We also face a risk that these third parties could violate domestic or foreign laws, which could put us at risk for prosecution in the United States or internationally.</w:t>
      </w:r>
    </w:p>
    <w:p>
      <w:pPr>
        <w:spacing w:after="0" w:line="188"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The U.S. foreign trade policies, tariffs, and other impositions on imported goods, trade sanctions imposed on certain countries, the limitation on the importation of certain types of goods or of goods containing certain types of materials from other countries, and other factors relating to foreign trade also are beyond our control. These and a majority of other factors affecting our suppliers and our access to products could adversely affect our business.</w:t>
      </w:r>
    </w:p>
    <w:p>
      <w:pPr>
        <w:spacing w:after="0" w:line="149"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do not have long-term agreements with any of our contract manufacturers or other suppliers that guarantee production capacity, prices, lead times, or delivery schedules. Our contract manufacturers and other suppliers serve other customers, a number of which may have greater production requirements than we do. As a result, our contract manufacturers and other suppliers could determine to prioritize production capacity for other customers or reduce or eliminate deliveries to us on short notice. Lower than expected manufacturing efficiencies could increase our cost and disrupt or delay our supplies. Any of these problems could result in our inability to deliver our products in a timely manner or adversely affect our business, operating results,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2" w:name="page33"/>
    <w:bookmarkEnd w:id="32"/>
    <w:p>
      <w:pPr>
        <w:jc w:val="both"/>
        <w:ind w:firstLine="589"/>
        <w:spacing w:after="0" w:line="273" w:lineRule="auto"/>
        <w:rPr>
          <w:sz w:val="20"/>
          <w:szCs w:val="20"/>
          <w:color w:val="auto"/>
        </w:rPr>
      </w:pPr>
      <w:r>
        <w:rPr>
          <w:rFonts w:ascii="Arial" w:cs="Arial" w:eastAsia="Arial" w:hAnsi="Arial"/>
          <w:sz w:val="17"/>
          <w:szCs w:val="17"/>
          <w:color w:val="auto"/>
        </w:rPr>
        <w:t>The capacity of our contract manufacturers to produce our products also depends upon the cost and availability of raw materials. Our contract manufacturers and other suppliers may not be able to obtain sufficient supply of raw materials, which could result in delays in deliveries of our products by our manufacturers or increased costs. Any shortage of raw materials or inability of a manufacturer to produce or ship our products in a timely manner, or at all, could impair our ability to ship orders of our products in a cost-efficient, timely manner and could cause us to miss the delivery requirements of our customers. As a result, we could experience cancellations of orders, refusals to accept deliveries, or reductions in our prices and margins, any of which could harm our financial performance, reputation, and operating results.</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may receive product deliveries from suppliers that fail to conform to our quality control standards. In such circumstances, our inability to sell those products could have a negative effect on our net sales and increase our administrative and shipping costs if we are unable to obtain replacement products in a timely manner.</w:t>
      </w:r>
    </w:p>
    <w:p>
      <w:pPr>
        <w:spacing w:after="0" w:line="1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Damage or disruption to manufacturing and distribution capabilities of, or the disruption of deliveries from, our suppliers because of severe or catastrophic events, including weather, natural disaster, fire or explosion, terrorism, pandemics, or labor disruptions, including at ports or at our suppliers, could impair our product sales. Although we have insurance to cover potential loss from most of our suppliers for these events, we could experience losses in excess of our insured limits and any claims for various losses could be denied. In addition, failure to take adequate steps to mitigate the likelihood or potential impact of such events, or to effectively manage such events if they occur, could have a material adverse effect on us, as well as require additional resources to restore our supply chain.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Protectionist tariffs and trade wars could harm our business.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federal government has recently put into place tariffs and other trade restrictions and signaled that it may additionally alter trade agreements and terms between the United States and China, the European Union, Canada, and Mexico, among others, including limiting trade and/or imposing tariffs on imports from such countries. In addition, China, the European Union, Canada, and Mexico, among others, have either threatened or put into place retaliatory tariffs of their own.</w:t>
      </w:r>
    </w:p>
    <w:p>
      <w:pPr>
        <w:spacing w:after="0" w:line="187"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We are currently subject to tariffs on a significant number of our products. Increases in protectionist trade legislation in either the United States or foreign countries, such as a change in the current tariff structures, export or import compliance laws, or other trade policies, could reduce our ability to sell our products in foreign markets, the ability of foreign customers to purchase our products, and our ability to import products, components, and raw materials from foreign suppliers. The United States has imposed and threatened to impose further tariffs on a variety of products and materials imported from various foreign countries. Tariff policies of the United States may result in retaliatory actions by affected countries, potentially resulting in trade wars and increased costs for goods imported into the United States. Any tariffs that result in increased costs or unavailability of imported products or components that we obtain for resale from foreign suppliers or raw materials used in the production of our products could require us to increase the prices of the products we sell or result in lower gross margins on such products if we are unable to increase the price of such products to our customers. Furthermore, increased pricing on these products could lead to lower consumer demand.</w:t>
      </w:r>
    </w:p>
    <w:p>
      <w:pPr>
        <w:spacing w:after="0" w:line="18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These tariffs have the potential to significantly increase the cost of our products. In such a case, there can be no assurance that we will be able to shift manufacturing and supply agreements to non-impacted countries, including the United States, to reduce the effects of the tariffs. As a result, we may suffer margin erosion or be required to raise our prices, which may result in the loss of customers, negatively impact our operating results, or otherwise harm our business. In addition, the imposition of tariffs on products that we export to international markets could make such products more expensive compared to those of our competitors if we pass related additional costs on to our customers, which may also result in the loss of customers, negatively impact our operating results, or otherwise harm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An increase in the offering of “private label” products by our customers could negatively impact demand for our products.</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Some of our large retail customers have started to directly source non-firearm products similar to ours under their own private label brands. By doing so, they effectively become a competitor to our brand by eliminating our products from their supply chain, causing declines in our product demand. Furthermore, they are able to offer their private label products at a significantly reduced price and still retain profitability, therefore putting a greater amount of pricing pressure for our products to compete. If we choose to source these private label goods on behalf of our customers, our profitability on those sales is significantly reduced. As such, any additional private label activity within our customer base could have a negative impact on our business, operating results,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Poor product quality or performance could adversely affect our operating results and reputation.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Poor product quality or performance could adversely affect our operating results and reputation. We generally provide a limited one-year, three-year, limited-lifetime, or full-lifetime warranty and a lifetime-service policy to the original purchaser of our new firearm products and a limited one-year warranty to the original purchaser of our new outdoor products and accessories. We offer a one-year or limited lifetime warranty program to the original purchaser of our outdoor products and accessories, depending on the product purchased.</w:t>
      </w:r>
    </w:p>
    <w:p>
      <w:pPr>
        <w:spacing w:after="0" w:line="1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While we believe we have a strong track record of developing, manufacturing, and selling high-quality products, from time to time, we have experienced manufacturing and design issues with respect to some of our firearms and have initiated product recalls and safety alerts in the past. Based on the volume of products we have shipped into the market, any future recall, safety alerts, or product liability claims could harm our reputation, cause us to lose business, and cause us to incur significant warranty, support, and repair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higher medical benefit costs in the future.</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are self-insured for our employee medical plan. While our medical costs in recent years have generally increased at the same level as the regional average, our aging workforce and other employee demographics could result in an increase in our medical costs beyond what we have experienced or expect. We have stop-loss coverage in place for catastrophic events, but the aggregate impact of a high number of claims up to our stop-loss limit may have an adverse impact on our profitability.</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cannot assess the effect that legislation will have on our healthcare costs and structure or our ability to provide healthcare benefits to our employees. The Patient Protection and Affordable Care Act, as amended by the Health Care and Education Reconciliation Act of 2010, or ACA, became effective in calendar 2015 with other provisions to become effective over succeeding years.</w:t>
      </w:r>
    </w:p>
    <w:p>
      <w:pPr>
        <w:spacing w:after="0" w:line="1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Trump Administration and the Republican Congress are pursuing legislative and regulatory efforts to repeal and replace ACA. The Tax Cuts and Jobs Act of 2017, which was adopted in December 2017, effectively eliminated certain provisions of the ACA, including the individual mandate starting in 2019 requiring consumers to buy insurance or pay a penalty subject to a limited number of exceptions. It is generally anticipated that the Trump Administration and the Republican Congress will continue their efforts to repeal and replace the ACA, possibly in its entirety, and that many states, including states in which we conduct operations, will adopt their own health care legislation. Changes to the healthcare requirements in the future may have an adverse effect on our business, operating results,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insurance is expensive and may be difficult to obtain.</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Liability insurance coverage is expensive and from time to time may be difficult or impossible to obtain. Our insurance policies are subject to periodic review by our insurers and may not be renewed at all or on similar or favorable terms. Because we manufacture and sell firearms, insurance carriers may decide not to insure us in the future. In addition, if we or other firearms manufacturers sustain significant losses or make significant insurance claims, our ability to obtain future insurance coverage at commercially reasonable rates could be materially adversely affected. Our liability insurance costs were $4.4 million in fiscal 2020 and $3.8 million in fiscal 2019. An inability to obtain liability insurance, significant increases in the cost of insurance we obtain, or losses in excess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our liability insurance coverage, could have a material adverse effect on us. For the reasons described herein, in fiscal 2020, we established a wholly owned captive insurance company to help mitigate these risks, but the funding by us of such insurance company may not be enough to adequately cover the cost of claims against us, if any.</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Shortages of, and price increases for, components, parts, raw materials, and other supplies may delay or reduce our sales and increase our costs.</w:t>
      </w:r>
    </w:p>
    <w:p>
      <w:pPr>
        <w:spacing w:after="0" w:line="14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Although we manufacture most of the components for our firearms, we purchase certain components and parts from third parties, including bolt carriers, rifle receivers, magazines, slides, small parts, barrels, and rifle stocks. We rely on third-party suppliers and manufacturers for substantially all of our outdoor products and accessories’ finished products and components, and we have limited control over these suppliers and manufacturers. We also purchase ammunition for product testing.</w:t>
      </w:r>
    </w:p>
    <w:p>
      <w:pPr>
        <w:spacing w:after="0" w:line="187"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Most of our major suppliers for our firearm products are U.S.-based and provide materials, components, and parts, such as raw steel, polymer components, and metal-injected-molded components. The costs of these materials, components, and parts are at competitive rates. We have become increasingly dependent on a small number of key vendors that supply components and parts for our firearms as a result of our decision to increase our manufacturing flexibility by using third parties that can supplement our internal capacity to better react to changes in market conditions. Most of our major suppliers for our outdoor products and accessories components and products are based in Asia. Our major suppliers for electro-optics components are based in Asia and North America. We also use numerous raw materials that we purchase from third-party suppliers in producing and testing our products, including steel, wood, lead, brass, and plastics. Uncertainties related to governmental fiscal policies, including increased duties, tariffs, or other trade restrictions, could increase the prices of finished products, components, and raw materials we purchase from third-party suppliers.</w:t>
      </w:r>
    </w:p>
    <w:p>
      <w:pPr>
        <w:spacing w:after="0" w:line="165"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Our contract manufacturers for our outdoor products and accessories are also subject to price volatility and labor cost and other inflationary pressures, which may, in turn, result in an increase in the amount we pay for sourced products, components, and raw materials. During periods of rising prices, there can be no assurance that we will be able to pass any portion of such increases on to customers. Conversely, when prices decline, customer demands for lower prices could result in lower sale prices and, to the extent that we have existing inventory, lower margins. As a result, fluctuations in finished products, components, or raw material prices could have a material adverse effect on our business, operating results, and financial condition.</w:t>
      </w:r>
    </w:p>
    <w:p>
      <w:pPr>
        <w:spacing w:after="0" w:line="16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Our inability to obtain sufficient quantities of components, parts, raw materials, and other supplies from independent sources necessary for the production of our products could result in reduced or delayed sales or lost orders. Any delay in or loss of sales could adversely impact our operating results. Many of the components, parts, raw materials, and other supplies used in the production of our products are available only from a limited number of suppliers. In most cases, we do not have long-term supply contracts with these suppliers. As a result, we could be subject to increased costs, supply interruptions, and difficulties in obtaining materials and finished products. Our suppliers also may encounter difficulties or increased costs in obtaining the materials necessary to produce the components and parts that we use in our products. The time lost in seeking and acquiring new sources or the inability to locate alternative sources of comparable quality at an acceptable price, or at all, could negatively impact our net sales and profitability. Shortages of ammunition also can adversely affect the demand for our products.</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occasionally received, and may receive in the future, product deliveries from suppliers that fail to conform to our quality control standards. In such circumstances, our inability to sell those products could have a negative effect on our net sales and increase our administrative and shipping costs if we are unable to obtain replacement products in a timely manner.</w:t>
      </w:r>
    </w:p>
    <w:p>
      <w:pPr>
        <w:spacing w:after="0" w:line="1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Damage or disruption to manufacturing and distribution capabilities of, or the disruption of deliveries from, our suppliers because of severe or catastrophic events, including weather, natural disaster, fire or explosion, terrorism, pandemics, or labor disruptions, including at ports or at our suppliers, could impair our ability to manufacture or sell our products. Although we have insurance to cover potential loss from most of our suppliers for these events, we could experience losses in excess of our insured limits. In addition, failure to take adequate steps to mitigate the likelihood or potential impact of such events, or to effectively manage such events if they occur, could have a material adverse effect on us, as well as require additional resources to restore our supply chain.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8"/>
          <w:szCs w:val="18"/>
          <w:b w:val="1"/>
          <w:bCs w:val="1"/>
          <w:color w:val="auto"/>
        </w:rPr>
        <w:t>Our business is subject to the risk of earthquakes, fire, power outages, floods, and other catastrophic events and to interruption by problems such as terrorism, cyberattacks, or failure of key information technology systems.</w:t>
      </w:r>
    </w:p>
    <w:p>
      <w:pPr>
        <w:spacing w:after="0" w:line="58"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Our business is vulnerable to damage or interruption from earthquakes, fires, floods, power losses, telecommunications failures, terrorist attacks, acts of war, human errors, criminal acts, public health crises, such as pandemics and epidemics, and other similar events. These risks are particularly substantial because we conduct substantially all of our operations from one location. We maintain casualty and business interruption insurance, but it may not adequately protect us from the types and amounts of losses we may incur or from the adverse effect that may be caused by significant disruptions in our product distribution, such as the long-term loss of customers or an erosion of our brand image. In addition, the facilities of certain of our contract manufacturers and other suppliers are subject to the same and additional risks, especially since some of them are located in parts of Asia that experience typhoons, earthquakes, other natural disasters, and public health crises. For example, most of our third-party contract manufacturers and suppliers related to our outdoor and accessory products are located in Asia, primarily China, and, to a lesser extent, Taiwan and Japan, and, at this point, the extent to which COVID-19 may impact our results is uncertain, but it could negatively impact our business.</w:t>
      </w:r>
    </w:p>
    <w:p>
      <w:pPr>
        <w:spacing w:after="0" w:line="18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computer systems may also be vulnerable to computer viruses, criminal acts, denial-of-service attacks, ransomware, and similar disruptions from unauthorized tampering with our computer systems, which could lead to interruptions, delays, or loss of critical data. As we rely heavily on our information technology and communications systems and the Internet to conduct our business and provide high-quality customer service, these disruptions could harm our ability to run our business and either directly or indirectly disrupt our suppliers’ or manufacturers’ businesses, which could harm our business, operating results,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Interruptions in the proper functioning of our information systems or other issues with our ERP systems could cause disruption to our operations.</w:t>
      </w:r>
    </w:p>
    <w:p>
      <w:pPr>
        <w:spacing w:after="0" w:line="144"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rely extensively on our information systems to manage our business, data, communications, supply chain, ordering, pricing, billing, inventory replenishment, accounting functions, and other processes. Our systems are subject to damage or interruption from various sources, including power outages, computer and telecommunications failures, computer viruses, cyber security breaches, vandalism, severe weather conditions, catastrophic events, terrorism, and human error, and our disaster recovery planning cannot account for all eventualities. If our systems are damaged, fail to function properly, or otherwise become compromised or unavailable, we may incur substantial costs to repair or replace them, and we may experience loss of critical data and interruptions or delays in our ability to perform critical functions, which could adversely affect our business, operating results, and financial condition.</w:t>
      </w:r>
    </w:p>
    <w:p>
      <w:pPr>
        <w:spacing w:after="0" w:line="16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Our information technology systems require periodic modifications, upgrades, and replacement that subject us to costs and risks, including potential disruption to our internal control structure, substantial capital expenditures, additional administration and operating expenses, retention of sufficiently skilled personnel or outside firms to implement and operate existing or new systems, and other risks and costs of delays or difficulties in transitioning to new or modified systems or of integrating new or modified systems into our current systems. In addition, challenges implementing new or modified technology systems may cause disruptions in our business operations and have an adverse effect on our business operations if not anticipated and appropriately mitigated.</w:t>
      </w:r>
    </w:p>
    <w:p>
      <w:pPr>
        <w:spacing w:after="0" w:line="19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All businesses in our Firearm division and most businesses in our OP&amp;A division operate under SAP, which is a fully integrated ERP system. We continue to implement various modules and additional usages of SAP. Any of those implementations could result in a major disruption to our business, and any disruption could have a negative effect on our business, operating results, and financial condition. In addition, utilizing SAP has required and will continue to require significant resources and refinement to fully realize the expected benefits of the system.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spacing w:after="0" w:line="282" w:lineRule="auto"/>
        <w:rPr>
          <w:sz w:val="20"/>
          <w:szCs w:val="20"/>
          <w:color w:val="auto"/>
        </w:rPr>
      </w:pPr>
      <w:r>
        <w:rPr>
          <w:rFonts w:ascii="Arial" w:cs="Arial" w:eastAsia="Arial" w:hAnsi="Arial"/>
          <w:sz w:val="18"/>
          <w:szCs w:val="18"/>
          <w:b w:val="1"/>
          <w:bCs w:val="1"/>
          <w:color w:val="auto"/>
        </w:rPr>
        <w:t>Breaches of our information systems could adversely affect our reputation, disrupt our operations, and result in increased costs and loss of revenue.</w:t>
      </w:r>
    </w:p>
    <w:p>
      <w:pPr>
        <w:spacing w:after="0" w:line="5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There have been an increasing number of cyber security incidents affecting companies around the world, which have caused operational failures or compromised sensitive or confidential corporate data. Although we do not believe our systems are at a greater risk of cyber security incidents than other similar organizations, such cyber security incidents may result in the loss or compromise of customer, financial, or operational data; loss of assets; disruption of billing, collections, or normal operating activities; disruption of electronic monitoring and control of operational systems; and delays in financial reporting and other management functions. In addition, acquisitions of smaller, closely held companies could increase our risk as they often lack the systems, policies, procedures, and controls of larger companies. Possible impacts associated with cyber security incidents (which generally are increasing in both frequency and sophistication) may include, among others, remediation costs related to lost, stolen, or compromised data; repairs to data processing systems; increased cyber security protection costs; reputational damage; lawsuits seeking damages; regulatory actions; and adverse effects on our compliance with applicable privacy and other laws and regulations. Such occurrences could have an adverse effect on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sales.</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operate in intensely competitive consumer markets that are characterized by competition from major domestic and international companies. This intense competition could result in pricing pressures, lower sales, reduced margins, and lower market share. Some of our competitors may have greater financial, technical, marketing, distribution, and other resources and, in certain cases, may have lower cost structures than we possess that may afford them competitive advantages. As a result, they may be able to devote greater resources to the promotion and sale of products, negotiate lower prices on raw materials and components, deliver competitive products at lower prices, and introduce new products and respond to customer requirements more effectively and quickly than we can.</w:t>
      </w:r>
    </w:p>
    <w:p>
      <w:pPr>
        <w:spacing w:after="0" w:line="19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Competition in the consumer products industry is primarily based on innovation, quality, reliability, durability, price, performance, consumer brand awareness, and customer service and support. Our inability to compete in one or more of these areas could have a negative impact on our business, operating results, and financial condition.</w:t>
      </w:r>
    </w:p>
    <w:p>
      <w:pPr>
        <w:spacing w:after="0" w:line="2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Acquisitions involve significant risks, and any acquisitions that we undertake in the future could be difficult to integrate, disrupt our business, dilute stockholder value, and harm our operating results.</w:t>
      </w:r>
    </w:p>
    <w:p>
      <w:pPr>
        <w:spacing w:after="0" w:line="5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may expand our operations through acquisitions in order to enhance our existing products and offer new products, enter new markets and businesses, strengthen and avoid interruption from our supply chain, and improve our position in current markets and businesses. Acquisitions involve significant risks and uncertainties. We cannot accurately predict the timing, size, and success of any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also may become more difficult in the future as we or others acquire the most attractive candidates. Unforeseen expenses, difficulties, and delays frequently encountered in connection with expansion through acquisitions could inhibit our growth and negatively impact our business, operating results, and financial condition.</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ability to complete acquisitions that we desire to make in the future will depend upon various factors, including the following:</w:t>
      </w:r>
    </w:p>
    <w:p>
      <w:pPr>
        <w:spacing w:after="0" w:line="117" w:lineRule="exact"/>
        <w:rPr>
          <w:sz w:val="20"/>
          <w:szCs w:val="20"/>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suitable acquisition candidates at attractive purchase prices;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compete effectively for available acquisition opportunities;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left="1300" w:hanging="44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cash resources, borrowing capacity, or other forms of consideration at favorable pricing that would enable us to offer the required acquisition purchase prices;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management to devote sufficient attention to acquisition efforts;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obtain any requisite governmental or other approvals.</w:t>
      </w:r>
    </w:p>
    <w:p>
      <w:pPr>
        <w:spacing w:after="0" w:line="225"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In our OP&amp;A division, we plan to pursue acquisitions of companies involved in what we consider the rugged outdoor market (which may include shooting, hunting, fishing, camping, hiking, personal security and defense, and a variety of other outdoor recreational and leisure activities), companies that perform manufacturing services for us or supply us with components or materials, and other businesses that we regard as complementary to our business. We may have little or no experience with certain acquired businesses, which could involve significantly different supply chains, production techniques, customers, and competitive factors than our current business. This lack of experience would require us to rely to a great extent on the management teams of these acquired businesses. These acquisitions also could require us to make significant investments in systems, equipment, facilities, and personnel in anticipation of growth. These costs could be essential to implement our growth strategy in supporting our expanded activities and resulting corporate structure changes. We may be unable to achieve some or all of the benefits that we expect to achieve as we expand into these new markets within the time frames we expect, if at all. If we fail to achieve some or all of the benefits that we expect to achieve as we expand into these new markets, or do not achieve them within the time frames we expect, our business, operating results, and financial condition could be adversely affected.</w:t>
      </w:r>
    </w:p>
    <w:p>
      <w:pPr>
        <w:spacing w:after="0" w:line="168"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As a part of any potential acquisition, we may engage in discussions with various acquisition candidates. In connection with these discussions, we and each potential acquisition candidate may exchange confidential operational and financial information, conduct due diligence inquiries, and consider the structure, terms, and conditions of the potential acquisition. In certain cases, the prospective acquisition candidate may agree not to discuss a potential acquisition with any other party for a specific period of time and agree to take other actions designed to enhance the possibility of the acquisition, such as preparing audited financial information. Potential acquisition discussions frequently take place over a long period of time and involve difficult business integration and other issues. As a result of these and other factors, a number of potential acquisitions that from time-to-time appear likely to occur do not result in binding legal agreements and are not consummated, but may result in increased legal, consulting, and other costs.</w:t>
      </w:r>
    </w:p>
    <w:p>
      <w:pPr>
        <w:spacing w:after="0" w:line="16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Unforeseen expenses, difficulties, and delays frequently encountered in connection with future acquisitions could inhibit our growth and negatively impact our profitability. Any future acquisitions may not meet our strategic objectives or perform as anticipated. In addition, the size, timing, and success of any future acquisitions may cause substantial fluctuations in our operating results from quarter to quarter. These interim fluctuations could adversely affect the market price of our common stock.</w:t>
      </w:r>
    </w:p>
    <w:p>
      <w:pPr>
        <w:spacing w:after="0" w:line="18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If we finance any future acquisitions in whole or in part through the issuance of common stock or securities convertible into or exercisable for common stock, existing stockholders will experience dilution in the voting power of their common stock and earnings per share could be negatively impacted. The extent to which we will be able or willing to use our common stock for acquisitions will depend on the market price of our common stock from time-to-time and the willingness of potential acquisition candidates to accept our common stock as full or partial consideration for the sale of their businesses. Our inability to use our common stock as consideration, to generate cash from operations, or to obtain additional funding through debt or equity financings in order to pursue an acquisition could limit our growth.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potential.</w:t>
      </w:r>
    </w:p>
    <w:p>
      <w:pPr>
        <w:spacing w:after="0" w:line="12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have entered into strategic alliances in the past and anticipate that we will enter into new strategic alliances in the future. We continue to explore strategic alliances designed to expand our product offerings, enter new markets, and improve our distribution channels. Our existing strategic alliances and any new strategic alliances may not achieve their intended objectives, and parties to our strategic alliances may not perform as contemplated. The failure of these alliances may impede our ability to introduce new products and enter new markets.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spacing w:after="0" w:line="282" w:lineRule="auto"/>
        <w:rPr>
          <w:sz w:val="20"/>
          <w:szCs w:val="20"/>
          <w:color w:val="auto"/>
        </w:rPr>
      </w:pPr>
      <w:r>
        <w:rPr>
          <w:rFonts w:ascii="Arial" w:cs="Arial" w:eastAsia="Arial" w:hAnsi="Arial"/>
          <w:sz w:val="18"/>
          <w:szCs w:val="18"/>
          <w:b w:val="1"/>
          <w:bCs w:val="1"/>
          <w:color w:val="auto"/>
        </w:rPr>
        <w:t>Our recent acquisitions and any acquisitions that we undertake in the future could be difficult to integrate, disrupt our business, and harm our operations.</w:t>
      </w:r>
    </w:p>
    <w:p>
      <w:pPr>
        <w:spacing w:after="0" w:line="58"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have a history of acquiring businesses, having spent approximately $400.0 million on acquisitions in the last five fiscal years. In order to pursue successful acquisitions, we may need to integrate the operations of acquired businesses into our operations, including centralizing certain functions to achieve cost savings and pursuing programs and processes that leverage our sales and growth opportunities. In fiscal 2017, we acquired Crimson Trace Corporation and the assets of Taylor Brands, LLC and Ultimate Survival Technologies, Inc. In fiscal 2018, we acquired the assets of Gemini Technologies, Incorporated and Fish Tales, LLC. In fiscal 2019, we acquired LaserLyte branded products from P&amp;L Industries Inc. The integration of the management, operations, and facilities of acquired businesses with our own could involve difficulties, which could adversely affect our growth rate and operating results.</w:t>
      </w:r>
    </w:p>
    <w:p>
      <w:pPr>
        <w:spacing w:after="0" w:line="164"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may be unable to effectively complete an integration of the management, operations, facilities, accounting, and information systems of acquired businesses with our own; to implement effective controls to mitigate legal and business risks with which we have no prior experience; to manage efficiently the combined operations of the acquired businesses with our operations; to achieve our operating, growth, and performance goals for acquired businesses; to achieve additional sales as a result of our expanded operations; or to achieve operating efficiencies or otherwise realize cost savings as a result of anticipated acquisition synergies. The integration of acquired businesses involves numerous risks and uncertainties, including the following:</w:t>
      </w:r>
    </w:p>
    <w:p>
      <w:pPr>
        <w:spacing w:after="0" w:line="53" w:lineRule="exact"/>
        <w:rPr>
          <w:sz w:val="20"/>
          <w:szCs w:val="20"/>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acquired businesses to achieve expected results;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disruption of our core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increased regulatory or compliance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than anticipated costs and expenses related to the integration of the acquired businesses with our business;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weak internal controls over information technology systems and associated cyber security risks;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the challenges inherent in effectively managing an increased number of employees in diverse locations;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challenge of creating uniform standards, controls, procedures, policies, and information systems.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goodwill, intangible assets, or long-lived assets become impaired, we may be required to record a significant charge to earnings.</w:t>
      </w:r>
    </w:p>
    <w:p>
      <w:pPr>
        <w:spacing w:after="0" w:line="133"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We review our goodwill, intangible assets, and long-lived assets (collectively, “tested assets”) for impairment annually or when events or changes in circumstances indicate the carrying value may not be recoverable. After such review, we may be required to record a significant charge to our financial statements during the period in which such impairment of our tested assets is determined, negatively impacting our results of operations. As of our valuation date, </w:t>
      </w:r>
      <w:r>
        <w:rPr>
          <w:rFonts w:ascii="Arial" w:cs="Arial" w:eastAsia="Arial" w:hAnsi="Arial"/>
          <w:sz w:val="18"/>
          <w:szCs w:val="18"/>
          <w:color w:val="212529"/>
        </w:rPr>
        <w:t>February 1, 2020, our Firearms operating unit had $19.0 million of goodwill and its fair value significantly exceeded its carrying value. Our</w:t>
      </w:r>
      <w:r>
        <w:rPr>
          <w:rFonts w:ascii="Arial" w:cs="Arial" w:eastAsia="Arial" w:hAnsi="Arial"/>
          <w:sz w:val="18"/>
          <w:szCs w:val="18"/>
          <w:color w:val="auto"/>
        </w:rPr>
        <w:t xml:space="preserve"> </w:t>
      </w:r>
      <w:r>
        <w:rPr>
          <w:rFonts w:ascii="Arial" w:cs="Arial" w:eastAsia="Arial" w:hAnsi="Arial"/>
          <w:sz w:val="18"/>
          <w:szCs w:val="18"/>
          <w:color w:val="212529"/>
        </w:rPr>
        <w:t>Outdoor Products &amp; Accessories operating unit had $163.2 million of goodwill and its fair value exceeded its carrying value by approximately 1.5%. On March 23, 2020, we determined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8"/>
          <w:szCs w:val="18"/>
          <w:color w:val="212529"/>
        </w:rPr>
        <w:t>that business in our Outdoor Products &amp; Accessories segment was expected to be negatively impacted by several factors related to the COVID-19 pandemic, including a major online retail customer’s decision to halt or delay most non-essential product orders, COVID-19-related supply chain issues, as well as COVID-19-related “stay at home” orders and sporting goods store closures, which reduced retail foot traffic in many states. Given the extreme market volatility, we relied solely on the income approach to derive the current value of the Outdoor Products &amp; Accessories segment. Based on these factors, we expect reduced cash flows in our Outdoor Products &amp; Accessories segment, and we believe this constituted a triggering event under generally accepted accounting principles. Based on the results of this evaluation, we recorded a non-cash impairment charge of $98.7 million of goodwill in our Outdoor Products &amp; Accessories segment. Although we concluded that there was no additional impairment of the goodwill associated with our operating units as of April 30, 2020, we will continue to closely monitor their performance and related market conditions for future indicators of potential impairment and reassess accordingly. Our assumptions related to the development of fair value could deviate materially from actual results and forecasts used to support asset carrying values may change in the future, which could result in non-cash charges that would adversely affect our financial results of operations.</w:t>
      </w:r>
    </w:p>
    <w:p>
      <w:pPr>
        <w:spacing w:after="0" w:line="19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During the third quarter of fiscal 2019, we assessed and recorded a $10.4 million impairment charge related to the goodwill of our Electro Optics operating unit, which was subsequently restructured and combined into our Outdoor Product &amp; Accessories operating unit. As of April 30, 2020, our Firearms and Outdoor Products &amp; Accessories operating units had tested assets of $19.0 million and $64.6 million, respectively. For further discussion of the valuation of tested assets, see Note 3 —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our consolidated financial statements. Factors that may be considered a change in circumstances, indicating that the carrying value of our tested assets may be reduced or otherwise not be recoverable, include, but are not limited to, general economic conditions, changes in regulations, reduced future cash flow estimates, slower growth rates, changes in the competitive environment for our products, and the success of new products.</w:t>
      </w:r>
    </w:p>
    <w:p>
      <w:pPr>
        <w:spacing w:after="0" w:line="200" w:lineRule="exact"/>
        <w:rPr>
          <w:sz w:val="20"/>
          <w:szCs w:val="20"/>
          <w:color w:val="auto"/>
        </w:rPr>
      </w:pPr>
    </w:p>
    <w:p>
      <w:pPr>
        <w:spacing w:after="0" w:line="207"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b w:val="1"/>
          <w:bCs w:val="1"/>
          <w:color w:val="auto"/>
        </w:rPr>
        <w:t>We have identified a material weakness in our Internal control over financial reporting that may, if not remediated, result in material misstatements in our financial statements.</w:t>
      </w:r>
    </w:p>
    <w:p>
      <w:pPr>
        <w:spacing w:after="0" w:line="166" w:lineRule="exact"/>
        <w:rPr>
          <w:sz w:val="20"/>
          <w:szCs w:val="20"/>
          <w:color w:val="auto"/>
        </w:rPr>
      </w:pPr>
    </w:p>
    <w:p>
      <w:pPr>
        <w:ind w:right="40" w:firstLine="864"/>
        <w:spacing w:after="0" w:line="287" w:lineRule="auto"/>
        <w:rPr>
          <w:sz w:val="20"/>
          <w:szCs w:val="20"/>
          <w:color w:val="auto"/>
        </w:rPr>
      </w:pPr>
      <w:r>
        <w:rPr>
          <w:rFonts w:ascii="Arial" w:cs="Arial" w:eastAsia="Arial" w:hAnsi="Arial"/>
          <w:sz w:val="16"/>
          <w:szCs w:val="16"/>
          <w:color w:val="auto"/>
        </w:rPr>
        <w:t>We are responsible for establishing and maintaining adequate internal control over our financial reporting, as defined in Rule 13a-15(f) under the Securities Exchange Act of 1934. As disclosed in Item 9A, “Controls and Procedures,” we identified a material weakness in our control over financial reporting related to the income tax treatment associated with goodwill impairment.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the material weakness, we concluded that our internal control over financial reporting and related disclosure controls and procedures were not effective based on criteria set forth by the Committee of Sponsoring Organizations of the Treadway Commission. The material weakness did not result in any identified misstatements to the financial statements, and there were no changes to previously issued financial results. We are actively engaged in developing a remediation plan designed to address this material weakness; however, we cannot guarantee that these steps have been sufficient or that we will not have a material weakness in the future. If our remedial measures are insufficient to address the material weakness, or if additional material weaknesses in our internal control are discovered or occur in the future, our financial statements may contain material misstatements and we could be required to restate our financial statements.</w:t>
      </w:r>
    </w:p>
    <w:p>
      <w:pPr>
        <w:spacing w:after="0" w:line="2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growth strategy may require significant additional funds, the amount of which will depend upon our working capital and general corporate needs.</w:t>
      </w:r>
    </w:p>
    <w:p>
      <w:pPr>
        <w:spacing w:after="0" w:line="58"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Any substantial borrowings made to finance operations or future acquisitions could make us more vulnerable to a downturn in our operating results, a downturn in economic conditions, or increases in interest rates on borrowings. If our cash flow from operations is insufficient to meet our debt service requirements, we could be required to sell additional equity securities, refinance our obligations, or dispose of assets in order to meet our debt service requirements. Adequate financing may not be available if and when we need it or may not be available on terms acceptable to us. In addition, certain banks may refuse to do business with us even if we are a creditworthy customer. The failure to obtain sufficient financing on favorable terms and conditions could have a material adverse effect on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ind w:firstLine="589"/>
        <w:spacing w:after="0" w:line="279" w:lineRule="auto"/>
        <w:rPr>
          <w:sz w:val="20"/>
          <w:szCs w:val="20"/>
          <w:color w:val="auto"/>
        </w:rPr>
      </w:pPr>
      <w:r>
        <w:rPr>
          <w:rFonts w:ascii="Arial" w:cs="Arial" w:eastAsia="Arial" w:hAnsi="Arial"/>
          <w:sz w:val="17"/>
          <w:szCs w:val="17"/>
          <w:color w:val="auto"/>
        </w:rPr>
        <w:t>From time to time, we may seek additional equity or debt financing to provide funds for the expansion of our business. We cannot predict the timing or amount of any such financing requirements at this time. If such financing is not available on satisfactory terms, we may be unable to expand our business or to develop new business at the rate desired, and our operating results may suffer. Debt financing increases expenses and must be repaid regardless of operating results. Equity financing could result in additional dilution to existing stockholders.</w:t>
      </w:r>
    </w:p>
    <w:p>
      <w:pPr>
        <w:spacing w:after="0" w:line="17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As of April 30, 2020, we had $160.0 million of long-term borrowings outstanding on our revolving line of credit. The degree to which we are leveraged could adversely affect our ability to obtain further financing for working capital, acquisitions, or other purposes and could make us more vulnerable to industry downturns and competitive pressures. Our ability to meet our debt service obligations will depend upon our future performance, which will be subject to the financial condition, business environment, and other factors affecting our operations, many of which are beyond our control.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manage our growth could adversely affect our operations.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To continue to expand our business and strengthen our competitive position, we must make significant investments in systems, equipment, facilities, and personnel. In addition, we may commit significant funds to increase our sales, marketing, information technology, and research and development efforts in order to expand our business. As a result of the increase in fixed costs and operating expenses, our failure to increase sufficiently our net sales to offset these increased costs could adversely affect our operating results.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failure to manage our growth effectively could adversely affect our operations. We have substantially increased the number of our manufacturing and design programs and plan to further expand the number and diversity of our programs in the future. Managing our planned growth effectively will require us to:</w:t>
      </w:r>
    </w:p>
    <w:p>
      <w:pPr>
        <w:spacing w:after="0" w:line="76" w:lineRule="exact"/>
        <w:rPr>
          <w:sz w:val="20"/>
          <w:szCs w:val="20"/>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our operational, financial, and management systems;</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our facilities and purchase additional equipment, which will include ongoing modernization and expansion of our Springfield, Massachusetts, Deep River, Connecticut, and Houlton, Maine facilities;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the anticipated benefits of our new national logistics facility; and</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hire, train, and motivate additional employees, including additional personnel for our technological, sales, and marketing efforts.</w:t>
      </w:r>
    </w:p>
    <w:p>
      <w:pPr>
        <w:spacing w:after="0" w:line="170"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expansion of our products and customer base may result in increases in our overhead and selling expenses. We also may be required to increase staffing and other expenses as well as our expenditures on capital equipment and leasehold improvements in order to meet the demand for our products. Any increase in expenditures in anticipation of future sales that do not materialize would adversely affect our profitability.</w:t>
      </w: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highly dependent upon our brand recognition and reputation, and the failure to maintain or strengthen our brand recognition or reputation would likely have a material adverse effect on our business.</w:t>
      </w:r>
    </w:p>
    <w:p>
      <w:pPr>
        <w:spacing w:after="0" w:line="5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brand recognition and reputation are critical aspects of our business. We believe that maintaining and further enhancing all of our brands is critical to retaining existing customers and attracting new customers. We also believe that the importance of our brand recognition and reputation will continue to increase as competition in our markets continues to develop.</w:t>
      </w:r>
    </w:p>
    <w:p>
      <w:pPr>
        <w:spacing w:after="0" w:line="184"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We anticipate that our advertising, marketing, and promotional efforts will increase in the foreseeable future as we continue to seek to enhance our brand recognition and the consumer demand for our products. Historically, we have relied on print and electronic media advertising to increase consumer awareness of our brands to increase purchasing intent and conversation. We anticipate that we will increasingly rely on other forms of media advertising, including social media and digital marketing. Our future growth and profitability will depend in large part upon the effectiveness and efficiency of our advertising, promotion, public relations, and marketing programs. These brand promotion activities may not yield increased revenue and the efficacy of these activities will depend on a number of factors, including our ability to do the following: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1300" w:hanging="442"/>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determine the appropriate creative message and media mix and markets for advertising, marketing, and promotional expenditures;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 the right markets, media, and specific media vehicles in which to advertise;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 media, and specific media vehicle;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effectively manage marketing costs, including creative and media expenses, in order to maintain acceptable customer acquisition costs.</w:t>
      </w:r>
    </w:p>
    <w:p>
      <w:pPr>
        <w:spacing w:after="0" w:line="24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costs, which in turn could adversely affect our operating results. 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and conversation or result in increased revenue. Even if our marketing and advertising expenses result in increased revenue,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customer base could be adversely affected, and our business, operating results, financial condition, and reputation could suffer.</w:t>
      </w:r>
    </w:p>
    <w:p>
      <w:pPr>
        <w:spacing w:after="0" w:line="185"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In addition, we may determine that certain of our products and brands benefit from endorsements and support from particular sporting enthusiasts, athletes, or other celebrities, and those products and brands may become personally associated with those individuals. As a result, sales of the endorsed products could be materially and adversely affected if any of those individuals’ images, reputations, or popularity were to be negatively impacted.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could be materially harmed if we are unable to forecast demand for our products accurately.</w:t>
      </w:r>
    </w:p>
    <w:p>
      <w:pPr>
        <w:spacing w:after="0" w:line="121"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We often schedule internal production and place orders for finished products, product components, and raw materials with third-party suppliers before receiving firm orders from our customers. If we fail to accurately forecast customer demand, we may experience excess inventory levels or a shortage of products to deliver to our customers. Factors that could affect our ability to accurately forecast demand for our products include the following:</w:t>
      </w:r>
    </w:p>
    <w:p>
      <w:pPr>
        <w:spacing w:after="0" w:line="41" w:lineRule="exact"/>
        <w:rPr>
          <w:sz w:val="20"/>
          <w:szCs w:val="20"/>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accurately forecast customer acceptance of new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or decrease in consumer demand for our products or for the products of our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introductions by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relationships with customers;</w:t>
      </w:r>
    </w:p>
    <w:p>
      <w:pPr>
        <w:spacing w:after="0" w:line="117"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other factors, which may result in cancellations of orders or a reduction or increase in the rate of reorders placed by customers;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economic conditions, and consumer confidence levels, which could reduce demand for discretionary items, such as our products;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domestic political environment, including debates over the regulation of various consumer products, such as firearms.</w:t>
      </w:r>
    </w:p>
    <w:p>
      <w:pPr>
        <w:spacing w:after="0" w:line="22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Inventory levels in excess of customer demand may result in inventory write-downs and the sale of excess inventory at discounted prices, which could have an adverse effect on our business, operating results, and financial condition. If we underestimate demand for our products, we and our third-party suppliers may not be able to produce products to meet customer demand, and this could result in delays in the shipment of products and lost revenues,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well as damage to our reputation and customer relationships. We may not be able to manage inventory levels successfully to meet future order and reorder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inability to expand our e-commerce business could reduce our future growth.</w:t>
      </w:r>
    </w:p>
    <w:p>
      <w:pPr>
        <w:spacing w:after="0" w:line="135"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Consumers are increasingly shopping online via e-commerce retailers, and we face intense pressure to make our non-firearm products readily and conveniently available via e-commerce services. Our success in participating in e-commerce depends on our ability to effectively use our marketing resources to communicate with existing and potential customers. To increase our e-commerce sales, we may have to be more promotional to compete, which could impact our gross margin and increase our marketing expenses. We recently developed and continue to enhance our direct-to-consumer e-commerce platform, but rely to an extent on third party e-commerce websites to sell our products, which could lead to our e-commerce customers being able to have control over the pricing of our products. This in turn could lead to adverse relationship consequences with our customers that operate brick and mortar locations as they may perceive themselves to be at a disadvantage based on the e-commerce pricing to end consumers. There is no assurance that we will be able to successfully expand our e-commerce business and respond to shifting consumer traffic patterns and direct-to-consumer buying trends.</w:t>
      </w:r>
    </w:p>
    <w:p>
      <w:pPr>
        <w:spacing w:after="0" w:line="165"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addition, e-commerce and direct-to-consumer operations are subject to numerous risks, including implementing and maintaining appropriate technology to support business strategies; reliance on third-party computer hardware/software and service providers; data breaches; violations of federal, state, and international laws, including those relating to online privacy, credit card fraud, telecommunication failures, electronic break-ins, and similar disruptions; and disruptions of Internet service. Our inability to adequately respond to these risks and uncertainties or to successfully maintain and expand our direct-to-consumer business may have an adverse impact on our operating results.</w:t>
      </w:r>
    </w:p>
    <w:p>
      <w:pPr>
        <w:spacing w:after="0" w:line="1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plan to continue to expand our brand recognition and product loyalty through social media and our websites, with generation of original content. These efforts are intended to yield greater traffic to our websites and increase our direct-to-consumer revenue. By doing so, we will become to an extent a competitor to our customers, reducing their revenue in the process. This could lead to adverse relationships with our online and brick and mortar retail customers, which could have an adverse impact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outdoor products revenue depends on a small number of large customers</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sell our outdoor products and accessories through online retailers, sport specialty stores, sporting goods stores, dealers and distributors, and mass market home and auto retailers. Our two largest customers in our OP&amp;A segment accounted for an aggregate of 36.4% of our OP&amp;A revenue for fiscal 2020. Of these customers, the world’s largest e-commerce retailer accounted for 24.9% of our revenue in the OP&amp;A segment through its very extensive customer base of end consumers; and a very large national sport specialty chain accounted for 11.5% of our revenue in that segment through its retail locations.</w:t>
      </w:r>
    </w:p>
    <w:p>
      <w:pPr>
        <w:spacing w:after="0" w:line="188"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Although we have long-established relationships with many of our customers, we generally do not have any long-term supply or binding contracts or guarantees of minimum purchases with our customers. Purchases by our customers are generally made through individual purchase orders. As a result, these customers may cancel their orders, change purchase quantities from forecast volumes, delay purchases for a number of reasons beyond our control, or change other terms of the business relationship. Significant or numerous cancellations, reductions, or delays in purchases or changes in business practices by our customers could have a material adverse effect on our business, operating results, and financial condition. In addition, because many of our costs are fixed, a reduction in customer demand could have an adverse effect on our gross profit margins and operating income.</w:t>
      </w:r>
    </w:p>
    <w:p>
      <w:pPr>
        <w:spacing w:after="0" w:line="164"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A significant deterioration in the financial condition of our major customers could have a material adverse effect on our sales and profitability. We regularly monitor and evaluate the credit status of our customers and attempt to adjust sales terms as appropriate. Despite these efforts, substantial financial issues or a bankruptcy filing by a key customer could have a material adverse effect on our business, operating results, and financial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Retail pricing decisions made by certain of our customers could negatively impact pricing for our products in certain online marketplaces.</w:t>
      </w:r>
    </w:p>
    <w:p>
      <w:pPr>
        <w:spacing w:after="0" w:line="133"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Many of our non-firearms customers have manual or automated processes to match retail prices in the marketplace. We have a policy that requires our customers to maintain minimum advertised pricing on certain of our products, unless we allow otherwise. This policy serves to help stabilize the pricing for our products at retail. If a customer decreases its retail prices below our minimum threshold, other retailers could also reduce pricing on the same product, thus devaluing that product in the marketplace. This practice could cause us to lower our prices to customers or to compensate them financially for the loss in their inventory value, and, therefore, this could yield an adverse effect on our business, operating results, and financial condition.</w:t>
      </w:r>
    </w:p>
    <w:p>
      <w:pPr>
        <w:spacing w:after="0" w:line="2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retail industry and the markets for consumer products could negatively impact existing customer relationships and our operating results.</w:t>
      </w:r>
    </w:p>
    <w:p>
      <w:pPr>
        <w:spacing w:after="0" w:line="5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recent years, the retail industry has experienced consolidation and other ownership changes. In the future, retailers may further consolidate, undergo restructurings or reorganizations, realign their affiliations, or reposition the target markets for their stores. These developments could result in a reduction in the number of retailers that carry our products, increased ownership concentration within the retail industry, increased credit exposure, and increased retailer leverage over their suppliers, such as us. These changes could impact our opportunities in the market and increase our reliance on a smaller number of large customers.</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depend on a continuous flow of new orders from large, high-volume retail customers, but we may be unable to continually meet the needs of these customers. Retailers are increasing their demands on suppliers to take various actions, including the following:</w:t>
      </w:r>
    </w:p>
    <w:p>
      <w:pPr>
        <w:spacing w:after="0" w:line="62" w:lineRule="exact"/>
        <w:rPr>
          <w:sz w:val="20"/>
          <w:szCs w:val="20"/>
          <w:color w:val="auto"/>
        </w:rPr>
      </w:pPr>
    </w:p>
    <w:p>
      <w:pPr>
        <w:ind w:left="1300" w:hanging="442"/>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 lead times for product delivery, which may require us to increase inventories and could impact the timing of reported sales;</w:t>
      </w:r>
    </w:p>
    <w:p>
      <w:pPr>
        <w:spacing w:after="0" w:line="128"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fulfill their direct-to-consumer website orders, or drop shipping, which could increase our cost per unit, lead to higher inventory levels, and increase freight costs;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customer service in which products are supplied directly to retailers from third-party suppliers;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 technologies related to inventory management that may have substantial implementation costs.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cannot provide any assurance that we can continue to successfully meet the needs of our customers. A substantial decrease in sales to any of our major customers could have a material adverse effect on our business, operating results, and financial condition.</w:t>
      </w:r>
    </w:p>
    <w:p>
      <w:pPr>
        <w:spacing w:after="0" w:line="17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As a result of the desire of retailers to more closely manage inventory levels, there is a growing trend among retailers to make purchases on a “just-in-time” basis. This requires us to shorten our lead times for production in certain cases and more closely anticipate demand, which could, in the future, require us to carry additional inventories. We also may be negatively affected by changes in the policies of our retail customers, such as inventory destocking, limitations on access to and time on shelf space, use of private label brands, price demands, payment terms, and other conditions, which could negatively impact our business, operating results, and financial condition.</w:t>
      </w:r>
    </w:p>
    <w:p>
      <w:pPr>
        <w:spacing w:after="0" w:line="188"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These foregoing factors could result in a shift of bargaining power to the retail industry and in fewer outlets for our products. Further consolidations could result in price and other competition that could reduce our margins and our net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collecting amounts owed to us.</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Certain of our customers have experienced, and may in the future experience, credit-related issues. We perform ongoing credit evaluations of customers, but these evaluations may not be completely effective. We grant payment terms to most customers ranging from 20 to 90 days and do not generally require collateral. However, in some instances we provide longer payment terms, particularly as it relates to our hunting products. Should more customers than we anticipate experience liquidity issues, or if payment is not received on a timely basis, we may have difficulty collecting amounts owed to us by such customers and our business, operating results, and financial condition could be adversely impacted.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firstLine="589"/>
        <w:spacing w:after="0" w:line="257" w:lineRule="auto"/>
        <w:rPr>
          <w:sz w:val="20"/>
          <w:szCs w:val="20"/>
          <w:color w:val="auto"/>
        </w:rPr>
      </w:pPr>
      <w:r>
        <w:rPr>
          <w:rFonts w:ascii="Arial" w:cs="Arial" w:eastAsia="Arial" w:hAnsi="Arial"/>
          <w:sz w:val="18"/>
          <w:szCs w:val="18"/>
          <w:color w:val="auto"/>
        </w:rPr>
        <w:t>For the year ended April 30, 2020, one of our customers accounted for approximately 10.5% of our net sales but did not exceed 10% of our accounts receivable. Three other customers each had greater than 10% of our accounts receivable and combined for a total of 37.7%. For the fiscal year ended April 30, 2019, none of our customers exceeded 10% of our net sales and one of our customers accounted for approximately 19.8% of our accounts receivable. For the fiscal year ended April 30, 2018, one of our customers accounted for 11.9% of our net sales and none of our customers accounted for 10% or more of our accounts receivable.</w:t>
      </w:r>
    </w:p>
    <w:p>
      <w:pPr>
        <w:spacing w:after="0" w:line="18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Through our growth strategy, our sales could become increasingly dependent on purchases by several large retail customers. Consolidation in the retail industry could also adversely affect our business. If our sales were to become increasingly dependent on business with several large retailers, we could experience more concentrated credit-related risks and be adversely affected by the loss or a significant decline in sales to one or more of these customers. In addition, our dependence on a smaller group of retailers could result in their increased bargaining position and pressures on the prices we charge.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payment-related risks</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We accept a variety of payment methods, including credit cards, debit cards, electronic funds transfers, electronic payment systems, and gift cards. Accordingly, we are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there is a breach or compromise of our data security systems, we may be liable for losses incurred by card issuing banks or customers, subject to fines and higher transaction fees, or the loss of our ability to accept credit or debit card payments from our customers or process electronic fund transfers or facilitate other types of payments. Any failure to comply could significantly harm our brand, reputation, business, operating results, and financial condition.</w:t>
      </w:r>
    </w:p>
    <w:p>
      <w:pPr>
        <w:spacing w:after="0" w:line="2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protect our intellectual property or obtain the right to use intellectual property from third parties could impair our competitive advantage, reduce our sales, and increase our costs.</w:t>
      </w:r>
    </w:p>
    <w:p>
      <w:pPr>
        <w:spacing w:after="0" w:line="5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Our success and ability to compete depend in part on our ability to protect our intellectual property. We rely on a combination of patents, copyrights, trade secrets, trademarks, trade dress, customer records, monitoring, brand protection services, confidentiality agreements, and other contractual provisions to protect our intellectual property, but these measures may provide only limited protection. Our failure to enforce and protect our intellectual property rights or obtain the right to use necessary intellectual property from third parties may lead to our loss of trademark and service mark rights, brand loyalty, and notoriety among our customers and prospective customers. The scope of any intellectual property to which we have or may obtain rights may not prevent others from developing and selling competing products. In addition, our intellectual property may be held invalid upon challenge, or others may claim rights in, or ownership of, our intellectual property. Moreover, we may become subject to litigation with parties that claim, among other matters, that we infringed their patents or other intellectual property rights. The defense and prosecution of patent and other intellectual property claims are both costly and time-consuming and could result in a material adverse effect on our business, operating results, and financial condition.</w:t>
      </w:r>
    </w:p>
    <w:p>
      <w:pPr>
        <w:spacing w:after="0" w:line="166"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Patents may not be issued for the patent applications that we have filed or may file in the future. Our issued patents may be challenged, invalidated, or circumvented, and claims of our patents may not be of sufficient scope or strength, or issued in the proper geographic regions, to provide meaningful protection or any commercial advantage. We have registered certain of our trademarks and trade dress in the United States and other countries. We have also recorded certain of our registered trademarks with customs officials in the United States and other countries. We may be unable to enforce existing or obtain new registrations of principle or other trademarks in key markets. Failure to obtain or enforce such registrations could compromise our ability to protect fully our trademarks and brands and could increase the risk of challenges from third parties to our use of our trademarks and brands.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both"/>
        <w:ind w:firstLine="589"/>
        <w:spacing w:after="0" w:line="255" w:lineRule="auto"/>
        <w:rPr>
          <w:sz w:val="20"/>
          <w:szCs w:val="20"/>
          <w:color w:val="auto"/>
        </w:rPr>
      </w:pPr>
      <w:r>
        <w:rPr>
          <w:rFonts w:ascii="Arial" w:cs="Arial" w:eastAsia="Arial" w:hAnsi="Arial"/>
          <w:sz w:val="18"/>
          <w:szCs w:val="18"/>
          <w:color w:val="auto"/>
        </w:rPr>
        <w:t>In the past, we did not consistently require our employees and consultants to enter into confidentiality agreements, employment agreements, or proprietary information and invention agreements; however, such agreements are now required. Therefore, our former employees and consultants may try to claim some ownership interest in our intellectual property and may use our intellectual property competitively and without appropriate limitations. In addition, our acquired businesses may not have consistently required their employees and consultants to enter into confidentiality agreements, employment agreements, or proprietary information and invention agreements. Claims by such individuals may affect our business, operating results, and financial condition.</w:t>
      </w:r>
    </w:p>
    <w:p>
      <w:pPr>
        <w:spacing w:after="0" w:line="29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incur substantial expenses and devote significant resources in prosecuting others for their unauthorized use of our intellectual property rights.</w:t>
      </w:r>
    </w:p>
    <w:p>
      <w:pPr>
        <w:spacing w:after="0" w:line="5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may become involved in litigation regarding patents and other intellectual property rights. Other companies, including our competitors, may develop intellectual property that is similar or superior to our intellectual property, duplicate our intellectual property, or design around our patents and may have or obtain patents or other proprietary rights that would prevent, limit, or interfere with our ability to make, use, or sell our products. Effective intellectual property protection may be unavailable or limited in some foreign countries in which we sell products or from which competing products may be sold. Unauthorized parties may attempt to copy or otherwise use aspects of our intellectual property and products that we regard as proprietary. Our means of protecting our proprietary rights in the United States or abroad may prove to be inadequate and competitors may be able to independently develop similar intellectual property. If our intellectual property protection is insufficient to protect our intellectual property rights, we could face increased competition in the markets for our products.</w:t>
      </w:r>
    </w:p>
    <w:p>
      <w:pPr>
        <w:spacing w:after="0" w:line="192"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Should any of our competitors file patent applications or obtain patents that claim inventions also claimed by us, we may choose to participate in an interference proceeding to determine the right to a patent for these inventions because our business would be harmed if we fail to enforce and protect our intellectual property rights. Even if the outcome is favorable, this proceeding could result in substantial cost to us and disrupt our business.</w:t>
      </w:r>
    </w:p>
    <w:p>
      <w:pPr>
        <w:spacing w:after="0" w:line="16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the future, we also may need to file lawsuits to enforce our intellectual property rights, protect our trade secrets, or determine the validity and scope of the proprietary rights of others. This litigation, whether successful or unsuccessful, could result in substantial costs and diversion of resources, which could have a material adverse effect on us.</w:t>
      </w:r>
    </w:p>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our efforts to protect the security of personal information related to any of our customers, consumers, vendors, or employees are unsuccessful and unauthorized access to that personal information is obtained, or we experience a significant disruption in our computer systems or a cyber security breach, we could experience an adverse effect on our operations, we could be subject to costly government enforcement action and private litigation, and our reputation could suffer.</w:t>
      </w:r>
    </w:p>
    <w:p>
      <w:pPr>
        <w:spacing w:after="0" w:line="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operations involve the storage and transmission of proprietary information related to customers, consumers, vendors, and employees, such as credit card and bank account numbers, and security breaches could expose us to a risk of loss of this information, government enforcement action and litigation, and possible liability. Our payment services may be susceptible to credit card and other payment fraud schemes, including unauthorized use of credit cards, debit cards, bank account information, identity theft, and merchant fraud.</w:t>
      </w:r>
    </w:p>
    <w:p>
      <w:pPr>
        <w:spacing w:after="0" w:line="18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If our security measures are breached as a result of third-party action, employee error, malfeasance, or otherwise, and as a result, someone obtains unauthorized access to data of our customers, consumers, vendors, or employees, our reputation may be damaged, our business may suffer, and we could incur significant liability. Because techniques used to obtain unauthorized access or to sabotage systems change frequently and generally are not recognized until launched against a target, we may be unable to anticipate these techniques or implement adequate preventative measures. If an actual or perceived breach of our security occurs, the public perception of the effectiveness of our security measures could be harmed and we could lose customers and consumers, which could adversely affect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ind w:firstLine="589"/>
        <w:spacing w:after="0" w:line="290" w:lineRule="auto"/>
        <w:rPr>
          <w:sz w:val="20"/>
          <w:szCs w:val="20"/>
          <w:color w:val="auto"/>
        </w:rPr>
      </w:pPr>
      <w:r>
        <w:rPr>
          <w:rFonts w:ascii="Arial" w:cs="Arial" w:eastAsia="Arial" w:hAnsi="Arial"/>
          <w:sz w:val="16"/>
          <w:szCs w:val="16"/>
          <w:color w:val="auto"/>
        </w:rPr>
        <w:t>Any breach of our data security or that of our service providers could result in an unauthorized release or transfer of customer, consumer, vendor, user, or employee information; cause the loss of valuable business data; or cause a disruption in our business. These events could give rise to unwanted media attention; damage our reputation; damage our customer, consumer, employee, vendor, or user relationships; and result in lost sales, fines, or lawsuits. We may also be required to expend significant capital and other resources to protect against or respond to or alleviate problems caused by a security breach, which could harm our operating results. If we or our independent service providers or business partners experience a breach of systems compromising our customers’ sensitive data, our brand could be harmed, sales of our products could decrease, and we could be exposed to losses, litigation, or regulatory proceedings.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2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face risks associated with international activities, including related to compliance with the Foreign Corrupt Practices Act or other applicable anti-corruption legislation.</w:t>
      </w:r>
    </w:p>
    <w:p>
      <w:pPr>
        <w:spacing w:after="0" w:line="58"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Political and economic conditions abroad may result in a reduction of or inhibition of our growth in our sales in numerous foreign countries and our purchase of certain accessories and components from certain countries in Asia and Europe, including China, Taiwan, and Italy. Protectionist trade legislation in either the United States or foreign countries, such as a change in the current tariff structures, export or import compliance laws, or other trade policies, could reduce our ability to sell our products in foreign markets, the ability of foreign customers to purchase our products, and our ability to import components, parts, and products from foreign suppliers. Our efforts to comply with the Foreign Corrupt Practices Act, or other applicable anti-corruption laws and regulations may limit our international business activities, necessitate the implementation of certain processes and compliance programs, and subject us to enforcement actions or penalties for noncompliance. Both the U.S. and foreign governments have increased their oversight and enforcement activities in this area in recent years, and we expect applicable agencies to continue to increase such activities in the future.</w:t>
      </w:r>
    </w:p>
    <w:p>
      <w:pPr>
        <w:spacing w:after="0" w:line="165"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Our foreign sales and purchases of certain accessories and components also create a number of logistical and communication challenges. These activities also expose us to various economic, political, and other risks, including the following:</w:t>
      </w:r>
    </w:p>
    <w:p>
      <w:pPr>
        <w:spacing w:after="0" w:line="62" w:lineRule="exact"/>
        <w:rPr>
          <w:sz w:val="20"/>
          <w:szCs w:val="20"/>
          <w:color w:val="auto"/>
        </w:rPr>
      </w:pPr>
    </w:p>
    <w:p>
      <w:pPr>
        <w:ind w:left="1300" w:hanging="442"/>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compliance with U.S. and local laws and regulatory requirements, including adverse changes in those laws and requirements;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delays or interruptions and other effects of less developed infrastructures;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exchange rate fluctuations;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imports and exports;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restrictions on currency conversion or the transfer of funds;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of appropriation of our assets without just compensation;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taxes, tariffs, and duties;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or economic instability in countries in which we conduct business, including possible terrorist acts.</w:t>
      </w:r>
    </w:p>
    <w:p>
      <w:pPr>
        <w:spacing w:after="0" w:line="225"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We currently maintain operations in Belgium and the People’s Republic of China and have plans to expand our international operations. As a result, we are exposed to risks in the countries in which we operate or will operate in the future, including political and economic changes or volatility, geopolitical regional conflicts, terrorist activity, and political unrest, which could negatively affect our international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Environmental laws and regulations may impact our business.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are subject to numerous federal, state, and local laws that regulate or otherwise relate to the protection of the environment, including the Clean Air Act, the Clean Water Act, CERCLA, and the Solid Waste Disposal Act, as amended by RCRA. CERCLA, RCRA, and related state laws subject us to the potential obligation to remove or mitigate the environmental effects of the disposal or release of certain pollutants at our manufacturing facilities and at third-party or formerly owned sites at which contaminants generated by us may be located. This requires us to make expenditures of both a capital and expense nature.</w:t>
      </w:r>
    </w:p>
    <w:p>
      <w:pPr>
        <w:spacing w:after="0" w:line="18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our efforts to satisfy our environmental, health, and safety responsibilities and to comply with all applicable laws and regulations, we maintain policies relating to the environmental, health, and safety standards for our operations and conduct programs to monitor compliance with various environmental regulations. However, in the normal course of our manufacturing operations, we may become subject to governmental proceedings and orders pertaining to waste disposal, air emissions, and water discharges into the environment. We believe, based on the information available to us, that we are in substantial compliance with applicable environmental regulations.</w:t>
      </w:r>
    </w:p>
    <w:p>
      <w:pPr>
        <w:spacing w:after="0" w:line="18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From a remediation perspective, we may not have identified all existing contamination on our properties, and we cannot predict whether our operations will cause contamination in the future. As a result, we could incur additional costs to clean up contamination that exceed the amount of our reserves. We will periodically review the probable and reasonably estimable environmental costs in order to update the environmental reserves. Furthermore, it is not possible to predict with certainty the impact on us of future environmental, health, and safety compliance requirements or of the cost of resolution of future regulatory proceedings and claims, in part because the scope of the remedies that may be required is not certain, liability under federal environmental laws is joint and several in nature, and environmental health and safety laws and regulations are subject to modification and changes in interpretation. Additional or changing environmental health and safety regulation may become burdensome in the future, and any such development could have an adverse effect on us.</w:t>
      </w:r>
    </w:p>
    <w:p>
      <w:pPr>
        <w:spacing w:after="0" w:line="2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indebtedness could adversely affect our business and limit our ability to plan for or respond to changes in our business, and we may be unable to generate sufficient cash flow to satisfy significant debt service obligations.</w:t>
      </w:r>
    </w:p>
    <w:p>
      <w:pPr>
        <w:spacing w:after="0" w:line="58"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As of April 30, 2020, we had consolidated indebtedness of $160.0 million, of which none is payable in the next 12 months. This indebtedness relates to our unsecured credit facility, dated June 15, 2015, or the Credit Agreement, with TD Bank, N.A. and other lenders, or the Lenders, which originally included a $175.0 million revolving line of credit, or the Revolving Line, and a $105.0 million term loan, or the Term Loan. The Revolving Line provides for availability for general corporate purposes, with borrowings to bear interest at a variable rate equal to LIBOR or prime plus an applicable margin based on our consolidated leverage ratio, at our election, or 2.95% as of April 30, 2020.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On November 22, 2019, we repaid the full Term Loan and entered into a fifth amendment to our Credit Agreement, or the Fifth Amendment, which, among other things, provides the Lenders’ consent to the spin-off of the outdoor products and accessories business, provided that certain financial conditions are satisfied, including (x) granting the Lenders security interest in the assets of the remaining business, (y) reducing the Revolving Line to $250.0 million at the time of the spin-off, and (z) reducing the option to expand the credit agreement to $50.0 million at the time of the spin-off. Other than the changes described in the Second and Fifth Amendments, we otherwise remain subject to the terms of the Credit Agreement, as described below.</w:t>
      </w:r>
    </w:p>
    <w:p>
      <w:pPr>
        <w:spacing w:after="0" w:line="168"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Our ability to incur significant future indebtedness, whether to finance potential acquisitions or for general corporate purposes, will depend on our ability to generate cash. To a certain extent, our ability to generate cash is subject to general economic, financial, competitive, legislative, regulatory, and other factors that are beyond our control. If our business does not generate sufficient cash flow from operations or if future borrowings are not available to us under our credit facility in amounts sufficient to enable us to fund our liquidity needs, our financial condition and operating results may be adversely affected. If we cannot make scheduled principal and interest payments on our debt obligations in the future, we may need to refinance all or a portion of our indebtedness on or before maturity, sell assets, delay capital expenditures, or seek additional equity.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Our governing documents and Nevada law could make it more difficult for a third party to acquire us and discourage a takeover.</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Certain provisions of our articles of incorporation and bylaws and Nevada law make it more difficult for a third party to acquire us and make a takeover more difficult to complete, even if such a transaction were in our stockholders’ interest or might result in a premium over the market price for the shares held by our stockholders.</w:t>
      </w:r>
    </w:p>
    <w:p>
      <w:pPr>
        <w:spacing w:after="0" w:line="2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issuance of additional common stock in the future, including shares that we may issue pursuant to option grants, may result in dilution in the net tangible book value per share of our common stock.</w:t>
      </w:r>
    </w:p>
    <w:p>
      <w:pPr>
        <w:spacing w:after="0" w:line="5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board of directors has the legal power and authority to determine the terms of an offering of shares of our capital stock, or securities convertible into or exchangeable for these shares, to the extent of our shares of authorized and unissued capital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sale of a substantial number of shares that are eligible for sale could adversely affect the price of our common stock.</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of April 30, 2020, there were 55,359,928 shares of our common stock outstanding. Substantially all of these shares are freely tradable without restriction or further registration under the securities laws, unless held by an “affiliate” of our company, as that term is defined in Rule 144 under the securities laws. Shares held by affiliates of our company, which generally include our directors, executive officers, and certain principal stockholders, are subject to the resale limitations of Rule 144 described below.</w:t>
      </w:r>
    </w:p>
    <w:p>
      <w:pPr>
        <w:spacing w:after="0" w:line="18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In general, under Rule 144 as currently in effect, any person or persons whose shares are aggregated for purposes of Rule 144, who is deemed an affiliate of our company and beneficially owns restricted securities with respect to which at least six months has elapsed since the later of the date the shares were acquired from us, or from an affiliate of ours, is entitled to sell within any three-month period a number of shares that does not exceed the greater of 1% of the then outstanding shares of our common stock and the average weekly trading volume in common stock during the four calendar weeks preceding such sale. Sales by affiliates under Rule 144 also are subject to certain manner-of-sale provisions and notice requirements and to the availability of current public information about us. Rule 701, as currently in effect, permits our employees, officers, directors, and consultants who purchase shares pursuant to a written compensatory plan or contract to resell these shares in reliance upon Rule 144, but without compliance with specific restrictions.</w:t>
      </w:r>
    </w:p>
    <w:p>
      <w:pPr>
        <w:spacing w:after="0" w:line="166"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Rule 701 provides that affiliates may sell their Rule 701 shares under Rule 144 without complying with the holding period requirement and that non-affiliates may sell their shares in reliance on Rule 144 without complying with the holding period, public information, volume limitation, or notice provisions of Rule 144. Subject to the availability of current public information about us, a person who is not an affiliate, who has not been an affiliate within three months prior to sale, and who beneficially owns restricted securities with respect to which at least six months has elapsed since the later of the date the shares were acquired from us, or from an affiliate of ours, is entitled to sell such shares under Rule 144 without regard to any of the volume limitations or other requirements described above. Sales of substantial amounts of our common stock in the public market could adversely affect the market price for our common stock.</w:t>
      </w:r>
    </w:p>
    <w:p>
      <w:pPr>
        <w:spacing w:after="0" w:line="19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As of April 30, 2020, we had outstanding nonqualified stock options to purchase 200,667 shares of common stock under our incentive stock plans and other option agreements, 947,245 undelivered time-based restricted stock units, or RSUs, and 366,917 unearned performance stock units, or PSUs, under our incentive stock plans. We issued 380,209 of the 6,000,000 shares of common stock reserved for issuance under our 2011 Employee Stock Purchase Plan, or the ESPP, during fiscal 2020. We have registered for offer and sale the shares of common stock that are reserved for issuance pursuant to our incentive stock plans and available for issuance pursuant to the ESPP. Shares covered by such registration statements upon the exercise of stock options, the vesting of RSUs and PSUs or pursuant to the ESPP generally will be eligible for sale in the public market, except that affiliates will continue to be subject to volume limitations and other requirements of Rule 144. The issuance or sale of such shares could depress the market price of our common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We may issue securities that could dilute stockholder ownership and the net tangible book value per share of our common stock.</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may decide to raise additional funds through public or private debt or equity financing to fund our operations. If we raise funds by issuing equity securities, the percentage ownership of our current stockholders will be reduced and the new equity securities may have rights superior to those of our common stock. We may not obtain sufficient financing on terms that are favorable to us. We may delay, limit, or eliminate some or all of our proposed operations if adequate funds are not available. We may also issue equity securities as consideration for acquisitions we may make. The issuance of additional common stock in the future, including shares that we may issue pursuant to our incentive stock plans and ESPP, may result in dilution in the net tangible book value per share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may involve significant fluctuations.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Various factors contribute to significant periodic and seasonal fluctuations in our operating results. These factors include the following:</w:t>
      </w:r>
    </w:p>
    <w:p>
      <w:pPr>
        <w:spacing w:after="0" w:line="129" w:lineRule="exact"/>
        <w:rPr>
          <w:sz w:val="20"/>
          <w:szCs w:val="20"/>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 including new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and new product introductions by our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large domestic and international orders;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cancellation of existing orders;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sales mix;</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new product introductions;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our supply chain;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volume of customer orders relative to our capacity;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expenditures in anticipation of future customer orders;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in managing production processes and costs;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cost and availability of labor and finished products, product components, and raw materials;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manage inventory and inventory obsolescence;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and other competitive pressures;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or anticipated changes in economic, social, political, legislative, and regulatory factors;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any litigation;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surrounding our products, the safety of our products, or the use of our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amount and or timing of our operating expenses;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and regulations that may affect the marketability of our products.</w:t>
      </w:r>
    </w:p>
    <w:p>
      <w:pPr>
        <w:spacing w:after="0" w:line="225"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As a result of these and other factors, we believe that period-to-period comparisons of our operating results may not be meaningful in the short term, and our performance in a particular period may not be indicative of our performance in any future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could be subject to wide fluctuations as a result of many factors.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Many factors could affect the market price of our common stock, including the following:</w:t>
      </w:r>
    </w:p>
    <w:p>
      <w:pPr>
        <w:spacing w:after="0" w:line="117" w:lineRule="exact"/>
        <w:rPr>
          <w:sz w:val="20"/>
          <w:szCs w:val="20"/>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relatively small public float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introductions of new products and services by us or our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of our distributors;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estimates of our operating performance or changes in recommendations by any securities analysts that follow our stock;</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social, political, and market conditions and consumer spending patterns;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policies and regulations;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reaction to news events;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investor interest in a firearm business;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general performance of the markets in which we participate;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relating to suppliers and competitors.</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addition, market demand for small-capitalization stocks, and price and volume fluctuations in the stock market unrelated to our performance, could result in significant fluctuations in the market price of our common stock. The performance of our common stock could adversely affect our ability to raise equity in the public markets and adversely affect the growth of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key personnel, our business may be harmed, if we fail to retain and attract skilled management and other key personnel.</w:t>
      </w:r>
    </w:p>
    <w:p>
      <w:pPr>
        <w:spacing w:after="0" w:line="133"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Our success depends to a significant extent upon the continued services of our current management team, including Mark P. Smith and Brian D. Murphy, our Co-Presidents and Co-Chief Executive Officers. The loss of either of them, or one or more of our other key executives or employees, could have a material adverse effect on our business. Generally, we do not maintain “key person” insurance policies on the lives of any of our executive officers or any of our other employees. We employ all of our executive officers and key employees on an at-will basis, and their employment can be terminated by us or them at any time, for any reason, and without advance notice, subject to certain severance obligations upon termination. In order to retain valuable employees, in addition to salary and cash incentives, we regard our ability as a public company to grant stock-based compensation as an important component of our ability to attract and retain key personnel. The value to employees of stock-based compensation over time will be significantly affected by movements in our stock price that are beyond our control and may at any time be insufficient to counteract offers from other companies.</w:t>
      </w:r>
    </w:p>
    <w:p>
      <w:pPr>
        <w:spacing w:after="0" w:line="165"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Our success also depends on our ability to attract, retain, and motivate additional skilled management personnel. We plan to continue to expand our work force to continue to improve our business and operating results. We believe that there is significant competition for qualified personnel with the skills and knowledge that we require, particularly as a result of ongoing firearm industry consolidation and other industry developments. Many of the other companies with which we compete for qualified personnel have greater financial and other resources than we do. They also may provide more diverse opportunities and better chances for career advancement. Some of these characteristics may be more appealing to high-quality candidates than those which we have to offer. If we are not able to retain our current key personnel, or attract the necessary qualified key personnel to accomplish our business objectives, we may experience constraints that will impede significantly the achievement of our business objectives and our ability to pursue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our recruiting, training, and retention efforts are not successful or do not generate a corresponding increase in revenue, our business will be harmed.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3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following table sets forth information regarding our principal operating properties and other significant properties as of April 30, 2020. All the properties listed below are leased except where otherwise indicated. In general, our operating properties are well maintained, suitably equipped, and in good operating condition.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Reporting Segment</w:t>
            </w:r>
          </w:p>
        </w:tc>
      </w:t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North</w:t>
            </w:r>
          </w:p>
        </w:tc>
        <w:tc>
          <w:tcPr>
            <w:tcW w:w="2720" w:type="dxa"/>
            <w:vAlign w:val="bottom"/>
          </w:tcPr>
          <w:p>
            <w:pPr>
              <w:spacing w:after="0" w:line="195" w:lineRule="exact"/>
              <w:rPr>
                <w:sz w:val="20"/>
                <w:szCs w:val="20"/>
                <w:color w:val="auto"/>
              </w:rPr>
            </w:pPr>
            <w:r>
              <w:rPr>
                <w:rFonts w:ascii="Arial" w:cs="Arial" w:eastAsia="Arial" w:hAnsi="Arial"/>
                <w:sz w:val="18"/>
                <w:szCs w:val="18"/>
                <w:b w:val="1"/>
                <w:bCs w:val="1"/>
                <w:color w:val="auto"/>
              </w:rPr>
              <w:t>America</w:t>
            </w:r>
          </w:p>
        </w:tc>
        <w:tc>
          <w:tcPr>
            <w:tcW w:w="460" w:type="dxa"/>
            <w:vAlign w:val="bottom"/>
            <w:tcBorders>
              <w:top w:val="single" w:sz="8" w:color="auto"/>
            </w:tcBorders>
          </w:tcPr>
          <w:p>
            <w:pPr>
              <w:spacing w:after="0"/>
              <w:rPr>
                <w:sz w:val="16"/>
                <w:szCs w:val="16"/>
                <w:color w:val="auto"/>
              </w:rPr>
            </w:pPr>
          </w:p>
        </w:tc>
        <w:tc>
          <w:tcPr>
            <w:tcW w:w="30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20" w:type="dxa"/>
            <w:vAlign w:val="bottom"/>
          </w:tcPr>
          <w:p>
            <w:pPr>
              <w:spacing w:after="0"/>
              <w:rPr>
                <w:sz w:val="16"/>
                <w:szCs w:val="16"/>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United States</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Scottsdale</w:t>
            </w:r>
          </w:p>
        </w:tc>
        <w:tc>
          <w:tcPr>
            <w:tcW w:w="34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3200" w:type="dxa"/>
            <w:vAlign w:val="bottom"/>
            <w:gridSpan w:val="2"/>
          </w:tcPr>
          <w:p>
            <w:pPr>
              <w:spacing w:after="0"/>
              <w:rPr>
                <w:sz w:val="20"/>
                <w:szCs w:val="20"/>
                <w:color w:val="auto"/>
              </w:rPr>
            </w:pPr>
            <w:r>
              <w:rPr>
                <w:rFonts w:ascii="Arial" w:cs="Arial" w:eastAsia="Arial" w:hAnsi="Arial"/>
                <w:sz w:val="18"/>
                <w:szCs w:val="18"/>
                <w:color w:val="auto"/>
              </w:rPr>
              <w:t>Corporate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Bentonville</w:t>
            </w:r>
          </w:p>
        </w:tc>
        <w:tc>
          <w:tcPr>
            <w:tcW w:w="34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3200" w:type="dxa"/>
            <w:vAlign w:val="bottom"/>
            <w:gridSpan w:val="2"/>
          </w:tcPr>
          <w:p>
            <w:pPr>
              <w:spacing w:after="0"/>
              <w:rPr>
                <w:sz w:val="20"/>
                <w:szCs w:val="20"/>
                <w:color w:val="auto"/>
              </w:rPr>
            </w:pPr>
            <w:r>
              <w:rPr>
                <w:rFonts w:ascii="Arial" w:cs="Arial" w:eastAsia="Arial" w:hAnsi="Arial"/>
                <w:sz w:val="18"/>
                <w:szCs w:val="18"/>
                <w:color w:val="auto"/>
              </w:rPr>
              <w:t>Outdoor Products &amp; Accessories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Deep River</w:t>
            </w:r>
          </w:p>
        </w:tc>
        <w:tc>
          <w:tcPr>
            <w:tcW w:w="3480" w:type="dxa"/>
            <w:vAlign w:val="bottom"/>
            <w:gridSpan w:val="2"/>
          </w:tcPr>
          <w:p>
            <w:pPr>
              <w:spacing w:after="0"/>
              <w:rPr>
                <w:sz w:val="20"/>
                <w:szCs w:val="20"/>
                <w:color w:val="auto"/>
              </w:rPr>
            </w:pPr>
            <w:r>
              <w:rPr>
                <w:rFonts w:ascii="Arial" w:cs="Arial" w:eastAsia="Arial" w:hAnsi="Arial"/>
                <w:sz w:val="18"/>
                <w:szCs w:val="18"/>
                <w:color w:val="auto"/>
              </w:rPr>
              <w:t>Plant</w:t>
            </w:r>
          </w:p>
        </w:tc>
        <w:tc>
          <w:tcPr>
            <w:tcW w:w="3200" w:type="dxa"/>
            <w:vAlign w:val="bottom"/>
            <w:gridSpan w:val="2"/>
          </w:tcPr>
          <w:p>
            <w:pPr>
              <w:spacing w:after="0"/>
              <w:rPr>
                <w:sz w:val="20"/>
                <w:szCs w:val="20"/>
                <w:color w:val="auto"/>
              </w:rPr>
            </w:pPr>
            <w:r>
              <w:rPr>
                <w:rFonts w:ascii="Arial" w:cs="Arial" w:eastAsia="Arial" w:hAnsi="Arial"/>
                <w:sz w:val="18"/>
                <w:szCs w:val="18"/>
                <w:color w:val="auto"/>
              </w:rPr>
              <w:t>Firearms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Idaho</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80"/>
              <w:spacing w:after="0"/>
              <w:rPr>
                <w:sz w:val="20"/>
                <w:szCs w:val="20"/>
                <w:color w:val="auto"/>
              </w:rPr>
            </w:pPr>
            <w:r>
              <w:rPr>
                <w:rFonts w:ascii="Arial" w:cs="Arial" w:eastAsia="Arial" w:hAnsi="Arial"/>
                <w:sz w:val="18"/>
                <w:szCs w:val="18"/>
                <w:color w:val="auto"/>
              </w:rPr>
              <w:t>Meridian(1)</w:t>
            </w:r>
          </w:p>
        </w:tc>
        <w:tc>
          <w:tcPr>
            <w:tcW w:w="34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3200" w:type="dxa"/>
            <w:vAlign w:val="bottom"/>
            <w:gridSpan w:val="2"/>
          </w:tcPr>
          <w:p>
            <w:pPr>
              <w:spacing w:after="0"/>
              <w:rPr>
                <w:sz w:val="20"/>
                <w:szCs w:val="20"/>
                <w:color w:val="auto"/>
              </w:rPr>
            </w:pPr>
            <w:r>
              <w:rPr>
                <w:rFonts w:ascii="Arial" w:cs="Arial" w:eastAsia="Arial" w:hAnsi="Arial"/>
                <w:sz w:val="18"/>
                <w:szCs w:val="18"/>
                <w:color w:val="auto"/>
              </w:rPr>
              <w:t>Firearms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Maine</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Houlton(2)</w:t>
            </w:r>
          </w:p>
        </w:tc>
        <w:tc>
          <w:tcPr>
            <w:tcW w:w="3480" w:type="dxa"/>
            <w:vAlign w:val="bottom"/>
            <w:gridSpan w:val="2"/>
          </w:tcPr>
          <w:p>
            <w:pPr>
              <w:spacing w:after="0"/>
              <w:rPr>
                <w:sz w:val="20"/>
                <w:szCs w:val="20"/>
                <w:color w:val="auto"/>
              </w:rPr>
            </w:pPr>
            <w:r>
              <w:rPr>
                <w:rFonts w:ascii="Arial" w:cs="Arial" w:eastAsia="Arial" w:hAnsi="Arial"/>
                <w:sz w:val="18"/>
                <w:szCs w:val="18"/>
                <w:color w:val="auto"/>
              </w:rPr>
              <w:t>Plant</w:t>
            </w:r>
          </w:p>
        </w:tc>
        <w:tc>
          <w:tcPr>
            <w:tcW w:w="3200" w:type="dxa"/>
            <w:vAlign w:val="bottom"/>
            <w:gridSpan w:val="2"/>
          </w:tcPr>
          <w:p>
            <w:pPr>
              <w:spacing w:after="0"/>
              <w:rPr>
                <w:sz w:val="20"/>
                <w:szCs w:val="20"/>
                <w:color w:val="auto"/>
              </w:rPr>
            </w:pPr>
            <w:r>
              <w:rPr>
                <w:rFonts w:ascii="Arial" w:cs="Arial" w:eastAsia="Arial" w:hAnsi="Arial"/>
                <w:sz w:val="18"/>
                <w:szCs w:val="18"/>
                <w:color w:val="auto"/>
              </w:rPr>
              <w:t>Firearms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Springfield(2)</w:t>
            </w:r>
          </w:p>
        </w:tc>
        <w:tc>
          <w:tcPr>
            <w:tcW w:w="3480" w:type="dxa"/>
            <w:vAlign w:val="bottom"/>
            <w:gridSpan w:val="2"/>
          </w:tcPr>
          <w:p>
            <w:pPr>
              <w:spacing w:after="0"/>
              <w:rPr>
                <w:sz w:val="20"/>
                <w:szCs w:val="20"/>
                <w:color w:val="auto"/>
              </w:rPr>
            </w:pPr>
            <w:r>
              <w:rPr>
                <w:rFonts w:ascii="Arial" w:cs="Arial" w:eastAsia="Arial" w:hAnsi="Arial"/>
                <w:sz w:val="18"/>
                <w:szCs w:val="18"/>
                <w:color w:val="auto"/>
              </w:rPr>
              <w:t>Executive Offices &amp; Plant</w:t>
            </w:r>
          </w:p>
        </w:tc>
        <w:tc>
          <w:tcPr>
            <w:tcW w:w="3200" w:type="dxa"/>
            <w:vAlign w:val="bottom"/>
            <w:gridSpan w:val="2"/>
          </w:tcPr>
          <w:p>
            <w:pPr>
              <w:spacing w:after="0"/>
              <w:rPr>
                <w:sz w:val="20"/>
                <w:szCs w:val="20"/>
                <w:color w:val="auto"/>
              </w:rPr>
            </w:pPr>
            <w:r>
              <w:rPr>
                <w:rFonts w:ascii="Arial" w:cs="Arial" w:eastAsia="Arial" w:hAnsi="Arial"/>
                <w:sz w:val="18"/>
                <w:szCs w:val="18"/>
                <w:color w:val="auto"/>
                <w:w w:val="89"/>
              </w:rPr>
              <w:t>Corporate Office, Shared Services, Firearms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Somersworth</w:t>
            </w:r>
          </w:p>
        </w:tc>
        <w:tc>
          <w:tcPr>
            <w:tcW w:w="3480" w:type="dxa"/>
            <w:vAlign w:val="bottom"/>
            <w:gridSpan w:val="2"/>
          </w:tcPr>
          <w:p>
            <w:pPr>
              <w:spacing w:after="0"/>
              <w:rPr>
                <w:sz w:val="20"/>
                <w:szCs w:val="20"/>
                <w:color w:val="auto"/>
              </w:rPr>
            </w:pPr>
            <w:r>
              <w:rPr>
                <w:rFonts w:ascii="Arial" w:cs="Arial" w:eastAsia="Arial" w:hAnsi="Arial"/>
                <w:sz w:val="18"/>
                <w:szCs w:val="18"/>
                <w:color w:val="auto"/>
              </w:rPr>
              <w:t>Research &amp; Development</w:t>
            </w:r>
          </w:p>
        </w:tc>
        <w:tc>
          <w:tcPr>
            <w:tcW w:w="3200" w:type="dxa"/>
            <w:vAlign w:val="bottom"/>
            <w:gridSpan w:val="2"/>
          </w:tcPr>
          <w:p>
            <w:pPr>
              <w:spacing w:after="0"/>
              <w:rPr>
                <w:sz w:val="20"/>
                <w:szCs w:val="20"/>
                <w:color w:val="auto"/>
              </w:rPr>
            </w:pPr>
            <w:r>
              <w:rPr>
                <w:rFonts w:ascii="Arial" w:cs="Arial" w:eastAsia="Arial" w:hAnsi="Arial"/>
                <w:sz w:val="18"/>
                <w:szCs w:val="18"/>
                <w:color w:val="auto"/>
              </w:rPr>
              <w:t>Firearms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Columbia</w:t>
            </w:r>
          </w:p>
        </w:tc>
        <w:tc>
          <w:tcPr>
            <w:tcW w:w="3480" w:type="dxa"/>
            <w:vAlign w:val="bottom"/>
            <w:gridSpan w:val="2"/>
          </w:tcPr>
          <w:p>
            <w:pPr>
              <w:spacing w:after="0"/>
              <w:rPr>
                <w:sz w:val="20"/>
                <w:szCs w:val="20"/>
                <w:color w:val="auto"/>
              </w:rPr>
            </w:pPr>
            <w:r>
              <w:rPr>
                <w:rFonts w:ascii="Arial" w:cs="Arial" w:eastAsia="Arial" w:hAnsi="Arial"/>
                <w:sz w:val="18"/>
                <w:szCs w:val="18"/>
                <w:color w:val="auto"/>
              </w:rPr>
              <w:t>Office &amp; Warehouse</w:t>
            </w:r>
          </w:p>
        </w:tc>
        <w:tc>
          <w:tcPr>
            <w:tcW w:w="3200" w:type="dxa"/>
            <w:vAlign w:val="bottom"/>
            <w:gridSpan w:val="2"/>
          </w:tcPr>
          <w:p>
            <w:pPr>
              <w:spacing w:after="0"/>
              <w:rPr>
                <w:sz w:val="20"/>
                <w:szCs w:val="20"/>
                <w:color w:val="auto"/>
              </w:rPr>
            </w:pPr>
            <w:r>
              <w:rPr>
                <w:rFonts w:ascii="Arial" w:cs="Arial" w:eastAsia="Arial" w:hAnsi="Arial"/>
                <w:sz w:val="18"/>
                <w:szCs w:val="18"/>
                <w:color w:val="auto"/>
                <w:w w:val="93"/>
              </w:rPr>
              <w:t>Firearms, Outdoor Products &amp; Accessories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Oregon</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Wilsonville</w:t>
            </w:r>
          </w:p>
        </w:tc>
        <w:tc>
          <w:tcPr>
            <w:tcW w:w="3480" w:type="dxa"/>
            <w:vAlign w:val="bottom"/>
            <w:gridSpan w:val="2"/>
          </w:tcPr>
          <w:p>
            <w:pPr>
              <w:spacing w:after="0"/>
              <w:rPr>
                <w:sz w:val="20"/>
                <w:szCs w:val="20"/>
                <w:color w:val="auto"/>
              </w:rPr>
            </w:pPr>
            <w:r>
              <w:rPr>
                <w:rFonts w:ascii="Arial" w:cs="Arial" w:eastAsia="Arial" w:hAnsi="Arial"/>
                <w:sz w:val="18"/>
                <w:szCs w:val="18"/>
                <w:color w:val="auto"/>
              </w:rPr>
              <w:t>Office &amp; Warehouse</w:t>
            </w:r>
          </w:p>
        </w:tc>
        <w:tc>
          <w:tcPr>
            <w:tcW w:w="3200" w:type="dxa"/>
            <w:vAlign w:val="bottom"/>
            <w:gridSpan w:val="2"/>
          </w:tcPr>
          <w:p>
            <w:pPr>
              <w:spacing w:after="0"/>
              <w:rPr>
                <w:sz w:val="20"/>
                <w:szCs w:val="20"/>
                <w:color w:val="auto"/>
              </w:rPr>
            </w:pPr>
            <w:r>
              <w:rPr>
                <w:rFonts w:ascii="Arial" w:cs="Arial" w:eastAsia="Arial" w:hAnsi="Arial"/>
                <w:sz w:val="18"/>
                <w:szCs w:val="18"/>
                <w:color w:val="auto"/>
              </w:rPr>
              <w:t>Outdoor Products &amp; Accessories</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Belgium</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Herstal</w:t>
            </w:r>
          </w:p>
        </w:tc>
        <w:tc>
          <w:tcPr>
            <w:tcW w:w="34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3200" w:type="dxa"/>
            <w:vAlign w:val="bottom"/>
            <w:gridSpan w:val="2"/>
          </w:tcPr>
          <w:p>
            <w:pPr>
              <w:spacing w:after="0"/>
              <w:rPr>
                <w:sz w:val="20"/>
                <w:szCs w:val="20"/>
                <w:color w:val="auto"/>
              </w:rPr>
            </w:pPr>
            <w:r>
              <w:rPr>
                <w:rFonts w:ascii="Arial" w:cs="Arial" w:eastAsia="Arial" w:hAnsi="Arial"/>
                <w:sz w:val="18"/>
                <w:szCs w:val="18"/>
                <w:color w:val="auto"/>
              </w:rPr>
              <w:t>Firearms</w:t>
            </w: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Asia</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People’s Republic of China</w:t>
            </w: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Shenzhen</w:t>
            </w:r>
          </w:p>
        </w:tc>
        <w:tc>
          <w:tcPr>
            <w:tcW w:w="34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3200" w:type="dxa"/>
            <w:vAlign w:val="bottom"/>
            <w:gridSpan w:val="2"/>
          </w:tcPr>
          <w:p>
            <w:pPr>
              <w:spacing w:after="0"/>
              <w:rPr>
                <w:sz w:val="20"/>
                <w:szCs w:val="20"/>
                <w:color w:val="auto"/>
              </w:rPr>
            </w:pPr>
            <w:r>
              <w:rPr>
                <w:rFonts w:ascii="Arial" w:cs="Arial" w:eastAsia="Arial" w:hAnsi="Arial"/>
                <w:sz w:val="18"/>
                <w:szCs w:val="18"/>
                <w:color w:val="auto"/>
                <w:w w:val="90"/>
              </w:rPr>
              <w:t>Corporate, Outdoor Products &amp; Accessories</w:t>
            </w:r>
          </w:p>
        </w:tc>
      </w:tr>
    </w:tbl>
    <w:p>
      <w:pPr>
        <w:spacing w:after="0" w:line="229" w:lineRule="exact"/>
        <w:rPr>
          <w:sz w:val="20"/>
          <w:szCs w:val="20"/>
          <w:color w:val="auto"/>
        </w:rPr>
      </w:pPr>
    </w:p>
    <w:p>
      <w:pPr>
        <w:ind w:left="1020" w:hanging="58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Property is subleased.</w:t>
      </w:r>
    </w:p>
    <w:p>
      <w:pPr>
        <w:spacing w:after="0" w:line="23" w:lineRule="exact"/>
        <w:rPr>
          <w:rFonts w:ascii="Arial" w:cs="Arial" w:eastAsia="Arial" w:hAnsi="Arial"/>
          <w:sz w:val="18"/>
          <w:szCs w:val="18"/>
          <w:color w:val="auto"/>
        </w:rPr>
      </w:pPr>
    </w:p>
    <w:p>
      <w:pPr>
        <w:ind w:left="1020" w:hanging="580"/>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Owned property.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Information regarding our legal proceedings is discussed in Note 18 to our consolidated financial statements,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jc w:val="both"/>
        <w:ind w:firstLine="589"/>
        <w:spacing w:after="0" w:line="275" w:lineRule="auto"/>
        <w:rPr>
          <w:sz w:val="20"/>
          <w:szCs w:val="20"/>
          <w:color w:val="auto"/>
        </w:rPr>
      </w:pPr>
      <w:r>
        <w:rPr>
          <w:rFonts w:ascii="Arial" w:cs="Arial" w:eastAsia="Arial" w:hAnsi="Arial"/>
          <w:sz w:val="17"/>
          <w:szCs w:val="17"/>
          <w:color w:val="auto"/>
        </w:rPr>
        <w:t>Our common stock trades on the Nasdaq Global Select Market under the symbol “SWBI.” Our common stock was previously traded on the Nasdaq Global Select Market under the symbol “AOBC” from January 1, 2017 to June 1, 2020 and under the symbol “SWHC” from July 20, 2006 to January 1, 2017. The holders of our common stock are entitled to one vote per share on any matter to be voted upon by the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June 16, 2020, there were 813 record holders of our common stock. A substantially greater number of holders of common stock are “street name” or beneficial holders, whose shares are held of record by banks, brokers, and other financial institutions.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never declared or paid cash dividends on our common stock. Following the Separation, we are considering paying a cash dividend. Payment of any cash dividends in the future will depend on our financial condition, operating results, and capital requirements as well as other factors deemed relevant by our board of directors. In addition, our credit facility restricts our ability to pay cash dividends.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equity compensation plan information, refer to Item 12 (Security Ownership of Certain Beneficial Owners and Management and Related Stockholder Matters) in Part III of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following line graph compares cumulative total stockholder returns for the five years ended April 30, 2020 for (i) our common stock; (ii) the Russell 2000 Index; (iii) a peer group consisting of Sturm, Ruger &amp; Company, Inc., Vista Outdoor, Inc., and National Presto Industries, Inc., (Peer Group on the graph below). The graph assumes an investment of $100 on April 30, 2015. The calculation of cumulative stockholder return on the Russell 2000 Index and the peer group include reinvestment of dividends, but the calculation of cumulative stockholder return on our common stock does not include reinvestment of dividends because we did not pay any dividends during the measurement period. The performance shown is not necessarily indicative of future performance.</w:t>
      </w:r>
    </w:p>
    <w:p>
      <w:pPr>
        <w:spacing w:after="0" w:line="29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1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Among Smith &amp; Wesson Brands, Inc., The Russell 2000 Index,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3091815</wp:posOffset>
            </wp:positionV>
            <wp:extent cx="994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invested on April 30, 2015 in stock or index — including reinvestment of dividends. Fiscal year ending April 30.</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Securities Act of 1933, as amended, or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April 30, 2020, we had no authorized share repurchase programs. We did not repurchase any shares of our common stock during fiscal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The consolidated statements of income and cash flows data for the fiscal years ended April 30, 2020, 2019, and 2018 and the consolidated balance sheet data as of April 30, 2020 and 2019 have been derived from our audited consolidated financial statements included elsewhere in this report. The consolidated statements of income/(loss) and cash flows data for the fiscal years ended April 30, 2017 and 2016 and the consolidated balance sheet data as of April 30, 2018, 2017, and 2016 have been derived from our audited consolidated financial statements not included herein. You should read this information in conjunction with our consolidated financial statements, including the related notes, and “Management’s Discussion and Analysis of Financial Condition and Results of Operations” included in Item 7 of this report.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w w:val="94"/>
              </w:rPr>
              <w:t>Fiscal Year Ended April 30,</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2"/>
                <w:szCs w:val="12"/>
                <w:b w:val="1"/>
                <w:bCs w:val="1"/>
                <w:color w:val="auto"/>
              </w:rPr>
              <w:t>2017</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gridSpan w:val="9"/>
          </w:tcPr>
          <w:p>
            <w:pPr>
              <w:jc w:val="right"/>
              <w:ind w:right="660"/>
              <w:spacing w:after="0" w:line="169" w:lineRule="exact"/>
              <w:rPr>
                <w:sz w:val="20"/>
                <w:szCs w:val="20"/>
                <w:color w:val="auto"/>
              </w:rPr>
            </w:pPr>
            <w:r>
              <w:rPr>
                <w:rFonts w:ascii="Arial" w:cs="Arial" w:eastAsia="Arial" w:hAnsi="Arial"/>
                <w:sz w:val="15"/>
                <w:szCs w:val="15"/>
                <w:color w:val="auto"/>
                <w:w w:val="91"/>
              </w:rPr>
              <w:t>(In thousands, except share, per share, and ratio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Net sales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678,390</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638,277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606,850</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903,188</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722,908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5"/>
                <w:szCs w:val="15"/>
                <w:color w:val="auto"/>
              </w:rPr>
              <w:t>Cost of sales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443,685</w:t>
            </w:r>
          </w:p>
        </w:tc>
        <w:tc>
          <w:tcPr>
            <w:tcW w:w="80" w:type="dxa"/>
            <w:vAlign w:val="bottom"/>
            <w:tcBorders>
              <w:bottom w:val="single" w:sz="8" w:color="CFF0FC"/>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412,046</w:t>
            </w: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411,098</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527,916</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429,096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shd w:val="clear" w:color="auto" w:fill="CFF0FC"/>
          </w:tcPr>
          <w:p>
            <w:pPr>
              <w:ind w:left="140"/>
              <w:spacing w:after="0" w:line="169" w:lineRule="exact"/>
              <w:rPr>
                <w:sz w:val="20"/>
                <w:szCs w:val="20"/>
                <w:color w:val="auto"/>
              </w:rPr>
            </w:pPr>
            <w:r>
              <w:rPr>
                <w:rFonts w:ascii="Arial" w:cs="Arial" w:eastAsia="Arial" w:hAnsi="Arial"/>
                <w:sz w:val="15"/>
                <w:szCs w:val="15"/>
                <w:color w:val="auto"/>
              </w:rPr>
              <w:t>Gross profit</w:t>
            </w:r>
          </w:p>
        </w:tc>
        <w:tc>
          <w:tcPr>
            <w:tcW w:w="2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234,705</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226,231</w:t>
            </w:r>
          </w:p>
        </w:tc>
        <w:tc>
          <w:tcPr>
            <w:tcW w:w="26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195,752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375,272</w:t>
            </w:r>
          </w:p>
        </w:tc>
        <w:tc>
          <w:tcPr>
            <w:tcW w:w="3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293,812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5"/>
                <w:szCs w:val="15"/>
                <w:color w:val="auto"/>
              </w:rPr>
              <w:t>Operating expenses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283,524</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(a)</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188,175</w:t>
            </w:r>
          </w:p>
        </w:tc>
        <w:tc>
          <w:tcPr>
            <w:tcW w:w="2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w w:val="90"/>
              </w:rPr>
              <w:t>(a)</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168,704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175,333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135,169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shd w:val="clear" w:color="auto" w:fill="CFF0FC"/>
          </w:tcPr>
          <w:p>
            <w:pPr>
              <w:ind w:left="140"/>
              <w:spacing w:after="0" w:line="169" w:lineRule="exact"/>
              <w:rPr>
                <w:sz w:val="20"/>
                <w:szCs w:val="20"/>
                <w:color w:val="auto"/>
              </w:rPr>
            </w:pPr>
            <w:r>
              <w:rPr>
                <w:rFonts w:ascii="Arial" w:cs="Arial" w:eastAsia="Arial" w:hAnsi="Arial"/>
                <w:sz w:val="15"/>
                <w:szCs w:val="15"/>
                <w:color w:val="auto"/>
              </w:rPr>
              <w:t>Operating (loss)/income</w:t>
            </w:r>
          </w:p>
        </w:tc>
        <w:tc>
          <w:tcPr>
            <w:tcW w:w="2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(48,819)</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38,056</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27,048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199,939</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158,643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5"/>
                <w:szCs w:val="15"/>
                <w:color w:val="auto"/>
              </w:rPr>
              <w:t>Total other income/(expense), net</w:t>
            </w:r>
          </w:p>
        </w:tc>
        <w:tc>
          <w:tcPr>
            <w:tcW w:w="26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(11,130)</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(9,318)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(9,431)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(8,633)</w:t>
            </w:r>
          </w:p>
        </w:tc>
        <w:tc>
          <w:tcPr>
            <w:tcW w:w="2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(13,550)</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ind w:left="140"/>
              <w:spacing w:after="0"/>
              <w:rPr>
                <w:sz w:val="20"/>
                <w:szCs w:val="20"/>
                <w:color w:val="auto"/>
              </w:rPr>
            </w:pPr>
            <w:r>
              <w:rPr>
                <w:rFonts w:ascii="Arial" w:cs="Arial" w:eastAsia="Arial" w:hAnsi="Arial"/>
                <w:sz w:val="15"/>
                <w:szCs w:val="15"/>
                <w:color w:val="auto"/>
              </w:rPr>
              <w:t>(Loss)/income from operations before income taxes</w:t>
            </w: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(59,949)</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28,738</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17,617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191,306</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145,093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5"/>
                <w:szCs w:val="15"/>
                <w:color w:val="auto"/>
              </w:rPr>
              <w:t>Income tax expense/(benefit)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10,328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(2,511)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63,452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ind w:left="140"/>
              <w:spacing w:after="0"/>
              <w:rPr>
                <w:sz w:val="20"/>
                <w:szCs w:val="20"/>
                <w:color w:val="auto"/>
              </w:rPr>
            </w:pPr>
            <w:r>
              <w:rPr>
                <w:rFonts w:ascii="Arial" w:cs="Arial" w:eastAsia="Arial" w:hAnsi="Arial"/>
                <w:sz w:val="15"/>
                <w:szCs w:val="15"/>
                <w:color w:val="auto"/>
              </w:rPr>
              <w:t>Net (loss)/income</w:t>
            </w: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(61,230)</w:t>
            </w:r>
          </w:p>
        </w:tc>
        <w:tc>
          <w:tcPr>
            <w:tcW w:w="5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980" w:type="dxa"/>
            <w:vAlign w:val="bottom"/>
            <w:tcBorders>
              <w:right w:val="single" w:sz="8" w:color="CFF0FC"/>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rPr>
              <w:t>18,410</w:t>
            </w:r>
          </w:p>
        </w:tc>
        <w:tc>
          <w:tcPr>
            <w:tcW w:w="5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20,128</w:t>
            </w:r>
          </w:p>
        </w:tc>
        <w:tc>
          <w:tcPr>
            <w:tcW w:w="1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127,854</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93,958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5"/>
                <w:szCs w:val="15"/>
                <w:color w:val="auto"/>
              </w:rPr>
              <w:t>Net (loss)/income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Basic</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(1.11)</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0.34</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0.37</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60"/>
              <w:spacing w:after="0"/>
              <w:rPr>
                <w:sz w:val="20"/>
                <w:szCs w:val="20"/>
                <w:color w:val="auto"/>
              </w:rPr>
            </w:pPr>
            <w:r>
              <w:rPr>
                <w:rFonts w:ascii="Arial" w:cs="Arial" w:eastAsia="Arial" w:hAnsi="Arial"/>
                <w:sz w:val="15"/>
                <w:szCs w:val="15"/>
                <w:color w:val="auto"/>
              </w:rPr>
              <w:t>Diluted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(1.11)</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0.33</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0.37</w:t>
            </w:r>
          </w:p>
        </w:tc>
        <w:tc>
          <w:tcPr>
            <w:tcW w:w="1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2.25</w:t>
            </w:r>
          </w:p>
        </w:tc>
        <w:tc>
          <w:tcPr>
            <w:tcW w:w="3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Weighted average number of shares outstanding:</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60"/>
              <w:spacing w:after="0"/>
              <w:rPr>
                <w:sz w:val="20"/>
                <w:szCs w:val="20"/>
                <w:color w:val="auto"/>
              </w:rPr>
            </w:pPr>
            <w:r>
              <w:rPr>
                <w:rFonts w:ascii="Arial" w:cs="Arial" w:eastAsia="Arial" w:hAnsi="Arial"/>
                <w:sz w:val="15"/>
                <w:szCs w:val="15"/>
                <w:color w:val="auto"/>
              </w:rPr>
              <w:t>Basic</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54,983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54,483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54,061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55,930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54,765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Diluted</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54,983</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55,216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54,834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56,891</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55,965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54,058</w:t>
            </w:r>
          </w:p>
        </w:tc>
        <w:tc>
          <w:tcPr>
            <w:tcW w:w="8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53,859</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52,075</w:t>
            </w:r>
          </w:p>
        </w:tc>
        <w:tc>
          <w:tcPr>
            <w:tcW w:w="1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50,213</w:t>
            </w:r>
          </w:p>
        </w:tc>
        <w:tc>
          <w:tcPr>
            <w:tcW w:w="3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Capital expenditures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13,932</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33,949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18,490</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34,876</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5"/>
                <w:szCs w:val="15"/>
                <w:color w:val="auto"/>
              </w:rPr>
              <w:t>Year-end financial position:</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Working capital</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265,880</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187,401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169,682</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167,196</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210,639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rPr>
                <w:sz w:val="20"/>
                <w:szCs w:val="20"/>
                <w:color w:val="auto"/>
              </w:rPr>
            </w:pPr>
            <w:r>
              <w:rPr>
                <w:rFonts w:ascii="Arial" w:cs="Arial" w:eastAsia="Arial" w:hAnsi="Arial"/>
                <w:sz w:val="15"/>
                <w:szCs w:val="15"/>
                <w:color w:val="auto"/>
              </w:rPr>
              <w:t>Current ratio</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Total assets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728,961</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766,789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745,060</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788,036</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619,503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140"/>
              <w:spacing w:after="0"/>
              <w:rPr>
                <w:sz w:val="20"/>
                <w:szCs w:val="20"/>
                <w:color w:val="auto"/>
              </w:rPr>
            </w:pPr>
            <w:r>
              <w:rPr>
                <w:rFonts w:ascii="Arial" w:cs="Arial" w:eastAsia="Arial" w:hAnsi="Arial"/>
                <w:sz w:val="15"/>
                <w:szCs w:val="15"/>
                <w:color w:val="auto"/>
              </w:rPr>
              <w:t>Current portion of notes and loans payable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6,300</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6,300</w:t>
            </w:r>
          </w:p>
        </w:tc>
        <w:tc>
          <w:tcPr>
            <w:tcW w:w="18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6,300</w:t>
            </w:r>
          </w:p>
        </w:tc>
        <w:tc>
          <w:tcPr>
            <w:tcW w:w="30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140"/>
              <w:spacing w:after="0"/>
              <w:rPr>
                <w:sz w:val="20"/>
                <w:szCs w:val="20"/>
                <w:color w:val="auto"/>
              </w:rPr>
            </w:pPr>
            <w:r>
              <w:rPr>
                <w:rFonts w:ascii="Arial" w:cs="Arial" w:eastAsia="Arial" w:hAnsi="Arial"/>
                <w:sz w:val="15"/>
                <w:szCs w:val="15"/>
                <w:color w:val="auto"/>
              </w:rPr>
              <w:t>Notes and loans payable, net of current portion</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159,171</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rPr>
              <w:t>149,434</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180,304</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210,657</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166,564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Arial" w:cs="Arial" w:eastAsia="Arial" w:hAnsi="Arial"/>
                <w:sz w:val="15"/>
                <w:szCs w:val="15"/>
                <w:color w:val="auto"/>
              </w:rPr>
              <w:t>Capital lease payable, net of current portion</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39,873</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45,400</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22,143</w:t>
            </w:r>
          </w:p>
        </w:tc>
        <w:tc>
          <w:tcPr>
            <w:tcW w:w="1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173</w:t>
            </w:r>
          </w:p>
        </w:tc>
        <w:tc>
          <w:tcPr>
            <w:tcW w:w="30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994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49" w:lineRule="exact"/>
        <w:rPr>
          <w:sz w:val="20"/>
          <w:szCs w:val="20"/>
          <w:color w:val="auto"/>
        </w:rPr>
      </w:pPr>
    </w:p>
    <w:p>
      <w:pPr>
        <w:ind w:left="580" w:right="20" w:hanging="572"/>
        <w:spacing w:after="0" w:line="290"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Operating expenses for fiscal 2020 and 2019 include a $98.7 million and $10.4 million, respectively, impairment of goodwill in our Outdoor Products &amp; Accessories segment. See Note 3 –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xml:space="preserve"> to the consolidated financial statements for further detail.</w:t>
      </w:r>
    </w:p>
    <w:p>
      <w:pPr>
        <w:jc w:val="both"/>
        <w:ind w:left="580" w:hanging="572"/>
        <w:spacing w:after="0" w:line="301"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(Loss)/income from continuing operations for fiscal 2019 includes activity for the period subsequent to the acquisition of LaserLyte. Income from continuing operations for fiscal 2018 includes activity for the period subsequent to the acquisitions of Gemini Technologies, Incorporated and Fish Tales, LLC. See Note 2 </w:t>
      </w:r>
      <w:r>
        <w:rPr>
          <w:rFonts w:ascii="Arial" w:cs="Arial" w:eastAsia="Arial" w:hAnsi="Arial"/>
          <w:sz w:val="16"/>
          <w:szCs w:val="16"/>
          <w:i w:val="1"/>
          <w:iCs w:val="1"/>
          <w:color w:val="auto"/>
        </w:rPr>
        <w:t>– Acquisitions</w:t>
      </w:r>
      <w:r>
        <w:rPr>
          <w:rFonts w:ascii="Arial" w:cs="Arial" w:eastAsia="Arial" w:hAnsi="Arial"/>
          <w:sz w:val="16"/>
          <w:szCs w:val="16"/>
          <w:color w:val="auto"/>
        </w:rPr>
        <w:t xml:space="preserve"> to the consolidated financial statements for further detail. Fiscal 2017 includes activity for the period subsequent to the acquisitions of Taylor Brands, LLC, Crimson Trace Corporation, and Ultimate Survival Technologies, Inc. in fiscal 2017.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i w:val="1"/>
          <w:iCs w:val="1"/>
          <w:color w:val="auto"/>
        </w:rPr>
        <w:t>You should read the following Management’s Discussion and Analysis of Financial Condition and Results of Operations in conjunction with our consolidated financial statements and the related notes thereto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under Item 1A, “Risk Factors” and elsewhere in this report.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report our results of operations in two segments: (1) Firearms and (2) Outdoor Products &amp; Accessories.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Highlights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operating results for fiscal 2020 included the following:</w:t>
      </w:r>
    </w:p>
    <w:p>
      <w:pPr>
        <w:spacing w:after="0" w:line="117"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net sales were $678.4 million, an increase of $40.1 million, or 6.3%, over the prior year.</w:t>
      </w:r>
    </w:p>
    <w:p>
      <w:pPr>
        <w:spacing w:after="0" w:line="117" w:lineRule="exact"/>
        <w:rPr>
          <w:rFonts w:ascii="Arial" w:cs="Arial" w:eastAsia="Arial" w:hAnsi="Arial"/>
          <w:sz w:val="18"/>
          <w:szCs w:val="18"/>
          <w:color w:val="auto"/>
        </w:rPr>
      </w:pPr>
    </w:p>
    <w:p>
      <w:pPr>
        <w:jc w:val="both"/>
        <w:ind w:left="1080" w:hanging="424"/>
        <w:spacing w:after="0" w:line="25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Firearms segment gross sales were $529.6 million, which included $3.6 million of inter-segment revenue, an increase of $48.3 million, or 10.0%, over the prior fiscal year, primarily because of increased consumer demand and a change in the timing of our federal excise tax obligation that resulted in an increase in revenue and a corresponding increase in cost of sales. This change was a direct result of the opening of our distribution center in June 2019 and resulted from the Tax and Trade Bureau denying our petition and requiring us to assess federal excise tax on the first transfer of a firearm. Starting in June 2019, we began transferring all completed firearms to our new distribution center and became required to assess federal excise tax at that point. Previously, we assessed federal excise tax at the point of sale to our third-party customers, allowing us to reduce the invoice value of our firearms by the federal excise tax assessed. This tax is now a cost of inventory at the distribution center and results in sales to our customers and the related cost of sales both being increased by the tax amount. This change does not impact gross profit dollars, but it reduces gross margin percentage. The impact during the fiscal year ended April 30, 2020 to our Firearms segment was a $37.5 million increase in sales and cost of sales and a decrease in gross margin of 240 basis points.</w:t>
      </w:r>
    </w:p>
    <w:p>
      <w:pPr>
        <w:spacing w:after="0" w:line="83" w:lineRule="exact"/>
        <w:rPr>
          <w:rFonts w:ascii="Arial" w:cs="Arial" w:eastAsia="Arial" w:hAnsi="Arial"/>
          <w:sz w:val="18"/>
          <w:szCs w:val="18"/>
          <w:color w:val="auto"/>
        </w:rPr>
      </w:pPr>
    </w:p>
    <w:p>
      <w:pPr>
        <w:jc w:val="both"/>
        <w:ind w:left="1080" w:hanging="424"/>
        <w:spacing w:after="0" w:line="254"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OP&amp;A segment gross sales were $167.5 million, which included $15.1 million of inter-segment revenue, a decrease of $9.8 million, or 5.5%, from the prior fiscal year. The decrease in sales was primarily because of a decline in sales of our branded camping accessory products due to one large retailer accelerating a strategy towards their own private label brand and lower OEM sales of laser products. In addition, we experienced reduced orders as a result of recent bankruptcies and other financial instability by certain of our customers and several factors related to the COVID-19 pandemic that resulted in reduced foot traffic from “stay at home” orders and reduced customer orders from sporting goods store closures in many states. These negative impacts were partially offset by sales growth in e-commerce resulting from a shift to online orders.</w:t>
      </w:r>
    </w:p>
    <w:p>
      <w:pPr>
        <w:spacing w:after="0" w:line="86"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Consolidated gross margin was 34.6%, a decrease of 80 basis points from the prior fiscal year. Excluding the impact of the change in federal excise tax in our Firearms segment, gross margin would have been 36.6%, or an increase of 120 basis points, over the prior fiscal year.</w:t>
      </w:r>
    </w:p>
    <w:p>
      <w:pPr>
        <w:spacing w:after="0" w:line="15" w:lineRule="exact"/>
        <w:rPr>
          <w:rFonts w:ascii="Arial" w:cs="Arial" w:eastAsia="Arial" w:hAnsi="Arial"/>
          <w:sz w:val="16"/>
          <w:szCs w:val="16"/>
          <w:color w:val="auto"/>
        </w:rPr>
      </w:pPr>
    </w:p>
    <w:p>
      <w:pPr>
        <w:jc w:val="both"/>
        <w:ind w:left="1080" w:hanging="424"/>
        <w:spacing w:after="0" w:line="293"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212529"/>
        </w:rPr>
        <w:t>On March 23, 2020, we determined that business in our Outdoor Products &amp; Accessories segment was expected to be negatively impacted by several factors related to the COVID-19 pandemic, including a major online retail customer’s decision to halt or delay most non-essential product orders, COVID-19-related supply chain issues, as well as COVID-19-related “stay at home” orders and sporting goods store closures, which reduced retail foot traffic in many states. Based on these factors, we expect reduced cash flows in our Outdoor Products &amp; Accessories segment, and we believe this constituted a triggering event under generally accepted accounting principles. Based on the results of this evaluation, we recorded a non-cash impairment charge of $98.7 million of goodwill in our Outdoor Products &amp; Accessories segment.</w:t>
      </w:r>
    </w:p>
    <w:p>
      <w:pPr>
        <w:spacing w:after="0" w:line="56" w:lineRule="exact"/>
        <w:rPr>
          <w:rFonts w:ascii="Arial" w:cs="Arial" w:eastAsia="Arial" w:hAnsi="Arial"/>
          <w:sz w:val="16"/>
          <w:szCs w:val="16"/>
          <w:color w:val="auto"/>
        </w:rPr>
      </w:pPr>
    </w:p>
    <w:p>
      <w:pPr>
        <w:jc w:val="both"/>
        <w:ind w:left="1080" w:hanging="424"/>
        <w:spacing w:after="0" w:line="25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net loss was $61.2 million, or ($1.11) per diluted share, compared with net income of $18.4 million, or $0.33 per diluted share for the prior fiscal year. Net income was negatively impacted in fiscal 2020 and 2019 by a $98.7 and $10.4 million impairment of goodwill, respectively. The non-cash impairment charge described above had a $1.79 and $0.19 negative impact on fully diluted earnings per share in fiscal 2020 and 2019, respectively. Excluding the impact of the non-cash goodwill impairment, consolidated net income would have been $8.6 million, or 29.9%, over the prior fiscal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left="1080" w:hanging="424"/>
        <w:spacing w:after="0" w:line="28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November 13, 2019, we announced that we were proceeding with a plan to spin-off our outdoor products and accessories business, or the Separation, and create an independent publicly traded company to conduct that business. We believe that separating our outdoor products and accessories business from our firearm business and forming a new company to conduct the outdoor products and accessories business will enable the management team of each company to focus on its specific strategies, including, among others,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In our view, the Separation is in the best interests of our company and our stockholders and would create two industry-leading companies with attributes that best position each company for long-term success. In preparation for the Separation, on May 29, 2020, we changed our name to Smith &amp; Wesson Brands, Inc., and on June 1, 2020, we changed the name of the company that will operate our outdoor products and accessories business through its subsidiaries to American Outdoor Brands, Inc., or AOUT. In connection with the proposed spin-off, we expect to incur restructuring charges of approximately $9.0 million to $12.0 million relating to legal, regulatory, and financial services, reorganization and restructuring costs, and start-up costs for the new company. Thus far, we have incurred $5.5 million of restructuring charges relating to the spin-off.</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We evaluate the performance of our business based upon operating profit, which includes net sales, cost of sales, selling and administrative expenses, and certain components of other income and expense. We also track our return on invested capital, and we use adjusted EBITDAS (earnings before interest, taxes, depreciation, amortization, and stock-based compensation expense, excluding certain non-operational items), which is a non-GAAP financial metric, as a supplemental measure of our performance in order to provide investors with an improved understanding of underlying performance trends. We evaluate our firearm products by such measurements as gross margin per unit produced, units produced per day, revenue by trade channel, and incoming orders per day. We evaluate our outdoor products and accessories products based upon a number of financial and operating measures, including sales, gross profit and gross margin, operating expenses, and operating margin.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Factors that Impact the Firearm Industry</w:t>
      </w:r>
    </w:p>
    <w:p>
      <w:pPr>
        <w:spacing w:after="0" w:line="121"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 xml:space="preserve">The firearm industry has been subject to many external factors in the past that have significantly increased the volatility of revenue generated for all companies within the industry. These factors include, among others, fears surrounding crime and terrorism; tragic news events; potential restrictions on the sale or makeup of firearms; actual and potential legislative, judicial, and regulatory actions; economic changes; and changes in the social and political environment, including presidential elections. See Item IA,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further discussion of external factors that impact the firearm industry. Although these external factors have created demand surges and volatility in the firearm market, and often make it difficult to predict demand, we believe that those external factors have also likely contributed to a long-term increase in consumer interest in firearms. This increased consumer interest has helped the firearm industry generate a ten-year compound annual growth rate in units of approximately 5.6% according to the U.S. Bureau of Alcohol, Tobacco, Firearms and Explosives, or ATF. We believe that this expanding base of consumers combined with our strong brand reputation and attractive price points are important factors in our goal to continue increasing our market share. Based on data from calendar 2018, we estimate that we have a 12.2% share of the U.S. consumer market for handguns.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 and Gross Profit</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consolidated net sales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678,390</w:t>
            </w:r>
          </w:p>
        </w:tc>
        <w:tc>
          <w:tcPr>
            <w:tcW w:w="2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638,277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40,113</w:t>
            </w:r>
          </w:p>
        </w:tc>
        <w:tc>
          <w:tcPr>
            <w:tcW w:w="2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443,685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412,046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31,639</w:t>
            </w: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411,098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234,705</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226,231</w:t>
            </w:r>
          </w:p>
        </w:tc>
        <w:tc>
          <w:tcPr>
            <w:tcW w:w="2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w:t>
            </w:r>
          </w:p>
        </w:tc>
        <w:tc>
          <w:tcPr>
            <w:tcW w:w="220" w:type="dxa"/>
            <w:vAlign w:val="bottom"/>
            <w:vMerge w:val="continue"/>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431"/>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Fiscal 2020 Consolidated Net Sales and Gross Profit Compared with Fiscal 2019</w:t>
      </w:r>
    </w:p>
    <w:p>
      <w:pPr>
        <w:spacing w:after="0" w:line="13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Consolidated net sales increased $40.1 million, or 6.3%, over fiscal 2019, primarily as a result of the change in the timing of our federal excise tax obligation that resulted in a $37.5 million increase in revenue and a corresponding increase in cost of sales, increased consumer demand for new products, and increased demand of our Performance Center branded products, partially offset by lower shipments of our large frame M&amp;P branded polymer pistols and medium frame revolvers in our Firearms segment. In our Outdoor Products &amp; Accessories segment, net sales decreased by $7.4 million, or 4.7%, as a result of the decreased shipments in shooting, hunting, electro-optics, and camping products, partially offset by increases in demand for cutlery.</w:t>
      </w:r>
    </w:p>
    <w:p>
      <w:pPr>
        <w:spacing w:after="0" w:line="202"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Consolidated gross margin was negatively impacted by 200 basis points as a result of the change in federal excise tax treatment described above. Excluding that treatment, consolidated gross margin increased 120 basis points over the prior fiscal year, primarily because of a reduction in material costs due to sourcing initiatives, favorable manufacturing fixed cost absorption, shipping costs that were included in cost of sales in the prior fiscal year are now included in operating expenses because of the start-up of our new distribution center, favorable inventory valuation adjustments, and lower manufacturing spending in our Firearms segment. Unfavorable impacts included lower margin contribution from the Outdoor Products &amp; Accessories segment, primarily due to increased tariffs and higher promotional product discounts in our Firearms segment.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Consolidated Net Sales and Gross Profit Compared with Fiscal 2018</w:t>
      </w:r>
    </w:p>
    <w:p>
      <w:pPr>
        <w:spacing w:after="0" w:line="13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Consolidated net sales for fiscal 2019 increased $31.4 million, or 5.2%, over fiscal 2018, primarily as a result of lower consumer rebates on our polymer pistols, the recognition of deferred revenue on shipments of promotional products, and higher demand for concealed carry M&amp;P branded polymer pistols and revolvers, partially offset by lower shipments of Performance Center branded polymer pistols in our Firearms segment. In our OP&amp;A segment, net sales increased primarily because of market acceptance of newly introduced accessories products over the past several years and increased revenue from strategic retailers, including internet retailers, partially offset from lower electro-optics products revenue.</w:t>
      </w:r>
    </w:p>
    <w:p>
      <w:pPr>
        <w:spacing w:after="0" w:line="2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Consolidated gross margin for fiscal 2019 increased 320 basis points over fiscal 2018, primarily because of a combination of lower promotional product discounts, consumer rebates, and lower manufacturing spending in our Firearms segment, and changes in customer mix, and lower promotional activity, offset by unfavorable product mix in our OP&amp;A segment.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Segment Revenue and Gross Profit</w:t>
      </w:r>
    </w:p>
    <w:p>
      <w:pPr>
        <w:spacing w:after="0" w:line="13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Firearms segment revenue and gross profit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390,711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336,901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53,810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Long Guns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101,540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107,717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(6,177)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8"/>
                <w:szCs w:val="18"/>
                <w:color w:val="auto"/>
              </w:rPr>
              <w:t>Total Firearms Revenue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529,612</w:t>
            </w:r>
          </w:p>
        </w:tc>
        <w:tc>
          <w:tcPr>
            <w:tcW w:w="2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481,335</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48,277</w:t>
            </w: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452,793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363,924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335,051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165,688</w:t>
            </w: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146,284</w:t>
            </w:r>
          </w:p>
        </w:tc>
        <w:tc>
          <w:tcPr>
            <w:tcW w:w="2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19,404</w:t>
            </w:r>
          </w:p>
        </w:tc>
        <w:tc>
          <w:tcPr>
            <w:tcW w:w="220" w:type="dxa"/>
            <w:vAlign w:val="bottom"/>
            <w:vMerge w:val="continue"/>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119,904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of net sales (gross margin)</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675"/>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8" w:name="page59"/>
    <w:bookmarkEnd w:id="58"/>
    <w:p>
      <w:pPr>
        <w:jc w:val="both"/>
        <w:ind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firearm units shipped by trade channel for the fiscal years ended April 30, 2020, 2019, and 2018 (units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Total Units Shipped</w:t>
            </w: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3960" w:type="dxa"/>
            <w:vAlign w:val="bottom"/>
            <w:gridSpan w:val="3"/>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20" w:type="dxa"/>
            <w:vAlign w:val="bottom"/>
            <w:vMerge w:val="continue"/>
            <w:shd w:val="clear" w:color="auto" w:fill="CFF0FC"/>
          </w:tcPr>
          <w:p>
            <w:pPr>
              <w:spacing w:after="0"/>
              <w:rPr>
                <w:sz w:val="18"/>
                <w:szCs w:val="18"/>
                <w:color w:val="auto"/>
              </w:rPr>
            </w:pPr>
          </w:p>
        </w:tc>
        <w:tc>
          <w:tcPr>
            <w:tcW w:w="3960" w:type="dxa"/>
            <w:vAlign w:val="bottom"/>
            <w:gridSpan w:val="3"/>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CFF"/>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00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Sporting Goods Channel Units Shipped</w:t>
            </w:r>
          </w:p>
        </w:tc>
        <w:tc>
          <w:tcPr>
            <w:tcW w:w="2740" w:type="dxa"/>
            <w:vAlign w:val="bottom"/>
          </w:tcPr>
          <w:p>
            <w:pPr>
              <w:spacing w:after="0"/>
              <w:rPr>
                <w:sz w:val="24"/>
                <w:szCs w:val="2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gridSpan w:val="4"/>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CFF"/>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Professional Channel Units Shipped</w:t>
            </w:r>
          </w:p>
        </w:tc>
        <w:tc>
          <w:tcPr>
            <w:tcW w:w="2960" w:type="dxa"/>
            <w:vAlign w:val="bottom"/>
            <w:gridSpan w:val="2"/>
          </w:tcPr>
          <w:p>
            <w:pPr>
              <w:spacing w:after="0"/>
              <w:rPr>
                <w:sz w:val="24"/>
                <w:szCs w:val="2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rPr>
              <w:t>Handguns</w:t>
            </w: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gridSpan w:val="4"/>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0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vMerge w:val="continue"/>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CFF"/>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4"/>
          </w:tcPr>
          <w:p>
            <w:pPr>
              <w:spacing w:after="0"/>
              <w:rPr>
                <w:sz w:val="20"/>
                <w:szCs w:val="20"/>
                <w:color w:val="auto"/>
              </w:rPr>
            </w:pPr>
            <w:r>
              <w:rPr>
                <w:rFonts w:ascii="Arial" w:cs="Arial" w:eastAsia="Arial" w:hAnsi="Arial"/>
                <w:sz w:val="18"/>
                <w:szCs w:val="18"/>
                <w:color w:val="auto"/>
              </w:rPr>
              <w:t>Long Guns</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Segment Fiscal 2020 Revenue and Gross Profit Compared with Fiscal 2019</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Revenue for our handguns increased $53.8 million, or 16.0%, over fiscal 2019. Increases in our revenue included the change in the $28.4 million federal excise tax treatment described above, increased consumer demand for new products, and increased shipments of our Performance Center branded products, partially offset by lower shipments of our large frame M&amp;P branded polymer pistols and medium frame revolvers. Unit shipments into the sporting goods consumer channel increased 9.7% over fiscal 2019 because of increased firearm demand, as indicated by a 26.6% increase in adjusted background checks for handguns reported to NICS, including a significant increase in the fourth quarter likely related to concerns regarding the COVID-19 pandemic. We believe that our percentage increase in sales did not match NICS because of fulfillment of consumer demand out of our customer’s inventory, particularly by a few strategic retailers, reporting changes in a few certain states, and fulfillment of demand during the fourth quarter likely impacted by state to state sales restrictions.</w:t>
      </w:r>
    </w:p>
    <w:p>
      <w:pPr>
        <w:spacing w:after="0" w:line="192"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Revenue for our long guns decreased $6.2 million, or 5.7%, from fiscal 2019, in spite of a $9.1 million increase in revenue related to federal excise tax, primarily due to reduced hunting rifle sales as a result of clearing discontinued products from the channel in anticipation of new products that were introduced late in our third fiscal quarter. In addition, in spite of a late fourth quarter increase in sales, our M&amp;P branded modern sporting rifles were down year-over-year as a result of lower demand in the first nine months of the fiscal year combined with lower promotional activity for those products and the fulfillment of demand out of customer inventory. We believe that our percentage decrease in sales in long guns likely did not match the 13.2% increase reported by NICS because of the decline in our hunting rifle sales, the fulfillment of consumer demand from our customer’s inventory, a combination of reporting changes to NICS in certain states, and decreased promotional activity, particularly in the first half of the fiscal year.</w:t>
      </w:r>
    </w:p>
    <w:p>
      <w:pPr>
        <w:spacing w:after="0" w:line="166"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Other products and services revenue increased $644,000, or 1.8%, over fiscal 2019, primarily because of an increased demand for handcuffs and magazines.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New products, defined as any new SKU not shipped in the prior year, represented 28.2% of firearm revenue for the 12 months ended April 30, 2020 and included a new concealed carry M&amp;P branded polymer pistol, many new product line extensions, and promotional products bundle kits for our M&amp;P, Performance Center, and Thompson/Center Arms branded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ind w:firstLine="589"/>
        <w:spacing w:after="0" w:line="290" w:lineRule="auto"/>
        <w:rPr>
          <w:sz w:val="20"/>
          <w:szCs w:val="20"/>
          <w:color w:val="auto"/>
        </w:rPr>
      </w:pPr>
      <w:r>
        <w:rPr>
          <w:rFonts w:ascii="Arial" w:cs="Arial" w:eastAsia="Arial" w:hAnsi="Arial"/>
          <w:sz w:val="16"/>
          <w:szCs w:val="16"/>
          <w:color w:val="auto"/>
        </w:rPr>
        <w:t>Gross margin for fiscal 2020 for our Firearms segment was negatively impacted 240 basis points as a result of the change in federal excise tax treatment described above. Gross margin dollars were not impacted by that tax treatment, and excluding that treatment, gross margin for our firearms segment would have increased by 320 basis points over the prior fiscal year, due to a combination of factors, including $4.4 million of shipping costs that were included in cost of sales in the prior fiscal year that are now included in operating expenses due to the start-up of our new distribution center, which negatively impacted gross margin by 80 basis points, a reduction in material costs due to sourcing initiatives, favorable inventory valuation adjustments related to the release of year end manufacturing variance accruals, improved manufacturing fixed cost absorption, lower manufacturing spending, and price increases, all of which favorably impacted Firearms gross margin by 520 basis points. These favorable impacts to Firearms gross margin were partially offset by increased standards related to material and labor cost increases and by increased promotional product discounts.</w:t>
      </w:r>
    </w:p>
    <w:p>
      <w:pPr>
        <w:spacing w:after="0" w:line="16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Our Firearm inventory levels increased slightly during fiscal 2020 due primarily to the change in timing related to federal excise tax that is now in inventory, which increased inventory by $5.4 million, combined with an increase in raw materials and work in process resulting from an increase in production to meet demand near the end of our fiscal year related to the COVID-19 pandemic. These increases were almost entirely offset by a 19% decrease in finished goods units as shipments in our fourth fiscal quarter increased to meet that demand. While inventory levels, both internally and in the distribution channel, in excess of demand may negatively impact future operating results, it is difficult to forecast the potential impact of distributor inventories on future revenue and income since demand is impacted by many factors, including seasonality, new product introductions, news events, political events, and consumer tastes.</w:t>
      </w:r>
    </w:p>
    <w:p>
      <w:pPr>
        <w:spacing w:after="0" w:line="19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Firearms segment order backlog as of April 30, 2020 and 2019 was $95.7 million and $39.2 million, respectively. We allow orders received that have not yet shipped to be cancelled, and therefore, our backlog may not be indicative of future sales.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Segment Fiscal 2019 Revenue and Gross Profit Compared with Fiscal 2018</w:t>
      </w:r>
    </w:p>
    <w:p>
      <w:pPr>
        <w:spacing w:after="0" w:line="13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Revenue for our handguns increased $10.6 million, or 3.3%, over fiscal 2018, primarily as a result of lower consumer rebates on our polymer pistols, the recognition of deferred revenue on shipments of promotional products, and higher demand for concealed carry M&amp;P branded polymer pistols and revolvers, partially offset by lower shipments of Performance Center branded polymer pistols. Actual unit shipments into the sporting goods channel for our handgun products increased 1.3% over fiscal 2018, primarily as a result of increased demand for certain of our handgun products because of successful seasonal promotional programs, including a promotion that bundled one of our handgun products with a shooting accessories product. Although overall consumer demand for handguns decreased 8.9% from fiscal 2018 (as indicated by adjusted background checks reported in NICS), we believe consistent demand for the broad array of quality products that we offer, combined with a normalized level of distributor inventory (rather than a sharp decline in such inventory in the prior year), had a positive impact on our fiscal 2019 results.</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Revenue for our long guns increased $17.5 million, or 19.4%, over fiscal 2018, partially because of replenishment of inventory, specifically for our sport model modern sporting rifle, in the sporting goods channel and several successful promotional programs, including a promotion that bundled a firearm with shooting accessory products. As a result, we believe we increased our market share for long guns.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products and services revenue increased $1.4 million, or 4.3%, over the prior year, primarily because of higher sales of parts and handcuffs.</w:t>
      </w:r>
    </w:p>
    <w:p>
      <w:pPr>
        <w:spacing w:after="0" w:line="24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New products, defined as any new SKU not shipped in the prior year, represented 20.1% of firearm revenue for fiscal 2019 and included our new concealed carry Performance Center M&amp;P branded polymer pistol and many other new product line extensions for our M&amp;P and Thompson/Center Arms branded products. The increase in the number of units sold favorably impacted firearm revenue by 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jc w:val="both"/>
        <w:ind w:firstLine="589"/>
        <w:spacing w:after="0" w:line="277" w:lineRule="auto"/>
        <w:rPr>
          <w:sz w:val="20"/>
          <w:szCs w:val="20"/>
          <w:color w:val="auto"/>
        </w:rPr>
      </w:pPr>
      <w:r>
        <w:rPr>
          <w:rFonts w:ascii="Arial" w:cs="Arial" w:eastAsia="Arial" w:hAnsi="Arial"/>
          <w:sz w:val="18"/>
          <w:szCs w:val="18"/>
          <w:color w:val="auto"/>
        </w:rPr>
        <w:t>Our Firearms segment order backlog as of April 30, 2019 and 2018 was $39.2 million and $96.1 million, respectively. The decrease in order backlog from the prior fiscal year was primarily because of the normalization of channel inventories and the timing of order fulfillment.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Products &amp; Accessories Segment Revenue and Gross Profit</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Outdoor Products &amp; Accessories segment revenue and gross profit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167,473</w:t>
            </w:r>
          </w:p>
        </w:tc>
        <w:tc>
          <w:tcPr>
            <w:tcW w:w="2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177,269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(9,796)</w:t>
            </w:r>
          </w:p>
        </w:tc>
        <w:tc>
          <w:tcPr>
            <w:tcW w:w="2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98,143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97,143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69,330</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80,126</w:t>
            </w:r>
          </w:p>
        </w:tc>
        <w:tc>
          <w:tcPr>
            <w:tcW w:w="2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(10,796)</w:t>
            </w:r>
          </w:p>
        </w:tc>
        <w:tc>
          <w:tcPr>
            <w:tcW w:w="220" w:type="dxa"/>
            <w:vAlign w:val="bottom"/>
            <w:vMerge w:val="continue"/>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Products &amp; Accessories Segment Fiscal 2020 Revenue and Gross Profit Compared with Fiscal 2019</w:t>
      </w:r>
    </w:p>
    <w:p>
      <w:pPr>
        <w:spacing w:after="0" w:line="131"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Revenue for our Outdoor Products &amp; Accessories segment decreased $9.8 million, or 5.5%, from fiscal 2019, primarily because of $4.0 million of reduced sales to OEM customers for our laser products, a $4.3 million decline in sales of our branded camping accessory products as a result of one large retailer accelerating a strategy towards its own private label brand, and $2.4 million of lower intercompany sales. In addition, we experienced reduced orders as a result of recent bankruptcies and other financial instability by certain of our customers and several factors related to the COVID-19 pandemic, including a major online retail customer’s decision to halt or delay most non-essential product orders, COVID-19-related supply chain issues, COVID-19-related “stay at home” orders, and sporting goods store closures, which have significantly reduced retail foot traffic in many states. The reduced orders as a result of the COVID-19 pandemic were partially offset by $6.8 million of increased sales growth in e-commerce from a shift to online orders.</w:t>
      </w:r>
    </w:p>
    <w:p>
      <w:pPr>
        <w:spacing w:after="0" w:line="166"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New products represented 14.0% of Outdoor Products &amp; Accessories segment revenue for fiscal 2020. Net sales for our Outdoor Products &amp; Accessories segment was 22.5% of total company net sales compared with 25.0% in fiscal 2019.</w:t>
      </w:r>
    </w:p>
    <w:p>
      <w:pPr>
        <w:spacing w:after="0" w:line="21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Gross margin for fiscal 2020 for our Outdoor Products &amp; Accessories segment declined 380 basis points compared to the prior year, primarily because of unfavorable variance capitalization for costs that were capitalized in fiscal 2019 and expensed in fiscal 2020, which was caused by the reduction of laser manufacturing in fiscal 2019, and higher tariff costs on imported goods.</w:t>
      </w:r>
    </w:p>
    <w:p>
      <w:pPr>
        <w:spacing w:after="0" w:line="184"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auto"/>
        </w:rPr>
        <w:t>Our Outdoor Products &amp; Accessories segment inventory was relatively flat as compared to fiscal 2019. We believe our inventory levels have enabled us to maintain minimal disruption from COVID-19 pandemic responses with our suppliers. It is possible, however, that worsening of conditions or increased fears of a pandemic could have a renewed and prolonged effect on manufacturing or employment in China, travel to and from China, or other restrictions on imports, all of which could have a longer-term effect on our sales and profitability in future periods.</w:t>
      </w:r>
    </w:p>
    <w:p>
      <w:pPr>
        <w:spacing w:after="0" w:line="171"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Our Outdoor Products &amp; Accessories segment order backlog as of April 30, 2020 was $1.8 million, or $10.9 million lower than at the end of fiscal 2019. We allow orders received that have not yet shipped to be cancelled, and therefore, our backlog may not be indicative of future sales.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Products &amp; Accessories Segment Fiscal 2019 Net Sales and Gross Profit Compared with Fiscal 2018</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Net sales for our Outdoor Products &amp; Accessories segment for fiscal 2019 increased $1.9 million, or 1.2%, over fiscal 2018. Net sales increased primarily because of market acceptance of newly introduced accessories products over the past several years and increased revenue from strategic retailers, including internet retailers, partially offset from lower electro-optics products revenue as a result of a general decline in firearm market conditions mentioned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both"/>
        <w:ind w:firstLine="589"/>
        <w:spacing w:after="0" w:line="342" w:lineRule="auto"/>
        <w:rPr>
          <w:sz w:val="20"/>
          <w:szCs w:val="20"/>
          <w:color w:val="auto"/>
        </w:rPr>
      </w:pPr>
      <w:r>
        <w:rPr>
          <w:rFonts w:ascii="Arial" w:cs="Arial" w:eastAsia="Arial" w:hAnsi="Arial"/>
          <w:sz w:val="16"/>
          <w:szCs w:val="16"/>
          <w:color w:val="auto"/>
        </w:rPr>
        <w:t>New products in our Outdoor Products &amp; Accessories segment represented 6.2% of this segment’s revenue for fiscal 2019 and included more than 300 new products. Net sales for our Outdoor Products &amp; Accessories segment was 25.0% of total company net sales compared with 26.0% in fiscal 2018.</w:t>
      </w:r>
    </w:p>
    <w:p>
      <w:pPr>
        <w:spacing w:after="0" w:line="124"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Gross margin for fiscal 2019 for our Outdoor Products &amp; Accessories segment remained flat compared with fiscal 2018. Favorable impacts to gross margin included changes in customer mix, which yielded higher gross margins, and lower promotional activity offset by unfavorable product mix.</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Outdoor Products &amp; Accessories segment order backlog as of April 30, 2019 was $12.7 million, or $1.6 million lower than at the end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12,362</w:t>
            </w:r>
          </w:p>
        </w:tc>
        <w:tc>
          <w:tcPr>
            <w:tcW w:w="2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17,252</w:t>
            </w: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55,805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97,985</w:t>
            </w:r>
          </w:p>
        </w:tc>
        <w:tc>
          <w:tcPr>
            <w:tcW w:w="2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107,650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(9,665)</w:t>
            </w: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98,662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88,266</w:t>
            </w: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849.0%</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283,524</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188,175</w:t>
            </w:r>
          </w:p>
        </w:tc>
        <w:tc>
          <w:tcPr>
            <w:tcW w:w="2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95,349</w:t>
            </w:r>
          </w:p>
        </w:tc>
        <w:tc>
          <w:tcPr>
            <w:tcW w:w="220" w:type="dxa"/>
            <w:vAlign w:val="bottom"/>
            <w:vMerge w:val="continue"/>
            <w:shd w:val="clear" w:color="auto" w:fill="CFF0FC"/>
          </w:tcPr>
          <w:p>
            <w:pPr>
              <w:spacing w:after="0"/>
              <w:rPr>
                <w:sz w:val="19"/>
                <w:szCs w:val="19"/>
                <w:color w:val="auto"/>
              </w:rPr>
            </w:pP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 of net sales</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Operating Expenses Compared with Fiscal 2019</w:t>
      </w:r>
    </w:p>
    <w:p>
      <w:pPr>
        <w:spacing w:after="0" w:line="131"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Excluding the impact of the goodwill impairment for fiscal 2020 and 2019 described above, operating expenses increased $7.1 million over the prior fiscal year. Selling, marketing, and distribution expenses increased $17.3 million, partially as a result of the start-up of our new distribution center during the first quarter of fiscal 2020, which included approximately $4.4 million of costs that would have been included in cost of sales in the prior year as well as additional costs related to compensation and benefits, depreciation, property taxes, and security. In addition, increased co-op advertising expenses in the Firearms segment related to strategic customers, additional targeted customer promotions in our Outdoor Products &amp; Accessories segment, and increases related to the development of our e-commerce initiative resulted in increased spending over the prior fiscal year. General and administrative expenses decreased $9.7 million, primarily as a result of decreased compensation related expenses in connection with the separation of our former President and Chief Executive Officer, decreased other compensation related expenses, decreased costs due to the closure of our Jacksonville, Florida facility, and a reduction in our allowance for doubtful accounts, which combined amounted to a $17.1 million decrease in general and administrative expenses. These decreases were partially offset by increased depreciation and compensation-related expenses related to our new distribution center, increased expenses related to the planned spin-off of our outdoor products and accessories business, which amounted to $5.5 million, as described above, increased spending relating to maintaining a safe and operational work environment throughout the COVID-19 pandemic, which amounted to $2.5 million, and increased professional fees.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Operating Expenses Compared with Fiscal 2018</w:t>
      </w:r>
    </w:p>
    <w:p>
      <w:pPr>
        <w:spacing w:after="0" w:line="13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Excluding the impact of the goodwill impairment described above, operating expenses increased $9.1 million over fiscal 2018. Research &amp; development expenses increased $1.5 million as a result of increased compensation-related expenses and professional fees. Selling and marketing expenses increased primarily as a result of $1.9 million of increased compensation-related expenses and increased travel and entertainment expenses, partially offset by decreased advertising expenses, commission costs, and professional fees. General and administrative expenses increased $6.1 million because of $8.9 million of increased compensation-related expenses as well as increased depreciation expenses related to our national logistics facility. These increases were partially offset by $2.3 million of decreased professional fees, lower donations to the National Rifle Association of $950,000, decreased travel and entertainment related expenses, and decreased acquisition-related costs.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Consolidated Operating (Loss)/Income</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(86,875)</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-228.3%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27,048</w:t>
            </w:r>
          </w:p>
        </w:tc>
        <w:tc>
          <w:tcPr>
            <w:tcW w:w="180" w:type="dxa"/>
            <w:vAlign w:val="bottom"/>
            <w:shd w:val="clear" w:color="auto" w:fill="CFF0FC"/>
          </w:tcPr>
          <w:p>
            <w:pPr>
              <w:spacing w:after="0"/>
              <w:rPr>
                <w:sz w:val="19"/>
                <w:szCs w:val="19"/>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Operating (Loss)/Income Compared with Fiscal 2019</w:t>
      </w:r>
    </w:p>
    <w:p>
      <w:pPr>
        <w:spacing w:after="0" w:line="131"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Excluding the impact of the goodwill impairment for fiscal 2020 and 2019 described above, operating income for fiscal 2020 would have been $49.8 million, an increase of $1.4 million, or 2.9%, over the prior fiscal year, primarily because of favorable manufacturing fixed cost absorption, favorable inventory valuation adjustments, lower manufacturing spending in our Firearms segment, decreased compensation related expenses in connection with the separation of our former President and Chief Executive Officer, and decreased costs as a result of the closure of our Jacksonville, Florida facility. These increases to operating income were partially offset by increased promotional product discounts and targeted customer promotions in our Firearms segment, increased co-op advertising expenses related to strategic customers, increased expenses related to the development of our e-commerce initiative, increased depreciation and compensation-related expenses related to our new distribution center, increased expenses related to the planned spin-off of our outdoor products and accessories business, and increased expenses related to the COVID-19 pandemic.</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Operating Income Compared with Fiscal 2018</w:t>
      </w:r>
    </w:p>
    <w:p>
      <w:pPr>
        <w:spacing w:after="0" w:line="13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Excluding the impact of the goodwill impairment described above, operating income for fiscal 2019 was $48.5 million, an increase of $21.4 million, or 79.1% over fiscal 2018, primarily because of a combination of lower promotional product discounts, lower consumer rebates, lower manufacturing spending, decreased professional fees, lower donations to the National Rifle Association, decreased travel and entertainment related expenses, and decreased acquisition-related costs. These increases to operating income were partially offset by unfavorable inventory valuation adjustments and manufacturing fixed-cost absorption, increased compensation-related expenses, and increased depreciation expenses related to our national logistics facility.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income/(expense)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4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income/(expense)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In fiscal 2018, we recorded a reduction of $1.6 million in the contingent consideration liability in connection with the acquisition of Ultimate Survival Technologies, Inc.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Interest (Expense)/Income</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interest expense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(11,168)</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Interest expense increased by $1.9 million over the prior fiscal year as a result of interest recorded related to our capital lease for our new distribution center and additional borrowings outstanding during the fiscal year.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left="600"/>
        <w:spacing w:after="0"/>
        <w:rPr>
          <w:sz w:val="20"/>
          <w:szCs w:val="20"/>
          <w:color w:val="auto"/>
        </w:rPr>
      </w:pPr>
      <w:r>
        <w:rPr>
          <w:rFonts w:ascii="Arial" w:cs="Arial" w:eastAsia="Arial" w:hAnsi="Arial"/>
          <w:sz w:val="17"/>
          <w:szCs w:val="17"/>
          <w:color w:val="auto"/>
        </w:rPr>
        <w:t>Interest expense decreased by $1.8 million between fiscal 2018 and fiscal 2019 because of lower overall outstanding debt during fiscal 2019.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Income Tax Expense</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18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 of income from operations (effective tax rate)</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r>
    </w:tbl>
    <w:p>
      <w:pPr>
        <w:spacing w:after="0" w:line="24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recorded income tax expense of $1.3 million for fiscal 2020, $9.1 million lower than the prior fiscal year, primarily because of decreased profitability. The effective tax rates were (2.1%) and 35.9% for fiscal 2020 and 2019, respectively. The effective tax rate for fiscal 2020 and 2019 excludes a non-cash goodwill impairment charge as a discrete item.</w:t>
      </w:r>
    </w:p>
    <w:p>
      <w:pPr>
        <w:spacing w:after="0" w:line="21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recorded income tax expense of $10.3 million for fiscal 2019, versus an income tax benefit of $2.5 million for fiscal 2018, primarily because of the impact of Tax Reform in the prior year. The effective tax rates were 35.9% and (14.3%) for fiscal 2019 and 2018, respectively. The effective tax rate for fiscal 2019 excludes a non-cash goodwill impairment charge as a discrete item.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(Loss)/Income</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net income and the related per share data for the fiscal years ended April 30, 2020, 2019, and 2018 (dollars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CFF0FC"/>
            </w:tcBorders>
          </w:tcPr>
          <w:p>
            <w:pPr>
              <w:spacing w:after="0"/>
              <w:rPr>
                <w:sz w:val="14"/>
                <w:szCs w:val="14"/>
                <w:color w:val="auto"/>
              </w:rPr>
            </w:pPr>
          </w:p>
        </w:tc>
        <w:tc>
          <w:tcPr>
            <w:tcW w:w="16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Net (loss)/income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-432.6%</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20,128</w:t>
            </w:r>
          </w:p>
        </w:tc>
        <w:tc>
          <w:tcPr>
            <w:tcW w:w="10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Net (loss)/income per share</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-426.5%</w:t>
            </w: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9"/>
                <w:szCs w:val="19"/>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-436.4%</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Net (Loss)/Income Compared with Fiscal 2019</w:t>
      </w:r>
    </w:p>
    <w:p>
      <w:pPr>
        <w:spacing w:after="0" w:line="13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Excluding the impact of goodwill impairment for fiscal 2020 and 2019, net income increased $8.6 million or $0.16 per diluted share, from the prior fiscal year, primarily as a result of the reasons discussed above, as well as increased interest expense because of increased interest on our capital lease for our new distribution center and additional borrowings outstanding.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Net Income Compared with Fiscal 2018</w:t>
      </w:r>
    </w:p>
    <w:p>
      <w:pPr>
        <w:spacing w:after="0" w:line="13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Excluding the impact of Tax Reform in fiscal 2018 and goodwill impairment in fiscal 2019, net income was $28.8 million for fiscal 2019 compared with $11.4 million for fiscal 2018, an increase of $17.4 million, or 152.6%. The increase in net income was primarily due to increased revenue, a combination of lower promotional product discounts, consumer rebates, lower manufacturing spending, decreased professional fees, and lower donations to the National Rifle Association. The favorable impacts to net income were partially offset by unfavorable inventory valuation adjustments and manufacturing fixed-cost absorption, increased compensation-related expenses, and increased depreciation expenses related to our national logistics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principal cash requirements are to (1) finance the growth of our operations, including working capital and capital expenditures; (2) service our existing debt; and (3) fund the spin-off of our outdoor products and accessories business. Capital expenditures for material handling equipment and other capital projects to support our national logistics facility, various information technology projects, and tooling for new product offerings represent important cash needs.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certain cash flow information for the fiscal years ended April 30, 2020, 2019, and 2018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65.3%</w:t>
            </w:r>
          </w:p>
        </w:tc>
        <w:tc>
          <w:tcPr>
            <w:tcW w:w="12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61,643</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(13,958)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(34,827)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20,869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(39,323)</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(30,468)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(82,119)</w:t>
            </w: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color w:val="auto"/>
              </w:rPr>
              <w:t>Total cash flow</w:t>
            </w: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92,228</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1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(59,799)</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Operating activities represent the principal source of our cash flow.</w:t>
      </w:r>
    </w:p>
    <w:p>
      <w:pPr>
        <w:spacing w:after="0" w:line="22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Cash provided by operating activities was $95.0 million in fiscal 2020, or $37.5 million higher than the prior fiscal year. Cash generated by operating activities for fiscal 2020 was favorably impacted by the postponement of $15.1 million in federal excise tax payments as a result of COVID-19, an incremental $20.4 million decrease in accounts receivable due to timing of shipments and customer payments, and an incremental $10.1 million decrease in inventory from the prior year due to increased firearms shipments. These favorable impacts were partially offset by an incremental $17.8 million of decreased payroll and incentive accruals due to the payment of higher management incentive bonuses during the year and the separation of our former President and Chief Executive Officer.</w:t>
      </w:r>
    </w:p>
    <w:p>
      <w:pPr>
        <w:spacing w:after="0" w:line="192"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We anticipate that inventory levels in our Firearms segment will remain relatively flat to slightly up in the first quarter of fiscal 2021 as we ramp production to meet current consumer demand. We expect that inventory levels in Outdoor Products &amp; Accessories will increase in the first quarter of fiscal 2021 due to seasonal demand requirements.</w:t>
      </w:r>
    </w:p>
    <w:p>
      <w:pPr>
        <w:spacing w:after="0" w:line="1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Cash provided by operating activities was $57.5 million in fiscal 2019, or $4.2 million lower than fiscal 2018. Cash generated by operating activities for fiscal 2019 was favorably impacted by net income of $72.3 million before depreciation and amortization, $11.0 million of increased payroll and incentives due to increased management incentive accruals, and a $10.4 million non-cash goodwill impairment charge in our Outdoor Products &amp; Accessories segment. Cash provided by operating activities was negatively impacted by $29.0 million of increased accounts receivable due to the timing of customer shipments, $10.5 million of increased inventory primarily due to increased inventory purchases to mitigate tariff costs related to our outdoor products and accessories products, and an $7.2 million reduction in accrued expenses because of decreased promotional product discounts and consumer rebate accruals.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Cash used in investing activities in fiscal 2020 was $14.0 million, or $20.9 million lower than fiscal 2019. We recorded capital expenditures of $13.9 million for fiscal 2020, $20.0 million lower than fiscal 2019 due to increased spending in the prior year related to our national distribution center.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ind w:firstLine="589"/>
        <w:spacing w:after="0" w:line="273" w:lineRule="auto"/>
        <w:rPr>
          <w:sz w:val="20"/>
          <w:szCs w:val="20"/>
          <w:color w:val="auto"/>
        </w:rPr>
      </w:pPr>
      <w:r>
        <w:rPr>
          <w:rFonts w:ascii="Arial" w:cs="Arial" w:eastAsia="Arial" w:hAnsi="Arial"/>
          <w:sz w:val="17"/>
          <w:szCs w:val="17"/>
          <w:color w:val="auto"/>
        </w:rPr>
        <w:t>Cash used in investing activities in fiscal 2019 was $34.8 million, or $7.3 million lower than in fiscal 2018, primarily due to $21.3 million of spending on business acquisitions in the prior fiscal year, partially offset by higher spending on capital expenditures in fiscal 2019 compared with fiscal 2018. We recorded capital expenditures of $33.9 million, or $15.5 million over fiscal 2018, primarily because of spending related to our national logistics facility that was completed during fiscal 2019. Excluding spending related to our national logistics facility, we recorded capital expenditures of $16.5 million, a decrease of $2.0 million from fiscal 2018. During fiscal 2019, we acquired substantially all of the LaserLyte branded products and other assets from P&amp;L Industries Inc., for a purchase price of $2.0 million, subject to certain adjustments, utilizing cash on hand.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Cash provided by financing activities was $3.4 million in fiscal 2020 compared with a cash usage of $30.5 million in fiscal 2019. Cash generated from operations and not earmarked for investments in our business would typically have been used to reduce the balance of our revolving credit facility but was not solely as a precaution related to the COVID-19 pandemic. See below regarding the repayment of our Term Loan and Senior Notes with proceeds from our Revolving Line during fiscal 2020.</w:t>
      </w:r>
    </w:p>
    <w:p>
      <w:pPr>
        <w:spacing w:after="0" w:line="22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Cash used in financing activities was $30.5 million in fiscal 2019, which was relatively flat from the prior fiscal year. Cash used in financing activities during fiscal 2019 and 2018 was primarily the result of reducing our outstanding borrowings under our Revolving Line by $25.0 million and principal payments on our Term Loan.</w:t>
      </w:r>
    </w:p>
    <w:p>
      <w:pPr>
        <w:spacing w:after="0" w:line="238" w:lineRule="exact"/>
        <w:rPr>
          <w:sz w:val="20"/>
          <w:szCs w:val="20"/>
          <w:color w:val="auto"/>
        </w:rPr>
      </w:pPr>
    </w:p>
    <w:p>
      <w:pPr>
        <w:ind w:right="200" w:firstLine="589"/>
        <w:spacing w:after="0" w:line="269" w:lineRule="auto"/>
        <w:rPr>
          <w:sz w:val="20"/>
          <w:szCs w:val="20"/>
          <w:color w:val="auto"/>
        </w:rPr>
      </w:pPr>
      <w:r>
        <w:rPr>
          <w:rFonts w:ascii="Arial" w:cs="Arial" w:eastAsia="Arial" w:hAnsi="Arial"/>
          <w:sz w:val="17"/>
          <w:szCs w:val="17"/>
          <w:i w:val="1"/>
          <w:iCs w:val="1"/>
          <w:color w:val="auto"/>
        </w:rPr>
        <w:t xml:space="preserve">Capital Lease – </w:t>
      </w:r>
      <w:r>
        <w:rPr>
          <w:rFonts w:ascii="Arial" w:cs="Arial" w:eastAsia="Arial" w:hAnsi="Arial"/>
          <w:sz w:val="17"/>
          <w:szCs w:val="17"/>
          <w:color w:val="auto"/>
        </w:rPr>
        <w:t>In fiscal 2017, we announced a plan to establish a national logistics facility in Boone County, Missouri. We rely on this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for substantially all of our product distribution. In fiscal 2018, we broke ground on this new 633,000 square foot facility, which was completed in November 2018 and became fully operational during fiscal 2020. As part of the completion of the building, we entered into a lease agreement with the developer of the building for $46.2 million. The lease has an effective interest rate of approximately 5.0% and is payable in 240 monthly installments through fiscal 2039. Upon the commencement of this lease, we accounted for the lease as a finance lease under the provisions of ASC 842, Leases. The building is pledged to secure the amounts outstanding. During the fiscal 2020, we paid $900,000 in principal payments relating to this capital lease. In November 2019, we announced a plan to spin off the outdoor products and accessories business of the company resulting in two independent companies: Smith &amp; Wesson Brands, Inc. (which would encompass our firearm business) and American Outdoor Brands, Inc. (which would encompass our outdoor products and accessories business). The lease is currently held by the corporation that will be named Smith &amp; Wesson Brands, Inc. and is expected to remain that way after the spin-off. It is expected, however, that American Outdoor Brands, Inc. will become a sub-lessor of the facility, although negotiations on those matters have not yet been completed.</w:t>
      </w:r>
    </w:p>
    <w:p>
      <w:pPr>
        <w:spacing w:after="0" w:line="249"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 On June 15, 2015, we and certain of our domestic subsidiaries entered into an unsecured credit facility, or the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TD Bank, N.A. and other lenders, or the Lenders, which included a $175.0 million revolving line of credit, or the Revolving Line, and a $105.0 million term loan, or the Term Loan. The Term Loan was paid in full on November 19, 2019 with proceeds from the Revolving Line.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On November 22, 2019, we entered into a fifth amendment to our Credit Agreement, or the Fifth Amendment, which, among other things, provides the Lenders’ consent to the spin-off of the outdoor products and accessories business, provided that certain financial conditions are satisfied, including (x) granting the Lenders security interest in the assets of the remaining business, (y) reducing the Revolving Line to $250.0 million at the time of the spin-off, and (z) reducing the option to expand the credit agreement to $50.0 million at the time of the spin-off. Other than the changes described in the Second and Fifth Amendments, we otherwise remain subject to the terms of the Credit Agreement, as described below.</w:t>
      </w:r>
    </w:p>
    <w:p>
      <w:pPr>
        <w:spacing w:after="0" w:line="21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April 30, 2020, we had $160.0 million of borrowings outstanding on the Revolving Line, which bore interest at 2.95%, which was equal to the LIBOR rate plus an applicable margin.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jc w:val="both"/>
        <w:ind w:firstLine="589"/>
        <w:spacing w:after="0" w:line="254" w:lineRule="auto"/>
        <w:rPr>
          <w:sz w:val="20"/>
          <w:szCs w:val="20"/>
          <w:color w:val="auto"/>
        </w:rPr>
      </w:pPr>
      <w:r>
        <w:rPr>
          <w:rFonts w:ascii="Arial" w:cs="Arial" w:eastAsia="Arial" w:hAnsi="Arial"/>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that covered 100% of the $105.0 million of floating rate debt. On July 6, 2015, we executed an interest rate swap pursuant to such agreement, which required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was subject to change based on changes in our consolidated leverage ratio. In accordance with the repayment of the Term Loan on November 19, 2019, the interest rate swap was terminated resulting in a realized gain of approximately $40,000.</w:t>
      </w:r>
    </w:p>
    <w:p>
      <w:pPr>
        <w:spacing w:after="0" w:line="19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i w:val="1"/>
          <w:iCs w:val="1"/>
          <w:color w:val="auto"/>
        </w:rPr>
        <w:t xml:space="preserve">2018 Senior Notes - </w:t>
      </w:r>
      <w:r>
        <w:rPr>
          <w:rFonts w:ascii="Arial" w:cs="Arial" w:eastAsia="Arial" w:hAnsi="Arial"/>
          <w:sz w:val="18"/>
          <w:szCs w:val="18"/>
          <w:color w:val="auto"/>
        </w:rPr>
        <w:t>During fiscal 2015, we issued an aggregate of $75.0 million of 5.000% Senior Notes due 2018, or the 2018 Senior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institutional investors pursuant to the terms and conditions of an indenture and purchase agreements. The 2018 Senior Notes bear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 5.000% Senior Notes due 2020. As part of the redemption, in fiscal 2018, we wrote off $226,000 of debt issuance costs related to the 2018 Senior Notes.</w:t>
      </w:r>
    </w:p>
    <w:p>
      <w:pPr>
        <w:spacing w:after="0" w:line="19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i w:val="1"/>
          <w:iCs w:val="1"/>
          <w:color w:val="auto"/>
        </w:rPr>
        <w:t xml:space="preserve">2020 Senior Notes - </w:t>
      </w:r>
      <w:r>
        <w:rPr>
          <w:rFonts w:ascii="Arial" w:cs="Arial" w:eastAsia="Arial" w:hAnsi="Arial"/>
          <w:sz w:val="16"/>
          <w:szCs w:val="16"/>
          <w:color w:val="auto"/>
        </w:rPr>
        <w:t>On February 28, 2018, we issued an aggregate of $75.0 million of the 5.000% Senior Notes due 2020, or the 2020 Senior</w:t>
      </w:r>
      <w:r>
        <w:rPr>
          <w:rFonts w:ascii="Arial" w:cs="Arial" w:eastAsia="Arial" w:hAnsi="Arial"/>
          <w:sz w:val="16"/>
          <w:szCs w:val="16"/>
          <w:i w:val="1"/>
          <w:iCs w:val="1"/>
          <w:color w:val="auto"/>
        </w:rPr>
        <w:t xml:space="preserve"> </w:t>
      </w:r>
      <w:r>
        <w:rPr>
          <w:rFonts w:ascii="Arial" w:cs="Arial" w:eastAsia="Arial" w:hAnsi="Arial"/>
          <w:sz w:val="16"/>
          <w:szCs w:val="16"/>
          <w:color w:val="auto"/>
        </w:rPr>
        <w:t>Notes, to various institutional investors pursuant to the terms and conditions of an indenture, or the 2020 Senior Notes Indenture, and purchase agreements. The 2020 Senior Notes bore interest at a rate of 5.000% per annum payable on February 28 and August 28 of each year, beginning on August 28, 2018. We incurred $158,000 of debt issuance costs related to the issuance of the 2020 Senior Notes. On January 6, 2020, or the Redemption Date, we redeemed 100% of the principal amount of the 2020 Senior Notes, plus accrued and unpaid interest to, but not including, the Redemption Date, with proceeds from the Revolving Line. As part of the redemption, we wrote off $42,000 of debt issuance costs related to the 2020 Senior Notes.</w:t>
      </w:r>
    </w:p>
    <w:p>
      <w:pPr>
        <w:spacing w:after="0" w:line="16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 We were in compliance with all debt covenants as of April 30, 2020.</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Share Repurchase Programs - </w:t>
      </w:r>
      <w:r>
        <w:rPr>
          <w:rFonts w:ascii="Arial" w:cs="Arial" w:eastAsia="Arial" w:hAnsi="Arial"/>
          <w:sz w:val="18"/>
          <w:szCs w:val="18"/>
          <w:color w:val="auto"/>
        </w:rPr>
        <w:t>We did not repurchase any shares of our common stock during fiscal 2020, 2019, or 2018.</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April 30, 2020, we had $125.4 million in cash and cash equivalents on hand.</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 apart from any major acquisitions.</w:t>
      </w:r>
    </w:p>
    <w:p>
      <w:pPr>
        <w:spacing w:after="0" w:line="184"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costs to enhance the equipment and software at our logistics facility, and any acquisitions or strategic investments that we may determine to make.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 In addition to the operational needs described above, at the time of the Separation, we intend to contribute $25.0 million in cash to the outdoor products and accessories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believe that inflation had a material impact on us during fiscal 2020, 2019, or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 xml:space="preserve">We recognize revenue in accordance with the provisions of Accounting Standards Update, or ASU,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became effective for us on May 1, 2018. Generally, all performance obligations are satisfied and revenue is recognized when the risks and rewards of ownership have transferred to the customer, which is generally upon shipment but could be delayed until the receipt of customer acceptance.</w:t>
      </w:r>
    </w:p>
    <w:p>
      <w:pPr>
        <w:spacing w:after="0" w:line="149"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In some instances, sales include multiple performance obligations. The most common of these instances relates to sales promotion programs that entitle customers to receive free goods based upon their purchase of our products. The fulfillment of these free goods is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revenue proportionally as each performance obligation is satisfied, based on the relative transaction price of each product. The net change in contract liabilities for a given period is reported as an increase or decrease to sales.</w:t>
      </w:r>
    </w:p>
    <w:p>
      <w:pPr>
        <w:spacing w:after="0" w:line="192"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Our product sales are generally sold free on board, or FOB, shipping point and provide payment terms to most commercial customers ranging from 20 to 90 days of product shipment with a discount available in certain cases for early payment. For contracts with discounted terms, we determine the transaction price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Valuation of Long-lived Tangible and Intangible Assets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evaluate the recoverability of long-lived assets, or asset groups, whenever events or 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76"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7" w:lineRule="exact"/>
        <w:rPr>
          <w:sz w:val="20"/>
          <w:szCs w:val="20"/>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changes in the manner or use of the assets or the strategy for our overall business;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significant decline in our stock price for a sustained period; and</w:t>
      </w:r>
    </w:p>
    <w:p>
      <w:pPr>
        <w:spacing w:after="0" w:line="117" w:lineRule="exact"/>
        <w:rPr>
          <w:rFonts w:ascii="Arial" w:cs="Arial" w:eastAsia="Arial" w:hAnsi="Arial"/>
          <w:sz w:val="18"/>
          <w:szCs w:val="18"/>
          <w:color w:val="auto"/>
        </w:rPr>
      </w:pPr>
    </w:p>
    <w:p>
      <w:pPr>
        <w:ind w:left="1020" w:hanging="43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our market capitalization below net book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jc w:val="both"/>
        <w:ind w:firstLine="589"/>
        <w:spacing w:after="0" w:line="277" w:lineRule="auto"/>
        <w:rPr>
          <w:sz w:val="20"/>
          <w:szCs w:val="20"/>
          <w:color w:val="auto"/>
        </w:rPr>
      </w:pPr>
      <w:r>
        <w:rPr>
          <w:rFonts w:ascii="Arial" w:cs="Arial" w:eastAsia="Arial" w:hAnsi="Arial"/>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9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we test goodwill for impairment on an annual basis on February 1 and between annual tests if indicators of potential impairment exist. The impairment test compares the fair value of the operating units to their carrying amounts to assess whether impairment is present. We have reviewed the provisions of ASC 350-20, with respect to the criteria necessary to evaluate the number of reporting units that exist. Based on this review, we had concluded that we have two operating units when reviewing ASC 350-20: Firearms and Outdoor Products &amp; Accessories.</w:t>
      </w:r>
    </w:p>
    <w:p>
      <w:pPr>
        <w:spacing w:after="0" w:line="22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212529"/>
        </w:rPr>
        <w:t>We estimate the fair value of our Firearms and Outdoor Products &amp; Accessories operating units using an equal weighting of the fair values derived from the income approach and the market approach because we believe a market participant would equally weight both approaches when valuing the operating units.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operating unit being valued. Finally, we compare and reconcile our overall fair value to our market capitalization in order to assess the reasonableness of the calculated fair values of our operating units. We recognize an impairment loss for goodwill if the implied fair value of goodwill is less than the carrying value.</w:t>
      </w:r>
    </w:p>
    <w:p>
      <w:pPr>
        <w:spacing w:after="0" w:line="226"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212529"/>
        </w:rPr>
        <w:t>As of our valuation date, February 1, 2020, our Firearms operating unit had $19.0 million of goodwill and its fair value significantly exceeded its carrying value. Our Outdoor Products &amp; Accessories operating unit had $163.2 million of goodwill and its fair value exceeded its carrying value by approximately 1.5%. On March 23, 2020, we determined that business in our Outdoor Products &amp; Accessories segment was expected to be negatively impacted by several factors related to the COVID-19 pandemic, including a major online retail customer’s decision to halt or delay most non-essential product orders, COVID-19-related supply chain issues, as well as COVID-19-related “stay at home” orders and sporting goods store closures, which reduced retail foot traffic in many states. Given the extreme market volatility, we relied solely on the income approach to derive the current value of the Outdoor Products &amp; Accessories segment. Based on these factors, we expect reduced cash flows in our Outdoor Products &amp; Accessories segment, and we believe this constituted a triggering event under generally accepted accounting principles. Based on the results of this evaluation, we recorded a non-cash impairment charge $98.7 million of goodwill in our Outdoor Products &amp; Accessories segment. As of April 30, 2020, our Outdoor Products &amp; Accessories operating unit had $64.6 million of goodwill. Although we concluded that there was no additional impairment of the goodwill associated with our operating units as of April 30, 2020, we will continue to closely monitor their performance and related market conditions for future indicators of potential impairment and reassess accordingly. Our assumptions related to the development of fair value could deviate materially from actual results and forecasts used to support asset carrying values may change in the future, which could result in non-cash charges that would adversely affect our financial results of operations.</w:t>
      </w:r>
    </w:p>
    <w:p>
      <w:pPr>
        <w:spacing w:after="0" w:line="21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 xml:space="preserve">The re-measurement of goodwill is classified as a Level 3 fair value assessment as described in Note 13 -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due to the significance of unobservable inputs developed using company-specific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9" w:name="page70"/>
    <w:bookmarkEnd w:id="69"/>
    <w:p>
      <w:pPr>
        <w:ind w:left="30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We value inventories at the lower of cost, using the first-in, first-out, or FIFO, method, or net realizable value. An allowance for potential non-saleable inventory due to excess stock or obsolescence is based upon a detailed review of inventory, past history, and expected future usage.</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generally provide a limited one-year warranty and a lifetime service policy to the original purchaser of our new firearm products. We either provide a limited one-year, three-year, lifetime, or full lifetime warranty program to the original purchaser of most of our accessories products. We will also repair or replace certain products or parts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could be adversely impacted.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The nature and impact of recent accounting pronouncements is discussed in Note 3 —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our consolidated financial statements,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a summary of our material contractual obligations and commercial commitments as of April 30, 2020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35"/>
              <w:spacing w:after="0"/>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b w:val="1"/>
                <w:bCs w:val="1"/>
                <w:color w:val="auto"/>
              </w:rPr>
              <w:t>1-3 Years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5 Years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Finance lease obligation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52,032</w:t>
            </w:r>
          </w:p>
        </w:tc>
        <w:tc>
          <w:tcPr>
            <w:tcW w:w="12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86,084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86,084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obligations</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322,017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172,204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had $160.0 million of borrowings under our Revolving Line as of April 30, 2020. In fiscal 2019, we entered into a $45.4 million capital lease obligation related to the purchase of land and costs related to the design and construction of our national logistics facility. We have $30.1 million of contractually obligated interest payments pertaining to our outstanding capital lease obligation.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do not have any transactions, arrangements, or other relationships with unconsolidated entities that are reasonably likely to affect our liquidity or capital resources. We have no special purpose or limited purpose entities that provide off-balance sheet financing, liquidity, or market or credit risk support or that engage in leasing, hedging, research and development services, or other relationships that expose us to liability that is not reflected in our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do not enter into any market risk sensitive instruments for trading purposes. Our principal market risk relates to the variable interest rate associated with our Credit Agreement, which consists of a $350.0 million revolving line of credit that bears interest at a variable rate equal to LIBOR or prime, at our election, plus an applicable margin based on our consolidated leverage ratio. As of April 30, 2020, we had $160.0 million of borrowings outstanding under the Revolving Line, which bore interest at 2.95%.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Reference is made to the financial statements, the notes thereto, and the report thereon, commencing on page F-1 of this report, which financial statements, notes, and report are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714"/>
        <w:spacing w:after="0" w:line="301"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the reports we file or submit under the Securities Exchange Act of 1934, as amended, or the Exchange Act, is recorded, processed, summarized and reported within the time periods specified in the SEC’s rules and forms, and that such information is accumulated and communicated to our management, including our co-Chief Executive Officers and Chief Financial Officer, to allow timely decisions regarding required disclosure.</w:t>
      </w:r>
    </w:p>
    <w:p>
      <w:pPr>
        <w:spacing w:after="0" w:line="157" w:lineRule="exact"/>
        <w:rPr>
          <w:sz w:val="20"/>
          <w:szCs w:val="20"/>
          <w:color w:val="auto"/>
        </w:rPr>
      </w:pPr>
    </w:p>
    <w:p>
      <w:pPr>
        <w:ind w:right="40" w:firstLine="714"/>
        <w:spacing w:after="0" w:line="257" w:lineRule="auto"/>
        <w:rPr>
          <w:sz w:val="20"/>
          <w:szCs w:val="20"/>
          <w:color w:val="auto"/>
        </w:rPr>
      </w:pPr>
      <w:r>
        <w:rPr>
          <w:rFonts w:ascii="Arial" w:cs="Arial" w:eastAsia="Arial" w:hAnsi="Arial"/>
          <w:sz w:val="18"/>
          <w:szCs w:val="18"/>
          <w:color w:val="auto"/>
        </w:rPr>
        <w:t>Our management, under the supervision of our co-Chief Executive Officers and Chief Financial Officer, evaluated the effectiveness of our disclosure controls and procedures (as defined in Rules 13a-15(e) and 15d-15(e) under the Exchange Act as of the end of the period covered by this Annual Report on Form-10-K. Based on that evaluation, we have concluded that, as of the end of the period covered by this Annual Report on Form-10-K, our disclosure controls and procedures were not effective to provide such reasonable assurance. This determination is based on the material weakness in our internal control over financial reporting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40" w:firstLine="714"/>
        <w:spacing w:after="0" w:line="289" w:lineRule="auto"/>
        <w:rPr>
          <w:sz w:val="20"/>
          <w:szCs w:val="20"/>
          <w:color w:val="auto"/>
        </w:rPr>
      </w:pPr>
      <w:r>
        <w:rPr>
          <w:rFonts w:ascii="Arial" w:cs="Arial" w:eastAsia="Arial" w:hAnsi="Arial"/>
          <w:sz w:val="16"/>
          <w:szCs w:val="16"/>
          <w:color w:val="auto"/>
        </w:rPr>
        <w:t>Our management, with the participation of our co-Chief Executive Officers and Chief Financial Officer, is responsible for establishing and maintaining adequate internal control over financial reporting. Internal control over financial reporting is defined in Rules 13a-15(f) and 15d-15(f) promulgated under the Exchange Act as our internal control our financial reporting is to provide reasonable assurance regarding the reliability of financial reporting and the preparation of financial statements for external purposes in accordance with generally accepted accounting principles and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firstLine="71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right="160" w:firstLine="714"/>
        <w:spacing w:after="0" w:line="263"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April 30, 2020.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w:t>
      </w:r>
    </w:p>
    <w:p>
      <w:pPr>
        <w:spacing w:after="0" w:line="184" w:lineRule="exact"/>
        <w:rPr>
          <w:sz w:val="20"/>
          <w:szCs w:val="20"/>
          <w:color w:val="auto"/>
        </w:rPr>
      </w:pPr>
    </w:p>
    <w:p>
      <w:pPr>
        <w:ind w:right="80" w:firstLine="714"/>
        <w:spacing w:after="0" w:line="263" w:lineRule="auto"/>
        <w:rPr>
          <w:sz w:val="20"/>
          <w:szCs w:val="20"/>
          <w:color w:val="auto"/>
        </w:rPr>
      </w:pPr>
      <w:r>
        <w:rPr>
          <w:rFonts w:ascii="Arial" w:cs="Arial" w:eastAsia="Arial" w:hAnsi="Arial"/>
          <w:sz w:val="18"/>
          <w:szCs w:val="18"/>
          <w:color w:val="auto"/>
        </w:rPr>
        <w:t>A material weakness, as defined in Exchange Act Rule 12b-2,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8" w:lineRule="exact"/>
        <w:rPr>
          <w:sz w:val="20"/>
          <w:szCs w:val="20"/>
          <w:color w:val="auto"/>
        </w:rPr>
      </w:pPr>
    </w:p>
    <w:p>
      <w:pPr>
        <w:ind w:firstLine="715"/>
        <w:spacing w:after="0" w:line="256" w:lineRule="auto"/>
        <w:rPr>
          <w:sz w:val="20"/>
          <w:szCs w:val="20"/>
          <w:color w:val="auto"/>
        </w:rPr>
      </w:pPr>
      <w:r>
        <w:rPr>
          <w:sz w:val="1"/>
          <w:szCs w:val="1"/>
          <w:color w:val="auto"/>
        </w:rPr>
        <w:drawing>
          <wp:inline distT="0" distB="0" distL="0" distR="0">
            <wp:extent cx="111125" cy="1714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171450"/>
                    </a:xfrm>
                    <a:prstGeom prst="rect">
                      <a:avLst/>
                    </a:prstGeom>
                    <a:noFill/>
                    <a:ln>
                      <a:noFill/>
                    </a:ln>
                  </pic:spPr>
                </pic:pic>
              </a:graphicData>
            </a:graphic>
          </wp:inline>
        </w:drawing>
      </w:r>
      <w:r>
        <w:rPr>
          <w:rFonts w:ascii="Arial" w:cs="Arial" w:eastAsia="Arial" w:hAnsi="Arial"/>
          <w:sz w:val="18"/>
          <w:szCs w:val="18"/>
          <w:color w:val="auto"/>
        </w:rPr>
        <w:t>In the course of preparing the financial statements that are included in this Form 10-K, management identified a material weakness in the internal control environment as we did not appropriately design and maintain controls related to the accounting for goodwill impairment. Control activities were not designed or maintained over the preparation and review of the goodwill impairment analysis, including our accounting for the related income tax treatment and review of third-party experts’ work product.</w:t>
      </w:r>
    </w:p>
    <w:p>
      <w:pPr>
        <w:spacing w:after="0" w:line="189" w:lineRule="exact"/>
        <w:rPr>
          <w:sz w:val="20"/>
          <w:szCs w:val="20"/>
          <w:color w:val="auto"/>
        </w:rPr>
      </w:pPr>
    </w:p>
    <w:p>
      <w:pPr>
        <w:ind w:right="100" w:firstLine="714"/>
        <w:spacing w:after="0" w:line="259" w:lineRule="auto"/>
        <w:rPr>
          <w:sz w:val="20"/>
          <w:szCs w:val="20"/>
          <w:color w:val="auto"/>
        </w:rPr>
      </w:pPr>
      <w:r>
        <w:rPr>
          <w:rFonts w:ascii="Arial" w:cs="Arial" w:eastAsia="Arial" w:hAnsi="Arial"/>
          <w:sz w:val="18"/>
          <w:szCs w:val="18"/>
          <w:color w:val="auto"/>
        </w:rPr>
        <w:t>The material weakness resulted in audit adjustments to goodwill pertaining to our Outdoor Products &amp; Accessories reporting unit that were recorded in our consolidated financial statements as of and for the year ended April 30, 2020 prior to our issuance of those financial statements and could result in a reasonable possibility that a material misstatement to our annual or interim consolidated financial statements may not be prevented or detected on a timely basis by our internal controls.</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Because of this material weakness, management concluded that we did not maintain effective internal control over financial reporting as of April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30, 2020.</w:t>
      </w:r>
    </w:p>
    <w:p>
      <w:pPr>
        <w:spacing w:after="0" w:line="211" w:lineRule="exact"/>
        <w:rPr>
          <w:sz w:val="20"/>
          <w:szCs w:val="20"/>
          <w:color w:val="auto"/>
        </w:rPr>
      </w:pPr>
    </w:p>
    <w:p>
      <w:pPr>
        <w:ind w:right="100" w:firstLine="714"/>
        <w:spacing w:after="0" w:line="277" w:lineRule="auto"/>
        <w:rPr>
          <w:sz w:val="20"/>
          <w:szCs w:val="20"/>
          <w:color w:val="auto"/>
        </w:rPr>
      </w:pPr>
      <w:r>
        <w:rPr>
          <w:rFonts w:ascii="Arial" w:cs="Arial" w:eastAsia="Arial" w:hAnsi="Arial"/>
          <w:sz w:val="18"/>
          <w:szCs w:val="18"/>
          <w:color w:val="auto"/>
        </w:rPr>
        <w:t>Our internal control over financial reporting as of April 30, 2020, has been audited by Deloitte &amp; Touche LLP, an independent registered public accounting firm, as stated in their report on our internal control over financial reporting, which follows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 for Remediation of the Material Weakness</w:t>
      </w:r>
    </w:p>
    <w:p>
      <w:pPr>
        <w:spacing w:after="0" w:line="229" w:lineRule="exact"/>
        <w:rPr>
          <w:sz w:val="20"/>
          <w:szCs w:val="20"/>
          <w:color w:val="auto"/>
        </w:rPr>
      </w:pPr>
    </w:p>
    <w:p>
      <w:pPr>
        <w:ind w:right="280" w:firstLine="714"/>
        <w:spacing w:after="0" w:line="286" w:lineRule="auto"/>
        <w:rPr>
          <w:sz w:val="20"/>
          <w:szCs w:val="20"/>
          <w:color w:val="auto"/>
        </w:rPr>
      </w:pPr>
      <w:r>
        <w:rPr>
          <w:rFonts w:ascii="Arial" w:cs="Arial" w:eastAsia="Arial" w:hAnsi="Arial"/>
          <w:sz w:val="17"/>
          <w:szCs w:val="17"/>
          <w:color w:val="auto"/>
        </w:rPr>
        <w:t>In response to the material weakness described above, with the oversight of the Audit Committee of our Board of Directors, management is currently evaluating our policies and procedures related to the accounting for goodwill and plans to design and implement adequate internal controls to ensure that the determination of the carrying value of the reporting unit is properly accounted for and reviewed.</w:t>
      </w:r>
    </w:p>
    <w:p>
      <w:pPr>
        <w:spacing w:after="0" w:line="165" w:lineRule="exact"/>
        <w:rPr>
          <w:sz w:val="20"/>
          <w:szCs w:val="20"/>
          <w:color w:val="auto"/>
        </w:rPr>
      </w:pPr>
    </w:p>
    <w:p>
      <w:pPr>
        <w:ind w:right="120" w:firstLine="714"/>
        <w:spacing w:after="0" w:line="259" w:lineRule="auto"/>
        <w:rPr>
          <w:sz w:val="20"/>
          <w:szCs w:val="20"/>
          <w:color w:val="auto"/>
        </w:rPr>
      </w:pPr>
      <w:r>
        <w:rPr>
          <w:rFonts w:ascii="Arial" w:cs="Arial" w:eastAsia="Arial" w:hAnsi="Arial"/>
          <w:sz w:val="18"/>
          <w:szCs w:val="18"/>
          <w:color w:val="auto"/>
        </w:rPr>
        <w:t>The remediation efforts are intended both to address the identified material weakness and to enhance our overall financial control environment. Management is committed to continuous improvement of our internal control over financial reporting and will continue to diligently review our internal control over financial reporting. Our remediation efforts are ongoing and management expects that the remediation efforts, including design, implementation, and testing, will continue in fiscal year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 and Procedures</w:t>
      </w:r>
    </w:p>
    <w:p>
      <w:pPr>
        <w:spacing w:after="0" w:line="229" w:lineRule="exact"/>
        <w:rPr>
          <w:sz w:val="20"/>
          <w:szCs w:val="20"/>
          <w:color w:val="auto"/>
        </w:rPr>
      </w:pPr>
    </w:p>
    <w:p>
      <w:pPr>
        <w:ind w:firstLine="714"/>
        <w:spacing w:after="0" w:line="255" w:lineRule="auto"/>
        <w:rPr>
          <w:sz w:val="20"/>
          <w:szCs w:val="20"/>
          <w:color w:val="auto"/>
        </w:rPr>
      </w:pPr>
      <w:r>
        <w:rPr>
          <w:rFonts w:ascii="Arial" w:cs="Arial" w:eastAsia="Arial" w:hAnsi="Arial"/>
          <w:sz w:val="18"/>
          <w:szCs w:val="18"/>
          <w:color w:val="auto"/>
        </w:rPr>
        <w:t>In designing and evaluating our disclosure controls and procedures, our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our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229" w:lineRule="exact"/>
        <w:rPr>
          <w:sz w:val="20"/>
          <w:szCs w:val="20"/>
          <w:color w:val="auto"/>
        </w:rPr>
      </w:pPr>
    </w:p>
    <w:p>
      <w:pPr>
        <w:jc w:val="both"/>
        <w:ind w:firstLine="714"/>
        <w:spacing w:after="0" w:line="286" w:lineRule="auto"/>
        <w:rPr>
          <w:sz w:val="20"/>
          <w:szCs w:val="20"/>
          <w:color w:val="auto"/>
        </w:rPr>
      </w:pPr>
      <w:r>
        <w:rPr>
          <w:rFonts w:ascii="Arial" w:cs="Arial" w:eastAsia="Arial" w:hAnsi="Arial"/>
          <w:sz w:val="17"/>
          <w:szCs w:val="17"/>
          <w:color w:val="auto"/>
        </w:rPr>
        <w:t>Other than the material weakness noted above, there have been no changes in our internal control over financial reporting during our most recent fiscal quarter ended April 30, 2020 that have materially affected, or are reasonably likely to materially affect, our internal control over financial reporting. We have not experienced any material impact to our internal controls over financial reporting as a result of the COVID-19 pandemic.</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73" w:name="page74"/>
    <w:bookmarkEnd w:id="7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Smith &amp; Wesson Brands, Inc.</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We have audited the internal control over financial reporting of Smith &amp; Wesson Brands, Inc. and subsidiaries (the “Company”) as of April 30,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April 30,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COSO</w:t>
      </w:r>
      <w:r>
        <w:rPr>
          <w:rFonts w:ascii="Arial" w:cs="Arial" w:eastAsia="Arial" w:hAnsi="Arial"/>
          <w:sz w:val="17"/>
          <w:szCs w:val="17"/>
          <w:b w:val="1"/>
          <w:bCs w:val="1"/>
          <w:color w:val="auto"/>
        </w:rPr>
        <w:t>.</w:t>
      </w:r>
    </w:p>
    <w:p>
      <w:pPr>
        <w:spacing w:after="0" w:line="28"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April 30, 2020, of the Company and our report dated June 19, 2020, expressed an unqualified opinion on those financial statements and included an explanatory paragraph regarding the Company’s adoption of a new accounting standard.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6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Weakness</w:t>
      </w:r>
    </w:p>
    <w:p>
      <w:pPr>
        <w:spacing w:after="0" w:line="2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Control activities were not designed or maintained over the preparation and review of the goodwill impairment analysis, including the accounting for the related income tax treatment and review of third-party experts’ work product. This material weakness was considered in determining the nature, timing, and extent of audit tests applied in our audit of the consolidated financial statements as of and for the year ended April 30, 2020, of the Company, and this report does not affect our report on such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June 19,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information required by this Item relating to our directors and corporate governance is incorporated herein by reference to the definitive Proxy Statement to be filed pursuant to Regulation 14A of the Exchange Act for our 2020 Annual Meeting of Stockholders. The information required by this Item relating to our executive officers is included in Item 1, “Business — Executive Officers” of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to be filed pursuant to Regulation 14A of the Exchange Act for our 2020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to be filed pursuant to Regulation 14A of the Exchange Act for our 2020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to be filed pursuant to Regulation 14A of the Exchange Act for our 2020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to be filed pursuant to Regulation 14A of the Exchange Act for our 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 Financial Statements and Financial Statement Schedules</w:t>
      </w:r>
    </w:p>
    <w:p>
      <w:pPr>
        <w:spacing w:after="0" w:line="121" w:lineRule="exact"/>
        <w:rPr>
          <w:sz w:val="20"/>
          <w:szCs w:val="20"/>
          <w:color w:val="auto"/>
        </w:rPr>
      </w:pPr>
    </w:p>
    <w:p>
      <w:pPr>
        <w:ind w:left="860" w:hanging="263"/>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Financial Statements are listed in the Index to Consolidated Financial Statements on page F-1 of this report.</w:t>
      </w:r>
    </w:p>
    <w:p>
      <w:pPr>
        <w:spacing w:after="0" w:line="225" w:lineRule="exact"/>
        <w:rPr>
          <w:rFonts w:ascii="Arial" w:cs="Arial" w:eastAsia="Arial" w:hAnsi="Arial"/>
          <w:sz w:val="18"/>
          <w:szCs w:val="18"/>
          <w:color w:val="auto"/>
        </w:rPr>
      </w:pPr>
    </w:p>
    <w:p>
      <w:pPr>
        <w:ind w:firstLine="597"/>
        <w:spacing w:after="0" w:line="277" w:lineRule="auto"/>
        <w:tabs>
          <w:tab w:leader="none" w:pos="8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 Schedules: Schedule II — Valuation and Qualifying Accounts for the years ended April 30, 2020, 2019, and 2018 is set forth on page F-39 of this report.</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(b)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0" w:type="dxa"/>
            <w:vAlign w:val="bottom"/>
            <w:gridSpan w:val="7"/>
            <w:vMerge w:val="restart"/>
          </w:tcPr>
          <w:p>
            <w:pPr>
              <w:ind w:left="10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2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9900" w:type="dxa"/>
            <w:vAlign w:val="bottom"/>
            <w:tcBorders>
              <w:top w:val="single" w:sz="8" w:color="auto"/>
            </w:tcBorders>
            <w:gridSpan w:val="10"/>
          </w:tcPr>
          <w:p>
            <w:pPr>
              <w:spacing w:after="0"/>
              <w:rPr>
                <w:rFonts w:ascii="Arial" w:cs="Arial" w:eastAsia="Arial" w:hAnsi="Arial"/>
                <w:sz w:val="18"/>
                <w:szCs w:val="18"/>
                <w:color w:val="0000EE"/>
                <w:w w:val="96"/>
              </w:rPr>
            </w:pPr>
            <w:hyperlink r:id="rId97">
              <w:r>
                <w:rPr>
                  <w:rFonts w:ascii="Arial" w:cs="Arial" w:eastAsia="Arial" w:hAnsi="Arial"/>
                  <w:sz w:val="18"/>
                  <w:szCs w:val="18"/>
                  <w:color w:val="0000EE"/>
                  <w:w w:val="96"/>
                </w:rPr>
                <w:t>Stock Purchase and Sale Agreement, dated November 25, 2014, by and among the Registrant, Clearview Battenfeld Acquisition</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Company LLC, and the Members named therein(1)</w:t>
              </w:r>
            </w:hyperlink>
          </w:p>
        </w:tc>
        <w:tc>
          <w:tcPr>
            <w:tcW w:w="5520" w:type="dxa"/>
            <w:vAlign w:val="bottom"/>
            <w:tcBorders>
              <w:top w:val="single" w:sz="8" w:color="0000EE"/>
            </w:tcBorders>
          </w:tcPr>
          <w:p>
            <w:pPr>
              <w:spacing w:after="0"/>
              <w:rPr>
                <w:sz w:val="17"/>
                <w:szCs w:val="17"/>
                <w:color w:val="auto"/>
              </w:rPr>
            </w:pPr>
          </w:p>
        </w:tc>
        <w:tc>
          <w:tcPr>
            <w:tcW w:w="6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0" w:type="dxa"/>
            <w:vAlign w:val="bottom"/>
          </w:tcPr>
          <w:p>
            <w:pPr>
              <w:jc w:val="right"/>
              <w:ind w:right="612"/>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Asset Purchase Agreement, dated July 15, 2016, by and among BTI Tools, LLC, Taylor Brands, LLC, and the Members named therein</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1"/>
              </w:rPr>
            </w:pPr>
            <w:hyperlink r:id="rId98">
              <w:r>
                <w:rPr>
                  <w:rFonts w:ascii="Arial" w:cs="Arial" w:eastAsia="Arial" w:hAnsi="Arial"/>
                  <w:sz w:val="18"/>
                  <w:szCs w:val="18"/>
                  <w:color w:val="0000EE"/>
                  <w:w w:val="81"/>
                </w:rPr>
                <w:t>(2)</w:t>
              </w:r>
            </w:hyperlink>
          </w:p>
        </w:tc>
        <w:tc>
          <w:tcPr>
            <w:tcW w:w="29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0" w:type="dxa"/>
            <w:vAlign w:val="bottom"/>
          </w:tcPr>
          <w:p>
            <w:pPr>
              <w:jc w:val="right"/>
              <w:ind w:right="612"/>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9900" w:type="dxa"/>
            <w:vAlign w:val="bottom"/>
            <w:tcBorders>
              <w:bottom w:val="single" w:sz="8" w:color="0000EE"/>
            </w:tcBorders>
            <w:gridSpan w:val="10"/>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Asset Purchase Agreement, dated July 25, 2016, by and among Smith &amp; Wesson Holding Corporation and Crimson Trace Holdings, LLC</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0000EE"/>
            </w:tcBorders>
          </w:tcPr>
          <w:p>
            <w:pPr>
              <w:spacing w:after="0" w:line="196" w:lineRule="exact"/>
              <w:rPr>
                <w:rFonts w:ascii="Arial" w:cs="Arial" w:eastAsia="Arial" w:hAnsi="Arial"/>
                <w:sz w:val="18"/>
                <w:szCs w:val="18"/>
                <w:color w:val="0000EE"/>
                <w:w w:val="81"/>
              </w:rPr>
            </w:pPr>
            <w:hyperlink r:id="rId99">
              <w:r>
                <w:rPr>
                  <w:rFonts w:ascii="Arial" w:cs="Arial" w:eastAsia="Arial" w:hAnsi="Arial"/>
                  <w:sz w:val="18"/>
                  <w:szCs w:val="18"/>
                  <w:color w:val="0000EE"/>
                  <w:w w:val="81"/>
                </w:rPr>
                <w:t>(3)</w:t>
              </w:r>
            </w:hyperlink>
          </w:p>
        </w:tc>
        <w:tc>
          <w:tcPr>
            <w:tcW w:w="2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00" w:type="dxa"/>
            <w:vAlign w:val="bottom"/>
          </w:tcPr>
          <w:p>
            <w:pPr>
              <w:jc w:val="right"/>
              <w:ind w:right="612"/>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w w:val="95"/>
              </w:rPr>
            </w:pPr>
            <w:hyperlink r:id="rId100">
              <w:r>
                <w:rPr>
                  <w:rFonts w:ascii="Arial" w:cs="Arial" w:eastAsia="Arial" w:hAnsi="Arial"/>
                  <w:sz w:val="18"/>
                  <w:szCs w:val="18"/>
                  <w:u w:val="single" w:color="auto"/>
                  <w:color w:val="0000EE"/>
                  <w:w w:val="95"/>
                </w:rPr>
                <w:t>Plan of Merger, dated May 29, 2020, by and between American Outdoor Brands Corporation and Smith &amp; Wesson Brands, Inc.(4)</w:t>
              </w:r>
            </w:hyperlink>
          </w:p>
        </w:tc>
        <w:tc>
          <w:tcPr>
            <w:tcW w:w="0" w:type="dxa"/>
            <w:vAlign w:val="bottom"/>
          </w:tcPr>
          <w:p>
            <w:pPr>
              <w:spacing w:after="0"/>
              <w:rPr>
                <w:sz w:val="1"/>
                <w:szCs w:val="1"/>
                <w:color w:val="auto"/>
              </w:rPr>
            </w:pPr>
          </w:p>
        </w:tc>
      </w:tr>
      <w:tr>
        <w:trPr>
          <w:trHeight w:val="338"/>
        </w:trPr>
        <w:tc>
          <w:tcPr>
            <w:tcW w:w="1200" w:type="dxa"/>
            <w:vAlign w:val="bottom"/>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Amended and Restated Bylaws (5)</w:t>
              </w:r>
            </w:hyperlink>
          </w:p>
        </w:tc>
        <w:tc>
          <w:tcPr>
            <w:tcW w:w="0" w:type="dxa"/>
            <w:vAlign w:val="bottom"/>
          </w:tcPr>
          <w:p>
            <w:pPr>
              <w:spacing w:after="0"/>
              <w:rPr>
                <w:sz w:val="1"/>
                <w:szCs w:val="1"/>
                <w:color w:val="auto"/>
              </w:rPr>
            </w:pPr>
          </w:p>
        </w:tc>
      </w:tr>
      <w:tr>
        <w:trPr>
          <w:trHeight w:val="338"/>
        </w:trPr>
        <w:tc>
          <w:tcPr>
            <w:tcW w:w="1200" w:type="dxa"/>
            <w:vAlign w:val="bottom"/>
          </w:tcPr>
          <w:p>
            <w:pPr>
              <w:ind w:lef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Second Amended and Restated Articles of Incorporation (6)</w:t>
              </w:r>
            </w:hyperlink>
          </w:p>
        </w:tc>
        <w:tc>
          <w:tcPr>
            <w:tcW w:w="0" w:type="dxa"/>
            <w:vAlign w:val="bottom"/>
          </w:tcPr>
          <w:p>
            <w:pPr>
              <w:spacing w:after="0"/>
              <w:rPr>
                <w:sz w:val="1"/>
                <w:szCs w:val="1"/>
                <w:color w:val="auto"/>
              </w:rPr>
            </w:pPr>
          </w:p>
        </w:tc>
      </w:tr>
      <w:tr>
        <w:trPr>
          <w:trHeight w:val="338"/>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3.9(a)</w:t>
            </w:r>
          </w:p>
        </w:tc>
        <w:tc>
          <w:tcPr>
            <w:tcW w:w="9900" w:type="dxa"/>
            <w:vAlign w:val="bottom"/>
            <w:gridSpan w:val="10"/>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Certificate of Withdrawal of Certificate of Designation(7)</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612"/>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Articles of Merger(4)</w:t>
              </w:r>
            </w:hyperlink>
          </w:p>
        </w:tc>
        <w:tc>
          <w:tcPr>
            <w:tcW w:w="0" w:type="dxa"/>
            <w:vAlign w:val="bottom"/>
          </w:tcPr>
          <w:p>
            <w:pPr>
              <w:spacing w:after="0"/>
              <w:rPr>
                <w:sz w:val="1"/>
                <w:szCs w:val="1"/>
                <w:color w:val="auto"/>
              </w:rPr>
            </w:pPr>
          </w:p>
        </w:tc>
      </w:tr>
      <w:tr>
        <w:trPr>
          <w:trHeight w:val="338"/>
        </w:trPr>
        <w:tc>
          <w:tcPr>
            <w:tcW w:w="120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Form of Common Stock Certificate</w:t>
              </w:r>
            </w:hyperlink>
          </w:p>
        </w:tc>
        <w:tc>
          <w:tcPr>
            <w:tcW w:w="0" w:type="dxa"/>
            <w:vAlign w:val="bottom"/>
          </w:tcPr>
          <w:p>
            <w:pPr>
              <w:spacing w:after="0"/>
              <w:rPr>
                <w:sz w:val="1"/>
                <w:szCs w:val="1"/>
                <w:color w:val="auto"/>
              </w:rPr>
            </w:pPr>
          </w:p>
        </w:tc>
      </w:tr>
      <w:tr>
        <w:trPr>
          <w:trHeight w:val="338"/>
        </w:trPr>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10.24(a)*</w:t>
            </w:r>
          </w:p>
        </w:tc>
        <w:tc>
          <w:tcPr>
            <w:tcW w:w="9900" w:type="dxa"/>
            <w:vAlign w:val="bottom"/>
            <w:gridSpan w:val="10"/>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Amended and Restated 2004 Incentive Stock Plan(8)</w:t>
              </w:r>
            </w:hyperlink>
          </w:p>
        </w:tc>
        <w:tc>
          <w:tcPr>
            <w:tcW w:w="0" w:type="dxa"/>
            <w:vAlign w:val="bottom"/>
          </w:tcPr>
          <w:p>
            <w:pPr>
              <w:spacing w:after="0"/>
              <w:rPr>
                <w:sz w:val="1"/>
                <w:szCs w:val="1"/>
                <w:color w:val="auto"/>
              </w:rPr>
            </w:pPr>
          </w:p>
        </w:tc>
      </w:tr>
      <w:tr>
        <w:trPr>
          <w:trHeight w:val="338"/>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Amendments to 2004 Incentive Stock Plan(9)</w:t>
              </w:r>
            </w:hyperlink>
          </w:p>
        </w:tc>
        <w:tc>
          <w:tcPr>
            <w:tcW w:w="0" w:type="dxa"/>
            <w:vAlign w:val="bottom"/>
          </w:tcPr>
          <w:p>
            <w:pPr>
              <w:spacing w:after="0"/>
              <w:rPr>
                <w:sz w:val="1"/>
                <w:szCs w:val="1"/>
                <w:color w:val="auto"/>
              </w:rPr>
            </w:pPr>
          </w:p>
        </w:tc>
      </w:tr>
      <w:tr>
        <w:trPr>
          <w:trHeight w:val="337"/>
        </w:trPr>
        <w:tc>
          <w:tcPr>
            <w:tcW w:w="1200" w:type="dxa"/>
            <w:vAlign w:val="bottom"/>
          </w:tcPr>
          <w:p>
            <w:pPr>
              <w:jc w:val="right"/>
              <w:ind w:right="432"/>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Agreement with Respect to Defense of Smith &amp; Wesson: Firearms Litigation, dated as of November 11, 2004(10)</w:t>
              </w:r>
            </w:hyperlink>
          </w:p>
        </w:tc>
        <w:tc>
          <w:tcPr>
            <w:tcW w:w="0" w:type="dxa"/>
            <w:vAlign w:val="bottom"/>
          </w:tcPr>
          <w:p>
            <w:pPr>
              <w:spacing w:after="0"/>
              <w:rPr>
                <w:sz w:val="1"/>
                <w:szCs w:val="1"/>
                <w:color w:val="auto"/>
              </w:rPr>
            </w:pPr>
          </w:p>
        </w:tc>
      </w:tr>
      <w:tr>
        <w:trPr>
          <w:trHeight w:val="297"/>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24"/>
                <w:szCs w:val="24"/>
                <w:color w:val="auto"/>
              </w:rPr>
            </w:pPr>
          </w:p>
        </w:tc>
        <w:tc>
          <w:tcPr>
            <w:tcW w:w="9400" w:type="dxa"/>
            <w:vAlign w:val="bottom"/>
            <w:tcBorders>
              <w:bottom w:val="single" w:sz="8" w:color="0000EE"/>
            </w:tcBorders>
            <w:gridSpan w:val="6"/>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Form of Indemnity Agreement entered into with the following directors and executive officers: As of June 29, 2009 with Barry M.</w:t>
              </w:r>
            </w:hyperlink>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0"/>
          </w:tcPr>
          <w:p>
            <w:pPr>
              <w:spacing w:after="0" w:line="196" w:lineRule="exact"/>
              <w:rPr>
                <w:rFonts w:ascii="Arial" w:cs="Arial" w:eastAsia="Arial" w:hAnsi="Arial"/>
                <w:sz w:val="18"/>
                <w:szCs w:val="18"/>
                <w:color w:val="0000EE"/>
                <w:w w:val="97"/>
              </w:rPr>
            </w:pPr>
            <w:hyperlink r:id="rId108">
              <w:r>
                <w:rPr>
                  <w:rFonts w:ascii="Arial" w:cs="Arial" w:eastAsia="Arial" w:hAnsi="Arial"/>
                  <w:sz w:val="18"/>
                  <w:szCs w:val="18"/>
                  <w:color w:val="0000EE"/>
                  <w:w w:val="97"/>
                </w:rPr>
                <w:t>Monheit, Michael F. Golden, Robert L. Scott, John B. Furman, Mitch A. Saltz, I. Marie Wadecki, and Jeffrey D. Buchanan; as of</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Borders>
              <w:right w:val="single" w:sz="8" w:color="0000EE"/>
            </w:tcBorders>
            <w:gridSpan w:val="2"/>
            <w:shd w:val="clear" w:color="auto" w:fill="0000EE"/>
          </w:tcPr>
          <w:p>
            <w:pPr>
              <w:spacing w:after="0" w:line="20" w:lineRule="exact"/>
              <w:rPr>
                <w:sz w:val="1"/>
                <w:szCs w:val="1"/>
                <w:color w:val="auto"/>
              </w:rPr>
            </w:pPr>
          </w:p>
        </w:tc>
        <w:tc>
          <w:tcPr>
            <w:tcW w:w="61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November 2009 with P. James Debney; as of December 14, 2011 with Mark P. Smith; as of April 24, 2013 with Robert J. Cicero; as of</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00" w:type="dxa"/>
            <w:vAlign w:val="bottom"/>
            <w:gridSpan w:val="10"/>
          </w:tcPr>
          <w:p>
            <w:pPr>
              <w:spacing w:after="0"/>
              <w:rPr>
                <w:rFonts w:ascii="Arial" w:cs="Arial" w:eastAsia="Arial" w:hAnsi="Arial"/>
                <w:sz w:val="18"/>
                <w:szCs w:val="18"/>
                <w:u w:val="single" w:color="auto"/>
                <w:color w:val="0000EE"/>
                <w:w w:val="95"/>
              </w:rPr>
            </w:pPr>
            <w:hyperlink r:id="rId108">
              <w:r>
                <w:rPr>
                  <w:rFonts w:ascii="Arial" w:cs="Arial" w:eastAsia="Arial" w:hAnsi="Arial"/>
                  <w:sz w:val="18"/>
                  <w:szCs w:val="18"/>
                  <w:u w:val="single" w:color="auto"/>
                  <w:color w:val="0000EE"/>
                  <w:w w:val="95"/>
                </w:rPr>
                <w:t>June 23, 2015 with Gregory J. Gluchowski, Jr.; and as of February 5, 2016 with Anita Britt; and as of August 9, 2018 with Brian D.</w:t>
              </w:r>
            </w:hyperlink>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Murphy(11)</w:t>
              </w:r>
            </w:hyperlink>
          </w:p>
        </w:tc>
        <w:tc>
          <w:tcPr>
            <w:tcW w:w="0" w:type="dxa"/>
            <w:vAlign w:val="bottom"/>
          </w:tcPr>
          <w:p>
            <w:pPr>
              <w:spacing w:after="0"/>
              <w:rPr>
                <w:sz w:val="1"/>
                <w:szCs w:val="1"/>
                <w:color w:val="auto"/>
              </w:rPr>
            </w:pPr>
          </w:p>
        </w:tc>
      </w:tr>
      <w:tr>
        <w:trPr>
          <w:trHeight w:val="297"/>
        </w:trPr>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10.83(a)*</w:t>
            </w:r>
          </w:p>
        </w:tc>
        <w:tc>
          <w:tcPr>
            <w:tcW w:w="9860" w:type="dxa"/>
            <w:vAlign w:val="bottom"/>
            <w:tcBorders>
              <w:bottom w:val="single" w:sz="8" w:color="0000EE"/>
            </w:tcBorders>
            <w:gridSpan w:val="9"/>
          </w:tcPr>
          <w:p>
            <w:pPr>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Amended and Restated Severance and Change in Control Agreement, executed December 8, 2011 as of January 3, 2011, by and between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0"/>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the Registrant and Jeffrey D. Buchanan(12)</w:t>
              </w:r>
            </w:hyperlink>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3120" w:type="dxa"/>
            <w:vAlign w:val="bottom"/>
            <w:tcBorders>
              <w:right w:val="single" w:sz="8" w:color="0000EE"/>
            </w:tcBorders>
            <w:gridSpan w:val="2"/>
            <w:shd w:val="clear" w:color="auto" w:fill="0000EE"/>
          </w:tcPr>
          <w:p>
            <w:pPr>
              <w:spacing w:after="0" w:line="20" w:lineRule="exact"/>
              <w:rPr>
                <w:sz w:val="1"/>
                <w:szCs w:val="1"/>
                <w:color w:val="auto"/>
              </w:rPr>
            </w:pPr>
          </w:p>
        </w:tc>
        <w:tc>
          <w:tcPr>
            <w:tcW w:w="65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10.91(a)*</w:t>
            </w:r>
          </w:p>
        </w:tc>
        <w:tc>
          <w:tcPr>
            <w:tcW w:w="9700" w:type="dxa"/>
            <w:vAlign w:val="bottom"/>
            <w:tcBorders>
              <w:bottom w:val="single" w:sz="8" w:color="0000EE"/>
            </w:tcBorders>
            <w:gridSpan w:val="8"/>
          </w:tcPr>
          <w:p>
            <w:pPr>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Amended and Restated Employment Agreement, executed December 8, 2011 as of September 26, 2011, between P. James Debney and</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Smith &amp; Wesson Holding Corporation(12)</w:t>
              </w:r>
            </w:hyperlink>
          </w:p>
        </w:tc>
        <w:tc>
          <w:tcPr>
            <w:tcW w:w="67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24"/>
                <w:szCs w:val="24"/>
                <w:color w:val="auto"/>
              </w:rPr>
            </w:pPr>
          </w:p>
        </w:tc>
        <w:tc>
          <w:tcPr>
            <w:tcW w:w="9900" w:type="dxa"/>
            <w:vAlign w:val="bottom"/>
            <w:gridSpan w:val="10"/>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Letter of Amendment, dated September 9, 2011, between Jeffrey D. Buchanan and the Registrant(12)</w:t>
              </w:r>
            </w:hyperlink>
          </w:p>
        </w:tc>
        <w:tc>
          <w:tcPr>
            <w:tcW w:w="0" w:type="dxa"/>
            <w:vAlign w:val="bottom"/>
          </w:tcPr>
          <w:p>
            <w:pPr>
              <w:spacing w:after="0"/>
              <w:rPr>
                <w:sz w:val="1"/>
                <w:szCs w:val="1"/>
                <w:color w:val="auto"/>
              </w:rPr>
            </w:pPr>
          </w:p>
        </w:tc>
      </w:tr>
      <w:tr>
        <w:trPr>
          <w:trHeight w:val="500"/>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20" w:type="dxa"/>
            <w:vAlign w:val="bottom"/>
            <w:gridSpan w:val="4"/>
          </w:tcPr>
          <w:p>
            <w:pPr>
              <w:ind w:left="420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20" w:type="dxa"/>
            <w:vAlign w:val="bottom"/>
            <w:gridSpan w:val="11"/>
            <w:vMerge w:val="restart"/>
          </w:tcPr>
          <w:p>
            <w:pPr>
              <w:ind w:left="36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9"/>
                <w:szCs w:val="19"/>
                <w:color w:val="auto"/>
              </w:rPr>
            </w:pPr>
          </w:p>
        </w:tc>
        <w:tc>
          <w:tcPr>
            <w:tcW w:w="9900" w:type="dxa"/>
            <w:vAlign w:val="bottom"/>
            <w:tcBorders>
              <w:top w:val="single" w:sz="8" w:color="auto"/>
            </w:tcBorders>
            <w:gridSpan w:val="13"/>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Letter of Amendment, dated September 9, 2011, between P. James Debney and Smith &amp; Wesson Holding Corporation(12)</w:t>
              </w:r>
            </w:hyperlink>
          </w:p>
        </w:tc>
        <w:tc>
          <w:tcPr>
            <w:tcW w:w="0" w:type="dxa"/>
            <w:vAlign w:val="bottom"/>
          </w:tcPr>
          <w:p>
            <w:pPr>
              <w:spacing w:after="0"/>
              <w:rPr>
                <w:sz w:val="1"/>
                <w:szCs w:val="1"/>
                <w:color w:val="auto"/>
              </w:rPr>
            </w:pPr>
          </w:p>
        </w:tc>
      </w:tr>
      <w:tr>
        <w:trPr>
          <w:trHeight w:val="323"/>
        </w:trPr>
        <w:tc>
          <w:tcPr>
            <w:tcW w:w="1200" w:type="dxa"/>
            <w:vAlign w:val="bottom"/>
          </w:tcPr>
          <w:p>
            <w:pPr>
              <w:ind w:left="100"/>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Form of Non-Qualified Stock Option Award Grant Notice and Agreement to the 2004 Incentive Stock Plan(12)</w:t>
              </w:r>
            </w:hyperlink>
          </w:p>
        </w:tc>
        <w:tc>
          <w:tcPr>
            <w:tcW w:w="0" w:type="dxa"/>
            <w:vAlign w:val="bottom"/>
          </w:tcPr>
          <w:p>
            <w:pPr>
              <w:spacing w:after="0"/>
              <w:rPr>
                <w:sz w:val="1"/>
                <w:szCs w:val="1"/>
                <w:color w:val="auto"/>
              </w:rPr>
            </w:pPr>
          </w:p>
        </w:tc>
      </w:tr>
      <w:tr>
        <w:trPr>
          <w:trHeight w:val="337"/>
        </w:trPr>
        <w:tc>
          <w:tcPr>
            <w:tcW w:w="1200" w:type="dxa"/>
            <w:vAlign w:val="bottom"/>
          </w:tcPr>
          <w:p>
            <w:pPr>
              <w:ind w:left="100"/>
              <w:spacing w:after="0"/>
              <w:rPr>
                <w:sz w:val="20"/>
                <w:szCs w:val="20"/>
                <w:color w:val="auto"/>
              </w:rPr>
            </w:pPr>
            <w:r>
              <w:rPr>
                <w:rFonts w:ascii="Arial" w:cs="Arial" w:eastAsia="Arial" w:hAnsi="Arial"/>
                <w:sz w:val="18"/>
                <w:szCs w:val="18"/>
                <w:color w:val="auto"/>
              </w:rPr>
              <w:t>10.100*</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Amended and Restated 2011 Employee Stock Purchase Plan(13)</w:t>
              </w:r>
            </w:hyperlink>
          </w:p>
        </w:tc>
        <w:tc>
          <w:tcPr>
            <w:tcW w:w="0" w:type="dxa"/>
            <w:vAlign w:val="bottom"/>
          </w:tcPr>
          <w:p>
            <w:pPr>
              <w:spacing w:after="0"/>
              <w:rPr>
                <w:sz w:val="1"/>
                <w:szCs w:val="1"/>
                <w:color w:val="auto"/>
              </w:rPr>
            </w:pPr>
          </w:p>
        </w:tc>
      </w:tr>
      <w:tr>
        <w:trPr>
          <w:trHeight w:val="338"/>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10.107(a)*</w:t>
            </w:r>
          </w:p>
        </w:tc>
        <w:tc>
          <w:tcPr>
            <w:tcW w:w="9900" w:type="dxa"/>
            <w:vAlign w:val="bottom"/>
            <w:gridSpan w:val="13"/>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Smith &amp; Wesson Brands, Inc. Executive Severance Pay Plan(14)</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10.108</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Adoption Agreement to the Smith &amp; Wesson Nonqualified Supplemental Deferred Compensation Plan(15)</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10.109*</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Smith &amp; Wesson Nonqualified Supplemental Deferred Compensation Plan Document(15)</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10.110*</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2013 Incentive Stock Plan(16)</w:t>
              </w:r>
            </w:hyperlink>
          </w:p>
        </w:tc>
        <w:tc>
          <w:tcPr>
            <w:tcW w:w="0" w:type="dxa"/>
            <w:vAlign w:val="bottom"/>
          </w:tcPr>
          <w:p>
            <w:pPr>
              <w:spacing w:after="0"/>
              <w:rPr>
                <w:sz w:val="1"/>
                <w:szCs w:val="1"/>
                <w:color w:val="auto"/>
              </w:rPr>
            </w:pPr>
          </w:p>
        </w:tc>
      </w:tr>
      <w:tr>
        <w:trPr>
          <w:trHeight w:val="297"/>
        </w:trPr>
        <w:tc>
          <w:tcPr>
            <w:tcW w:w="1200" w:type="dxa"/>
            <w:vAlign w:val="bottom"/>
          </w:tcPr>
          <w:p>
            <w:pPr>
              <w:ind w:left="100"/>
              <w:spacing w:after="0"/>
              <w:rPr>
                <w:sz w:val="20"/>
                <w:szCs w:val="20"/>
                <w:color w:val="auto"/>
              </w:rPr>
            </w:pPr>
            <w:r>
              <w:rPr>
                <w:rFonts w:ascii="Arial" w:cs="Arial" w:eastAsia="Arial" w:hAnsi="Arial"/>
                <w:sz w:val="18"/>
                <w:szCs w:val="18"/>
                <w:color w:val="auto"/>
              </w:rPr>
              <w:t>10.111*</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Form of Restricted Stock Unit Award Grant Notice and Agreement to the 2013 Incentive Stock Plan for awards made beginning in April</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2014(17)</w:t>
              </w:r>
            </w:hyperlink>
          </w:p>
        </w:tc>
        <w:tc>
          <w:tcPr>
            <w:tcW w:w="420" w:type="dxa"/>
            <w:vAlign w:val="bottom"/>
            <w:tcBorders>
              <w:top w:val="single" w:sz="8" w:color="0000EE"/>
            </w:tcBorders>
          </w:tcPr>
          <w:p>
            <w:pPr>
              <w:spacing w:after="0"/>
              <w:rPr>
                <w:sz w:val="17"/>
                <w:szCs w:val="17"/>
                <w:color w:val="auto"/>
              </w:rPr>
            </w:pPr>
          </w:p>
        </w:tc>
        <w:tc>
          <w:tcPr>
            <w:tcW w:w="47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10.111(a)*</w:t>
            </w:r>
          </w:p>
        </w:tc>
        <w:tc>
          <w:tcPr>
            <w:tcW w:w="9900" w:type="dxa"/>
            <w:vAlign w:val="bottom"/>
            <w:gridSpan w:val="13"/>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Restricted Stock Unit Grant Notice and Agreement to the 2013 Incentive Stock Plan for awards made beginning in September</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2014(18)</w:t>
              </w:r>
            </w:hyperlink>
          </w:p>
        </w:tc>
        <w:tc>
          <w:tcPr>
            <w:tcW w:w="420" w:type="dxa"/>
            <w:vAlign w:val="bottom"/>
            <w:tcBorders>
              <w:top w:val="single" w:sz="8" w:color="0000EE"/>
            </w:tcBorders>
          </w:tcPr>
          <w:p>
            <w:pPr>
              <w:spacing w:after="0"/>
              <w:rPr>
                <w:sz w:val="17"/>
                <w:szCs w:val="17"/>
                <w:color w:val="auto"/>
              </w:rPr>
            </w:pPr>
          </w:p>
        </w:tc>
        <w:tc>
          <w:tcPr>
            <w:tcW w:w="47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10.111(b)*</w:t>
            </w:r>
          </w:p>
        </w:tc>
        <w:tc>
          <w:tcPr>
            <w:tcW w:w="9900" w:type="dxa"/>
            <w:vAlign w:val="bottom"/>
            <w:gridSpan w:val="13"/>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Form of Restricted Stock Unit Award Grant Notice and Agreement to the 2013 Incentive Stock Plan for awards made beginning in April</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2015(18)</w:t>
              </w:r>
            </w:hyperlink>
          </w:p>
        </w:tc>
        <w:tc>
          <w:tcPr>
            <w:tcW w:w="420" w:type="dxa"/>
            <w:vAlign w:val="bottom"/>
            <w:tcBorders>
              <w:top w:val="single" w:sz="8" w:color="0000EE"/>
            </w:tcBorders>
          </w:tcPr>
          <w:p>
            <w:pPr>
              <w:spacing w:after="0"/>
              <w:rPr>
                <w:sz w:val="17"/>
                <w:szCs w:val="17"/>
                <w:color w:val="auto"/>
              </w:rPr>
            </w:pPr>
          </w:p>
        </w:tc>
        <w:tc>
          <w:tcPr>
            <w:tcW w:w="470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10.112*</w:t>
            </w:r>
          </w:p>
        </w:tc>
        <w:tc>
          <w:tcPr>
            <w:tcW w:w="140" w:type="dxa"/>
            <w:vAlign w:val="bottom"/>
          </w:tcPr>
          <w:p>
            <w:pPr>
              <w:spacing w:after="0"/>
              <w:rPr>
                <w:sz w:val="24"/>
                <w:szCs w:val="24"/>
                <w:color w:val="auto"/>
              </w:rPr>
            </w:pPr>
          </w:p>
        </w:tc>
        <w:tc>
          <w:tcPr>
            <w:tcW w:w="9600" w:type="dxa"/>
            <w:vAlign w:val="bottom"/>
            <w:tcBorders>
              <w:bottom w:val="single" w:sz="8" w:color="0000EE"/>
            </w:tcBorders>
            <w:gridSpan w:val="7"/>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Performance Stock Unit Award Grant Notice and Agreement to the 2013 Incentive Stock Plan for awards made beginning in</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April 2014(17)</w:t>
              </w:r>
            </w:hyperlink>
          </w:p>
        </w:tc>
        <w:tc>
          <w:tcPr>
            <w:tcW w:w="88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10.112(a)*</w:t>
            </w:r>
          </w:p>
        </w:tc>
        <w:tc>
          <w:tcPr>
            <w:tcW w:w="9600" w:type="dxa"/>
            <w:vAlign w:val="bottom"/>
            <w:tcBorders>
              <w:bottom w:val="single" w:sz="8" w:color="0000EE"/>
            </w:tcBorders>
            <w:gridSpan w:val="7"/>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Form of Performance Stock Unit Award Grant Notice and Agreement to the 2013 Incentive Stock Plan for awards made beginning in</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April 2015(18)</w:t>
              </w:r>
            </w:hyperlink>
          </w:p>
        </w:tc>
        <w:tc>
          <w:tcPr>
            <w:tcW w:w="88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10.113</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Credit Agreement, dated as of June 15, 2015, among the Registrant and Smith &amp; Wesson Corp., as Borrowers, the Subsidiaries of the</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Borrowers party thereto, as the guarantors, TD Bank, N.A., as the Administrative Agent, the other lenders party thereto from time to</w:t>
              </w:r>
            </w:hyperlink>
          </w:p>
        </w:tc>
        <w:tc>
          <w:tcPr>
            <w:tcW w:w="60" w:type="dxa"/>
            <w:vAlign w:val="bottom"/>
            <w:tcBorders>
              <w:top w:val="single" w:sz="8" w:color="0000EE"/>
            </w:tcBorders>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time, TD Securities (USA) LLC, Branch Banking and Trust Company, Regions Business Capital, and Wells Fargo Securities, LLC, as</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00" w:type="dxa"/>
            <w:vAlign w:val="bottom"/>
            <w:gridSpan w:val="13"/>
          </w:tcPr>
          <w:p>
            <w:pPr>
              <w:spacing w:after="0"/>
              <w:rPr>
                <w:rFonts w:ascii="Arial" w:cs="Arial" w:eastAsia="Arial" w:hAnsi="Arial"/>
                <w:sz w:val="18"/>
                <w:szCs w:val="18"/>
                <w:u w:val="single" w:color="auto"/>
                <w:color w:val="0000EE"/>
                <w:w w:val="91"/>
              </w:rPr>
            </w:pPr>
            <w:hyperlink r:id="rId126">
              <w:r>
                <w:rPr>
                  <w:rFonts w:ascii="Arial" w:cs="Arial" w:eastAsia="Arial" w:hAnsi="Arial"/>
                  <w:sz w:val="18"/>
                  <w:szCs w:val="18"/>
                  <w:u w:val="single" w:color="auto"/>
                  <w:color w:val="0000EE"/>
                  <w:w w:val="91"/>
                </w:rPr>
                <w:t>Joint Lead Arrangers and Joint Bookrunners, and Branch Banking and Trust Company, Regions Bank, and Wells Fargo Securities, LLC,</w:t>
              </w:r>
            </w:hyperlink>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as Co-Syndication Agents, including all exhibits thereto(18)</w:t>
              </w:r>
            </w:hyperlink>
          </w:p>
        </w:tc>
        <w:tc>
          <w:tcPr>
            <w:tcW w:w="0" w:type="dxa"/>
            <w:vAlign w:val="bottom"/>
          </w:tcPr>
          <w:p>
            <w:pPr>
              <w:spacing w:after="0"/>
              <w:rPr>
                <w:sz w:val="1"/>
                <w:szCs w:val="1"/>
                <w:color w:val="auto"/>
              </w:rPr>
            </w:pPr>
          </w:p>
        </w:tc>
      </w:tr>
      <w:tr>
        <w:trPr>
          <w:trHeight w:val="297"/>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10.113(a)</w:t>
            </w:r>
          </w:p>
        </w:tc>
        <w:tc>
          <w:tcPr>
            <w:tcW w:w="9900" w:type="dxa"/>
            <w:vAlign w:val="bottom"/>
            <w:gridSpan w:val="13"/>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Second Amendment to Credit Agreement, dated as of October 27, 2016, among the Registrant and Smith &amp; Wesson Corp., as Borrowers,</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the Subsidiaries of the Borrowers party thereto, as the guarantors, TD Bank, N.A., as the Administrative Agent, the other lenders party</w:t>
              </w:r>
            </w:hyperlink>
          </w:p>
        </w:tc>
        <w:tc>
          <w:tcPr>
            <w:tcW w:w="1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3"/>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thereto from time to time, TD Securities (USA) LLC, Branch Banking and Trust Company, Regions Business Capital, and Wells Fargo</w:t>
              </w:r>
            </w:hyperlink>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700" w:type="dxa"/>
            <w:vAlign w:val="bottom"/>
            <w:tcBorders>
              <w:top w:val="single" w:sz="8" w:color="0000EE"/>
            </w:tcBorders>
            <w:gridSpan w:val="10"/>
          </w:tcPr>
          <w:p>
            <w:pPr>
              <w:spacing w:after="0"/>
              <w:rPr>
                <w:rFonts w:ascii="Arial" w:cs="Arial" w:eastAsia="Arial" w:hAnsi="Arial"/>
                <w:sz w:val="18"/>
                <w:szCs w:val="18"/>
                <w:u w:val="single" w:color="auto"/>
                <w:color w:val="0000EE"/>
                <w:w w:val="91"/>
              </w:rPr>
            </w:pPr>
            <w:hyperlink r:id="rId127">
              <w:r>
                <w:rPr>
                  <w:rFonts w:ascii="Arial" w:cs="Arial" w:eastAsia="Arial" w:hAnsi="Arial"/>
                  <w:sz w:val="18"/>
                  <w:szCs w:val="18"/>
                  <w:u w:val="single" w:color="auto"/>
                  <w:color w:val="0000EE"/>
                  <w:w w:val="91"/>
                </w:rPr>
                <w:t>Securities, LLC, as Joint Lead Arrangers and Joint Bookrunners, and Branch Banking and Trust Company, Regions Bank, and Wells</w:t>
              </w:r>
            </w:hyperlink>
          </w:p>
        </w:tc>
        <w:tc>
          <w:tcPr>
            <w:tcW w:w="2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Fargo Securities, LLC, as Co-Syndication Agents(19)</w:t>
              </w:r>
            </w:hyperlink>
          </w:p>
        </w:tc>
        <w:tc>
          <w:tcPr>
            <w:tcW w:w="0" w:type="dxa"/>
            <w:vAlign w:val="bottom"/>
          </w:tcPr>
          <w:p>
            <w:pPr>
              <w:spacing w:after="0"/>
              <w:rPr>
                <w:sz w:val="1"/>
                <w:szCs w:val="1"/>
                <w:color w:val="auto"/>
              </w:rPr>
            </w:pPr>
          </w:p>
        </w:tc>
      </w:tr>
      <w:tr>
        <w:trPr>
          <w:trHeight w:val="297"/>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10.113(b)</w:t>
            </w:r>
          </w:p>
        </w:tc>
        <w:tc>
          <w:tcPr>
            <w:tcW w:w="9900" w:type="dxa"/>
            <w:vAlign w:val="bottom"/>
            <w:gridSpan w:val="13"/>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Fifth Amendment to Credit Agreement, dated as of November 22, 2019, among the Registrant, American Outdoor Brands Sales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80" w:type="dxa"/>
            <w:vAlign w:val="bottom"/>
            <w:gridSpan w:val="3"/>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Company, and Smith &amp; Wesson Inc., as Borrowers, the subsidiaries of the Borrowers party thereto, as the guarantors, the lenders party</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thereto, and TD Bank, N.A., as Administrative Agent and Swingline Lender(20)</w:t>
              </w:r>
            </w:hyperlink>
          </w:p>
        </w:tc>
        <w:tc>
          <w:tcPr>
            <w:tcW w:w="41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00" w:type="dxa"/>
            <w:vAlign w:val="bottom"/>
          </w:tcPr>
          <w:p>
            <w:pPr>
              <w:ind w:left="100"/>
              <w:spacing w:after="0"/>
              <w:rPr>
                <w:sz w:val="20"/>
                <w:szCs w:val="20"/>
                <w:color w:val="auto"/>
              </w:rPr>
            </w:pPr>
            <w:r>
              <w:rPr>
                <w:rFonts w:ascii="Arial" w:cs="Arial" w:eastAsia="Arial" w:hAnsi="Arial"/>
                <w:sz w:val="18"/>
                <w:szCs w:val="18"/>
                <w:color w:val="auto"/>
              </w:rPr>
              <w:t>10.114</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Lease Agreement, dated October 26, 2017, by and between Ryan Boone County, LLC and Smith &amp; Wesson Corp.(21)</w:t>
              </w:r>
            </w:hyperlink>
          </w:p>
        </w:tc>
        <w:tc>
          <w:tcPr>
            <w:tcW w:w="0" w:type="dxa"/>
            <w:vAlign w:val="bottom"/>
          </w:tcPr>
          <w:p>
            <w:pPr>
              <w:spacing w:after="0"/>
              <w:rPr>
                <w:sz w:val="1"/>
                <w:szCs w:val="1"/>
                <w:color w:val="auto"/>
              </w:rPr>
            </w:pPr>
          </w:p>
        </w:tc>
      </w:tr>
      <w:tr>
        <w:trPr>
          <w:trHeight w:val="337"/>
        </w:trPr>
        <w:tc>
          <w:tcPr>
            <w:tcW w:w="1200" w:type="dxa"/>
            <w:vAlign w:val="bottom"/>
          </w:tcPr>
          <w:p>
            <w:pPr>
              <w:ind w:left="100"/>
              <w:spacing w:after="0"/>
              <w:rPr>
                <w:sz w:val="20"/>
                <w:szCs w:val="20"/>
                <w:color w:val="auto"/>
              </w:rPr>
            </w:pPr>
            <w:r>
              <w:rPr>
                <w:rFonts w:ascii="Arial" w:cs="Arial" w:eastAsia="Arial" w:hAnsi="Arial"/>
                <w:sz w:val="18"/>
                <w:szCs w:val="18"/>
                <w:color w:val="auto"/>
              </w:rPr>
              <w:t>10.115</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Guaranty, dated October 26, 2017, entered into by the Registrant(21)</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10.117</w:t>
            </w:r>
          </w:p>
        </w:tc>
        <w:tc>
          <w:tcPr>
            <w:tcW w:w="14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Separation Agreement and Release, dated February 26, 2020, by and between the Registrant and P. James Debney(22)</w:t>
              </w:r>
            </w:hyperlink>
          </w:p>
        </w:tc>
        <w:tc>
          <w:tcPr>
            <w:tcW w:w="0" w:type="dxa"/>
            <w:vAlign w:val="bottom"/>
          </w:tcPr>
          <w:p>
            <w:pPr>
              <w:spacing w:after="0"/>
              <w:rPr>
                <w:sz w:val="1"/>
                <w:szCs w:val="1"/>
                <w:color w:val="auto"/>
              </w:rPr>
            </w:pPr>
          </w:p>
        </w:tc>
      </w:tr>
      <w:tr>
        <w:trPr>
          <w:trHeight w:val="554"/>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gridSpan w:val="3"/>
          </w:tcPr>
          <w:p>
            <w:pPr>
              <w:ind w:left="4200"/>
              <w:spacing w:after="0"/>
              <w:rPr>
                <w:sz w:val="20"/>
                <w:szCs w:val="20"/>
                <w:color w:val="auto"/>
              </w:rPr>
            </w:pPr>
            <w:r>
              <w:rPr>
                <w:rFonts w:ascii="Arial" w:cs="Arial" w:eastAsia="Arial" w:hAnsi="Arial"/>
                <w:sz w:val="18"/>
                <w:szCs w:val="18"/>
                <w:color w:val="auto"/>
              </w:rPr>
              <w:t>73</w:t>
            </w: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4"/>
                <w:szCs w:val="14"/>
                <w:color w:val="auto"/>
              </w:rPr>
            </w:pPr>
          </w:p>
        </w:tc>
        <w:tc>
          <w:tcPr>
            <w:tcW w:w="8860" w:type="dxa"/>
            <w:vAlign w:val="bottom"/>
            <w:gridSpan w:val="3"/>
            <w:vMerge w:val="restart"/>
          </w:tcPr>
          <w:p>
            <w:pPr>
              <w:ind w:left="36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spacing w:after="0"/>
              <w:rPr>
                <w:sz w:val="14"/>
                <w:szCs w:val="14"/>
                <w:color w:val="auto"/>
              </w:rPr>
            </w:pPr>
          </w:p>
        </w:tc>
        <w:tc>
          <w:tcPr>
            <w:tcW w:w="8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10.118</w:t>
            </w:r>
          </w:p>
        </w:tc>
        <w:tc>
          <w:tcPr>
            <w:tcW w:w="140" w:type="dxa"/>
            <w:vAlign w:val="bottom"/>
          </w:tcPr>
          <w:p>
            <w:pPr>
              <w:spacing w:after="0"/>
              <w:rPr>
                <w:sz w:val="14"/>
                <w:szCs w:val="14"/>
                <w:color w:val="auto"/>
              </w:rPr>
            </w:pPr>
          </w:p>
        </w:tc>
        <w:tc>
          <w:tcPr>
            <w:tcW w:w="9900" w:type="dxa"/>
            <w:vAlign w:val="bottom"/>
            <w:tcBorders>
              <w:top w:val="single" w:sz="8" w:color="auto"/>
            </w:tcBorders>
            <w:gridSpan w:val="4"/>
          </w:tcPr>
          <w:p>
            <w:pPr>
              <w:spacing w:after="0" w:line="169"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Employment Agreement, executed April 4, 2020 and effective as of January 15, 2020, by and between Brian D. Murphy and the</w:t>
              </w:r>
            </w:hyperlink>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Registrant(23)</w:t>
              </w:r>
            </w:hyperlink>
          </w:p>
        </w:tc>
        <w:tc>
          <w:tcPr>
            <w:tcW w:w="8180" w:type="dxa"/>
            <w:vAlign w:val="bottom"/>
            <w:tcBorders>
              <w:top w:val="single" w:sz="8" w:color="0000EE"/>
            </w:tcBorders>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0" w:type="dxa"/>
            <w:vAlign w:val="bottom"/>
          </w:tcPr>
          <w:p>
            <w:pPr>
              <w:ind w:left="100"/>
              <w:spacing w:after="0"/>
              <w:rPr>
                <w:sz w:val="20"/>
                <w:szCs w:val="20"/>
                <w:color w:val="auto"/>
              </w:rPr>
            </w:pPr>
            <w:r>
              <w:rPr>
                <w:rFonts w:ascii="Arial" w:cs="Arial" w:eastAsia="Arial" w:hAnsi="Arial"/>
                <w:sz w:val="18"/>
                <w:szCs w:val="18"/>
                <w:color w:val="auto"/>
              </w:rPr>
              <w:t>10.119</w:t>
            </w:r>
          </w:p>
        </w:tc>
        <w:tc>
          <w:tcPr>
            <w:tcW w:w="140" w:type="dxa"/>
            <w:vAlign w:val="bottom"/>
          </w:tcPr>
          <w:p>
            <w:pPr>
              <w:spacing w:after="0"/>
              <w:rPr>
                <w:sz w:val="24"/>
                <w:szCs w:val="24"/>
                <w:color w:val="auto"/>
              </w:rPr>
            </w:pPr>
          </w:p>
        </w:tc>
        <w:tc>
          <w:tcPr>
            <w:tcW w:w="9020" w:type="dxa"/>
            <w:vAlign w:val="bottom"/>
            <w:tcBorders>
              <w:bottom w:val="single" w:sz="8" w:color="0000EE"/>
            </w:tcBorders>
            <w:gridSpan w:val="2"/>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Employment Agreement, executed April 4, 2020 and effective as of January 15, 2020, by and between Mark P. Smith and the</w:t>
              </w:r>
            </w:hyperlink>
          </w:p>
        </w:tc>
        <w:tc>
          <w:tcPr>
            <w:tcW w:w="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Registrant(23)</w:t>
              </w:r>
            </w:hyperlink>
          </w:p>
        </w:tc>
        <w:tc>
          <w:tcPr>
            <w:tcW w:w="88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00" w:type="dxa"/>
            <w:vAlign w:val="bottom"/>
          </w:tcPr>
          <w:p>
            <w:pPr>
              <w:ind w:left="10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Consent of Deloitte &amp; Touche LLP, an Independent Registered Public Accounting Firm</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Rule 13a-14(a)/15d-14(a) Certification of Co-Principal Executive Officer</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Rule 13a-14(a)/15d-14(a) Certification of Co-Principal Executive Officer</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Rule 13a-14(a)/15d-14(a) Certification of Principal Financial Officer</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Rule 13a-14(a)/15d-14(a) Certification of Principal Accounting Officer</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Section 1350 Certification of Co-Principal Executive Officer</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Section 1350 Certification of Co-Principal Executive Officer</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Section 1350 Certification of Principal Financial Officer</w:t>
              </w:r>
            </w:hyperlink>
          </w:p>
        </w:tc>
        <w:tc>
          <w:tcPr>
            <w:tcW w:w="0" w:type="dxa"/>
            <w:vAlign w:val="bottom"/>
          </w:tcPr>
          <w:p>
            <w:pPr>
              <w:spacing w:after="0"/>
              <w:rPr>
                <w:sz w:val="1"/>
                <w:szCs w:val="1"/>
                <w:color w:val="auto"/>
              </w:rPr>
            </w:pPr>
          </w:p>
        </w:tc>
      </w:tr>
      <w:tr>
        <w:trPr>
          <w:trHeight w:val="338"/>
        </w:trPr>
        <w:tc>
          <w:tcPr>
            <w:tcW w:w="1200" w:type="dxa"/>
            <w:vAlign w:val="bottom"/>
          </w:tcPr>
          <w:p>
            <w:pPr>
              <w:ind w:left="10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Section 1350 Certification of Principal Accounting Officer</w:t>
              </w:r>
            </w:hyperlink>
          </w:p>
        </w:tc>
        <w:tc>
          <w:tcPr>
            <w:tcW w:w="0" w:type="dxa"/>
            <w:vAlign w:val="bottom"/>
          </w:tcPr>
          <w:p>
            <w:pPr>
              <w:spacing w:after="0"/>
              <w:rPr>
                <w:sz w:val="1"/>
                <w:szCs w:val="1"/>
                <w:color w:val="auto"/>
              </w:rPr>
            </w:pPr>
          </w:p>
        </w:tc>
      </w:tr>
      <w:tr>
        <w:trPr>
          <w:trHeight w:val="323"/>
        </w:trPr>
        <w:tc>
          <w:tcPr>
            <w:tcW w:w="13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3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3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3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7"/>
        </w:trPr>
        <w:tc>
          <w:tcPr>
            <w:tcW w:w="13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3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944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8"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arrangement.</w:t>
      </w:r>
    </w:p>
    <w:p>
      <w:pPr>
        <w:spacing w:after="0" w:line="23" w:lineRule="exact"/>
        <w:rPr>
          <w:sz w:val="20"/>
          <w:szCs w:val="20"/>
          <w:color w:val="auto"/>
        </w:rPr>
      </w:pPr>
    </w:p>
    <w:p>
      <w:pPr>
        <w:ind w:left="580" w:hanging="572"/>
        <w:spacing w:after="0" w:line="250"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application has been submitted to the Securities and Exchange Commission for confidential treatment, pursuant to Rule 24b-2 of the Securities Exchange Act of 1934, of portions of this exhibit. These portions have been omitted from this exhibit.</w:t>
      </w:r>
    </w:p>
    <w:p>
      <w:pPr>
        <w:spacing w:after="0" w:line="1"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November 26, 2014.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July 18, 2016.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July 26, 2016.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June 1, 2020.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April 12, 2019.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April 8, 2019.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October 1, 2013.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 on September 28,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Proxy Statement on Schedule 14A filed with the SEC on August 14,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filed with the SEC on March 10,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filed with the SEC on June 30,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filed with the SEC on December 8,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filed with the SEC on June 28,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8" w:name="page79"/>
    <w:bookmarkEnd w:id="78"/>
    <w:p>
      <w:pPr>
        <w:ind w:left="572" w:hanging="572"/>
        <w:spacing w:after="0"/>
        <w:tabs>
          <w:tab w:leader="none" w:pos="5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8-K filed with the SEC on June 9, 2020.</w:t>
      </w:r>
    </w:p>
    <w:p>
      <w:pPr>
        <w:spacing w:after="0" w:line="34" w:lineRule="exact"/>
        <w:rPr>
          <w:rFonts w:ascii="Arial" w:cs="Arial" w:eastAsia="Arial" w:hAnsi="Arial"/>
          <w:sz w:val="17"/>
          <w:szCs w:val="17"/>
          <w:color w:val="auto"/>
        </w:rPr>
      </w:pPr>
    </w:p>
    <w:p>
      <w:pPr>
        <w:ind w:left="572" w:hanging="572"/>
        <w:spacing w:after="0"/>
        <w:tabs>
          <w:tab w:leader="none" w:pos="5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 on December 20, 2013.</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S-8 filed with the SEC on December 20, 2013.</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10-K filed with the SEC on June 19, 2014.</w:t>
      </w:r>
    </w:p>
    <w:p>
      <w:pPr>
        <w:spacing w:after="0" w:line="20" w:lineRule="exact"/>
        <w:rPr>
          <w:rFonts w:ascii="Arial" w:cs="Arial" w:eastAsia="Arial" w:hAnsi="Arial"/>
          <w:sz w:val="17"/>
          <w:szCs w:val="17"/>
          <w:color w:val="auto"/>
        </w:rPr>
      </w:pPr>
    </w:p>
    <w:p>
      <w:pPr>
        <w:ind w:left="572" w:hanging="572"/>
        <w:spacing w:after="0"/>
        <w:tabs>
          <w:tab w:leader="none" w:pos="5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10-K filed with the SEC on June 22, 2015.</w:t>
      </w:r>
    </w:p>
    <w:p>
      <w:pPr>
        <w:spacing w:after="0" w:line="20" w:lineRule="exact"/>
        <w:rPr>
          <w:rFonts w:ascii="Arial" w:cs="Arial" w:eastAsia="Arial" w:hAnsi="Arial"/>
          <w:sz w:val="17"/>
          <w:szCs w:val="17"/>
          <w:color w:val="auto"/>
        </w:rPr>
      </w:pPr>
    </w:p>
    <w:p>
      <w:pPr>
        <w:ind w:left="572" w:hanging="572"/>
        <w:spacing w:after="0"/>
        <w:tabs>
          <w:tab w:leader="none" w:pos="5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 on October 31, 2016.</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 on November 26, 2019.</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 on October 31, 2017.</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 on February 28, 2020.</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by reference to the Registrant’s Form 8-K filed with the SEC on April 9, 2020.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341"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its behalf by the undersigned, thereunto duly authorized.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&amp; WESSON BRANDS,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P.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Co-President and Co-Chief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Brian D.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D. Murphy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Co-President and Co-Chief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0" w:name="page81"/>
    <w:bookmarkEnd w:id="80"/>
    <w:p>
      <w:pPr>
        <w:ind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30"/>
        </w:trPr>
        <w:tc>
          <w:tcPr>
            <w:tcW w:w="3380" w:type="dxa"/>
            <w:vAlign w:val="bottom"/>
          </w:tcPr>
          <w:p>
            <w:pPr>
              <w:jc w:val="center"/>
              <w:spacing w:after="0"/>
              <w:rPr>
                <w:sz w:val="20"/>
                <w:szCs w:val="20"/>
                <w:color w:val="auto"/>
              </w:rPr>
            </w:pPr>
            <w:r>
              <w:rPr>
                <w:rFonts w:ascii="Arial" w:cs="Arial" w:eastAsia="Arial" w:hAnsi="Arial"/>
                <w:sz w:val="18"/>
                <w:szCs w:val="18"/>
                <w:i w:val="1"/>
                <w:iCs w:val="1"/>
                <w:color w:val="auto"/>
                <w:w w:val="90"/>
              </w:rPr>
              <w:t>/s/ Mark P. Smith</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Co-President and Co-Chief Executive Officer (Co-Principal Executive</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109"/>
        </w:trPr>
        <w:tc>
          <w:tcPr>
            <w:tcW w:w="3380" w:type="dxa"/>
            <w:vAlign w:val="bottom"/>
            <w:tcBorders>
              <w:bottom w:val="single" w:sz="8" w:color="auto"/>
            </w:tcBorders>
          </w:tcPr>
          <w:p>
            <w:pPr>
              <w:spacing w:after="0"/>
              <w:rPr>
                <w:sz w:val="9"/>
                <w:szCs w:val="9"/>
                <w:color w:val="auto"/>
              </w:rPr>
            </w:pPr>
          </w:p>
        </w:tc>
        <w:tc>
          <w:tcPr>
            <w:tcW w:w="160" w:type="dxa"/>
            <w:vAlign w:val="bottom"/>
            <w:vMerge w:val="restart"/>
          </w:tcPr>
          <w:p>
            <w:pPr>
              <w:spacing w:after="0"/>
              <w:rPr>
                <w:sz w:val="9"/>
                <w:szCs w:val="9"/>
                <w:color w:val="auto"/>
              </w:rPr>
            </w:pPr>
          </w:p>
        </w:tc>
        <w:tc>
          <w:tcPr>
            <w:tcW w:w="54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Officers)</w:t>
            </w: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380" w:type="dxa"/>
            <w:vAlign w:val="bottom"/>
            <w:vMerge w:val="restart"/>
          </w:tcPr>
          <w:p>
            <w:pPr>
              <w:jc w:val="center"/>
              <w:spacing w:after="0"/>
              <w:rPr>
                <w:sz w:val="20"/>
                <w:szCs w:val="20"/>
                <w:color w:val="auto"/>
              </w:rPr>
            </w:pPr>
            <w:r>
              <w:rPr>
                <w:rFonts w:ascii="Arial" w:cs="Arial" w:eastAsia="Arial" w:hAnsi="Arial"/>
                <w:sz w:val="18"/>
                <w:szCs w:val="18"/>
                <w:color w:val="auto"/>
                <w:w w:val="91"/>
              </w:rPr>
              <w:t>Mark P. Smith</w:t>
            </w:r>
          </w:p>
        </w:tc>
        <w:tc>
          <w:tcPr>
            <w:tcW w:w="160" w:type="dxa"/>
            <w:vAlign w:val="bottom"/>
            <w:vMerge w:val="continue"/>
          </w:tcPr>
          <w:p>
            <w:pPr>
              <w:spacing w:after="0"/>
              <w:rPr>
                <w:sz w:val="8"/>
                <w:szCs w:val="8"/>
                <w:color w:val="auto"/>
              </w:rPr>
            </w:pPr>
          </w:p>
        </w:tc>
        <w:tc>
          <w:tcPr>
            <w:tcW w:w="5460" w:type="dxa"/>
            <w:vAlign w:val="bottom"/>
            <w:gridSpan w:val="2"/>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8"/>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 Brian D. Murphy</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Co-President and Co-Chief Executive Officer (Co-Principal Executive</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5"/>
              </w:rPr>
              <w:t>Brian D. Murphy</w:t>
            </w:r>
          </w:p>
        </w:tc>
        <w:tc>
          <w:tcPr>
            <w:tcW w:w="160" w:type="dxa"/>
            <w:vAlign w:val="bottom"/>
          </w:tcPr>
          <w:p>
            <w:pPr>
              <w:spacing w:after="0"/>
              <w:rPr>
                <w:sz w:val="19"/>
                <w:szCs w:val="19"/>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Officers)</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Jeffrey D. Buchanan</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Executive Vice President, Chief Financial</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182"/>
        </w:trPr>
        <w:tc>
          <w:tcPr>
            <w:tcW w:w="3380" w:type="dxa"/>
            <w:vAlign w:val="bottom"/>
          </w:tcPr>
          <w:p>
            <w:pPr>
              <w:jc w:val="center"/>
              <w:spacing w:after="0" w:line="182" w:lineRule="exact"/>
              <w:rPr>
                <w:sz w:val="20"/>
                <w:szCs w:val="20"/>
                <w:color w:val="auto"/>
              </w:rPr>
            </w:pPr>
            <w:r>
              <w:rPr>
                <w:rFonts w:ascii="Arial" w:cs="Arial" w:eastAsia="Arial" w:hAnsi="Arial"/>
                <w:sz w:val="18"/>
                <w:szCs w:val="18"/>
                <w:color w:val="auto"/>
                <w:w w:val="90"/>
              </w:rPr>
              <w:t>Jeffrey D. Buchanan</w:t>
            </w:r>
          </w:p>
        </w:tc>
        <w:tc>
          <w:tcPr>
            <w:tcW w:w="160" w:type="dxa"/>
            <w:vAlign w:val="bottom"/>
          </w:tcPr>
          <w:p>
            <w:pPr>
              <w:spacing w:after="0"/>
              <w:rPr>
                <w:sz w:val="15"/>
                <w:szCs w:val="15"/>
                <w:color w:val="auto"/>
              </w:rPr>
            </w:pPr>
          </w:p>
        </w:tc>
        <w:tc>
          <w:tcPr>
            <w:tcW w:w="546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3"/>
              </w:rPr>
              <w:t>Officer, Chief Administrative Officer, and Treasurer (Principal Financial</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Deana L. McPherson</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Vice President, Chief Accounting Officer, Corporate Controller, and</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89"/>
              </w:rPr>
              <w:t>Deana L. McPherson</w:t>
            </w:r>
          </w:p>
        </w:tc>
        <w:tc>
          <w:tcPr>
            <w:tcW w:w="160" w:type="dxa"/>
            <w:vAlign w:val="bottom"/>
          </w:tcPr>
          <w:p>
            <w:pPr>
              <w:spacing w:after="0"/>
              <w:rPr>
                <w:sz w:val="19"/>
                <w:szCs w:val="19"/>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Assistant Treasurer (Principal Accounting Officer)</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 Barry M. Monheit</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6"/>
              </w:rPr>
              <w:t>Barry M. Monheit</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Robert L. Scott</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Vice 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Robert L. Scott</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Anita D. Britt</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8"/>
              </w:rPr>
              <w:t>Anita D. Britt</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John B. Furman</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John B. Furman</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Gregory J. Gluchowski, Jr.</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Gregory J. Gluchowski, Jr.</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Michael F. Golden</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Michael F. Golden</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Mitchell A. Saltz</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6"/>
              </w:rPr>
              <w:t>Mitchell A. Saltz</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I. Marie Wadecki</w:t>
            </w:r>
          </w:p>
        </w:tc>
        <w:tc>
          <w:tcPr>
            <w:tcW w:w="160" w:type="dxa"/>
            <w:vAlign w:val="bottom"/>
          </w:tcPr>
          <w:p>
            <w:pPr>
              <w:spacing w:after="0"/>
              <w:rPr>
                <w:sz w:val="24"/>
                <w:szCs w:val="24"/>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19, 2020</w:t>
            </w: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I. Marie Wadecki</w:t>
            </w: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3380" w:type="dxa"/>
            <w:vAlign w:val="bottom"/>
          </w:tcPr>
          <w:p>
            <w:pPr>
              <w:spacing w:after="0"/>
              <w:rPr>
                <w:sz w:val="24"/>
                <w:szCs w:val="24"/>
                <w:color w:val="auto"/>
              </w:rPr>
            </w:pPr>
          </w:p>
        </w:tc>
        <w:tc>
          <w:tcPr>
            <w:tcW w:w="5520" w:type="dxa"/>
            <w:vAlign w:val="bottom"/>
            <w:gridSpan w:val="2"/>
          </w:tcPr>
          <w:p>
            <w:pPr>
              <w:jc w:val="right"/>
              <w:ind w:right="309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gridSpan w:val="4"/>
            <w:vMerge w:val="restart"/>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Report of Independent Registered Public Accounting Firm</w:t>
              </w:r>
            </w:hyperlink>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340" w:type="dxa"/>
            <w:vAlign w:val="bottom"/>
            <w:gridSpan w:val="4"/>
            <w:vMerge w:val="continue"/>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40" w:type="dxa"/>
            <w:vAlign w:val="bottom"/>
            <w:gridSpan w:val="4"/>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Balance Sheets as of April 30, 2020 and 2019</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340" w:type="dxa"/>
            <w:vAlign w:val="bottom"/>
            <w:gridSpan w:val="4"/>
          </w:tcPr>
          <w:p>
            <w:pPr>
              <w:spacing w:after="0"/>
              <w:rPr>
                <w:rFonts w:ascii="Arial" w:cs="Arial" w:eastAsia="Arial" w:hAnsi="Arial"/>
                <w:sz w:val="18"/>
                <w:szCs w:val="18"/>
                <w:u w:val="single" w:color="auto"/>
                <w:color w:val="0000EE"/>
                <w:w w:val="99"/>
              </w:rPr>
            </w:pPr>
            <w:hyperlink w:anchor="page86">
              <w:r>
                <w:rPr>
                  <w:rFonts w:ascii="Arial" w:cs="Arial" w:eastAsia="Arial" w:hAnsi="Arial"/>
                  <w:sz w:val="18"/>
                  <w:szCs w:val="18"/>
                  <w:u w:val="single" w:color="auto"/>
                  <w:color w:val="0000EE"/>
                  <w:w w:val="99"/>
                </w:rPr>
                <w:t>Consolidated Statements of (Loss)/Income and Comprehensive (Loss)/Income for the years ended April 30, 2020, 2019, and 2018</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0"/>
        </w:trPr>
        <w:tc>
          <w:tcPr>
            <w:tcW w:w="746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Consolidated Statements of Changes in Stockholders’ Equity for the years ended April 30, 2020, 2019,</w:t>
              </w:r>
            </w:hyperlink>
          </w:p>
        </w:tc>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87">
              <w:r>
                <w:rPr>
                  <w:rFonts w:ascii="Arial" w:cs="Arial" w:eastAsia="Arial" w:hAnsi="Arial"/>
                  <w:sz w:val="18"/>
                  <w:szCs w:val="18"/>
                  <w:color w:val="0000EE"/>
                  <w:w w:val="85"/>
                </w:rPr>
                <w:t>and 2018</w:t>
              </w:r>
            </w:hyperlink>
          </w:p>
        </w:tc>
        <w:tc>
          <w:tcPr>
            <w:tcW w:w="9420" w:type="dxa"/>
            <w:vAlign w:val="bottom"/>
            <w:gridSpan w:val="2"/>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22"/>
        </w:trPr>
        <w:tc>
          <w:tcPr>
            <w:tcW w:w="10340" w:type="dxa"/>
            <w:vAlign w:val="bottom"/>
            <w:gridSpan w:val="4"/>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Cash Flows for the years ended April 30, 2020, 2019, and 2018</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10340" w:type="dxa"/>
            <w:vAlign w:val="bottom"/>
            <w:gridSpan w:val="4"/>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Notes to Consolidated Financial Statements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10340" w:type="dxa"/>
            <w:vAlign w:val="bottom"/>
            <w:gridSpan w:val="4"/>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Schedule II — Valuation and Qualifying Accounts for the years ended April 30, 2020, 2019, and 2018</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648"/>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20" w:type="dxa"/>
            <w:vAlign w:val="bottom"/>
            <w:gridSpan w:val="2"/>
          </w:tcPr>
          <w:p>
            <w:pPr>
              <w:ind w:left="4580"/>
              <w:spacing w:after="0"/>
              <w:rPr>
                <w:sz w:val="20"/>
                <w:szCs w:val="20"/>
                <w:color w:val="auto"/>
              </w:rPr>
            </w:pPr>
            <w:r>
              <w:rPr>
                <w:rFonts w:ascii="Arial" w:cs="Arial" w:eastAsia="Arial" w:hAnsi="Arial"/>
                <w:sz w:val="18"/>
                <w:szCs w:val="18"/>
                <w:color w:val="auto"/>
              </w:rPr>
              <w:t>F-1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5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Smith &amp; Wesson Brands, Inc.</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audited the accompanying consolidated balance sheets of Smith &amp; Wesson Brands, Inc. and subsidiaries (the "Company") as of April 30, 2020 and 2019, the related consolidated statements of (loss)/income, comprehensive (loss)/income, changes in stockholders' equity, and cash flows, for each of the three years in the period ended April 30, 2020, and the related notes and the schedule listed in the Index at Item 15 (collectively referred to as the "financial statements"). In our opinion, the financial statements present fairly, in all material respects, the financial position of the Company as of April 30, 2020 and 2019, and the results of its operations and its cash flows for each of the three years in the period ended April 30, 2020, in conformity with accounting principles generally accepted in the United States of America.</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April 30,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June 19, 2020, expressed an adverse opinion on the Company's internal control over financial reporting because of a material weakness.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Accounting Principle</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As discussed in Note 3 to the financial statements, the Company has changed its method of accounting for leases in fiscal year 2020 due to adoption of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 Outdoor Products &amp; Accessories Reporting Unit — Refer to Notes 3 and 6 of the financial statements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evaluation of goodwill for impairment involves the comparison of the estimated fair value of each reporting unit to their carrying value. The Company tests goodwill for impairment on an annual basis on February 1 and between annual tests if indicators of potential impairment exist. The Company used the discounted cash flow model to estimate fair value, which requires management to make significant estimates and assumptions related to discount rates and forecasts of future revenues and operating margins. Changes in these assumptions could have a significant impact on either the estimated fair value, the amount of any goodwill impairment charge, or both.</w:t>
      </w:r>
    </w:p>
    <w:p>
      <w:pPr>
        <w:spacing w:after="0" w:line="8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Company determined that there are two reporting units, (1) Firearms and (2) Outdoor Products &amp; Accessories. On February 1, 2020, the date of the annual goodwill impairment analysis, the goodwill balance was $182.2 million, of which $163.2 was allocated to Outdoor Products and Accessories reporting unit.</w:t>
      </w:r>
    </w:p>
    <w:p>
      <w:pPr>
        <w:spacing w:after="0" w:line="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While performing the February 1, 2020 annual goodwill impairment analysis, the Company identified an impairment indicator related to the expected negative impact on Outdoor Products &amp; Accessories reporting unit forecasted cash flows due to several COVID-19 factors, including a major online retail customer’s decision to halt or delay most non-essential product orders, COVID-19-related supply chain issues, as well as COVID-19-related “stay at home” orders and sporting goods store closures, which reduced retail foot traffic in many states. As a result, the Company performed a goodwill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spacing w:after="0" w:line="261" w:lineRule="auto"/>
        <w:rPr>
          <w:sz w:val="20"/>
          <w:szCs w:val="20"/>
          <w:color w:val="auto"/>
        </w:rPr>
      </w:pPr>
      <w:r>
        <w:rPr>
          <w:rFonts w:ascii="Arial" w:cs="Arial" w:eastAsia="Arial" w:hAnsi="Arial"/>
          <w:sz w:val="17"/>
          <w:szCs w:val="17"/>
          <w:color w:val="auto"/>
        </w:rPr>
        <w:t>impairment analysis with reduced forecasted cash flows in which they determined that the Outdoor Products &amp; Accessories reporting unit’s carrying value, including goodwill, exceeded its fair value by $98.7 million and therefore recognized an impairment charge of $98.7 million relating to the goodwill allocated to the Outdoor Products &amp; Accessories reporting unit.</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Significant judgments were required by management to estimate the fair value of the Outdoor Products &amp; Accessories reporting unit in light of reduced overall demand for its products and the resulting need to reduce the forecasts of its long-range cash flows. Therefore, performing audit procedures to evaluate the reasonableness of management’s estimates and assumptions related to selection of the company specific risk premium (“CSRP”) included within the discount rate as well as forecasts of future cash flows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Our audit procedures related to the CSRP included within the discount rate and forecasts of future cash flows used by management to estimate the fair value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Outdoor Products &amp; Accessories reporting unit included the following, among others:</w:t>
      </w:r>
    </w:p>
    <w:p>
      <w:pPr>
        <w:spacing w:after="0" w:line="7" w:lineRule="exact"/>
        <w:rPr>
          <w:sz w:val="20"/>
          <w:szCs w:val="20"/>
          <w:color w:val="auto"/>
        </w:rPr>
      </w:pPr>
    </w:p>
    <w:p>
      <w:pPr>
        <w:ind w:left="880" w:right="20" w:hanging="440"/>
        <w:spacing w:after="0" w:line="257"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tested the effectiveness of controls over the determination of the fair value of the Outdoor Products &amp; Accessories reporting unit, such as controls related to management’s selection of the discount rate and forecasts of future cash flows.</w:t>
      </w:r>
    </w:p>
    <w:p>
      <w:pPr>
        <w:spacing w:after="0" w:line="175" w:lineRule="exact"/>
        <w:rPr>
          <w:rFonts w:ascii="Arial" w:cs="Arial" w:eastAsia="Arial" w:hAnsi="Arial"/>
          <w:sz w:val="17"/>
          <w:szCs w:val="17"/>
          <w:color w:val="auto"/>
        </w:rPr>
      </w:pPr>
    </w:p>
    <w:p>
      <w:pPr>
        <w:ind w:left="880" w:right="100" w:hanging="440"/>
        <w:spacing w:after="0" w:line="342" w:lineRule="auto"/>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evaluated management’s ability to accurately forecast future cash flows by performing a retrospective review of current year revenue and earnings before interest, taxes, depreciation, and amortization (“EBITDA”) results as compared to management’s historical forecasts of the current year.</w:t>
      </w:r>
    </w:p>
    <w:p>
      <w:pPr>
        <w:spacing w:after="0" w:line="115" w:lineRule="exact"/>
        <w:rPr>
          <w:rFonts w:ascii="Arial" w:cs="Arial" w:eastAsia="Arial" w:hAnsi="Arial"/>
          <w:sz w:val="15"/>
          <w:szCs w:val="15"/>
          <w:color w:val="auto"/>
        </w:rPr>
      </w:pPr>
    </w:p>
    <w:p>
      <w:pPr>
        <w:ind w:left="880" w:hanging="440"/>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evaluated the reasonableness of management’s forecasted cash flows by comparing the forecasts to:</w:t>
      </w:r>
    </w:p>
    <w:p>
      <w:pPr>
        <w:spacing w:after="0" w:line="20" w:lineRule="exact"/>
        <w:rPr>
          <w:rFonts w:ascii="Arial" w:cs="Arial" w:eastAsia="Arial" w:hAnsi="Arial"/>
          <w:sz w:val="17"/>
          <w:szCs w:val="17"/>
          <w:color w:val="auto"/>
        </w:rPr>
      </w:pPr>
    </w:p>
    <w:p>
      <w:pPr>
        <w:ind w:left="1740" w:hanging="436"/>
        <w:spacing w:after="0"/>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Historical revenues, gross margin, expense ratio, and EBITDA</w:t>
      </w:r>
    </w:p>
    <w:p>
      <w:pPr>
        <w:spacing w:after="0" w:line="7" w:lineRule="exact"/>
        <w:rPr>
          <w:rFonts w:ascii="Arial" w:cs="Arial" w:eastAsia="Arial" w:hAnsi="Arial"/>
          <w:sz w:val="17"/>
          <w:szCs w:val="17"/>
          <w:color w:val="auto"/>
        </w:rPr>
      </w:pPr>
    </w:p>
    <w:p>
      <w:pPr>
        <w:ind w:left="1740" w:hanging="436"/>
        <w:spacing w:after="0"/>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Internal communications to management and the Board of Directors</w:t>
      </w:r>
    </w:p>
    <w:p>
      <w:pPr>
        <w:spacing w:after="0" w:line="7" w:lineRule="exact"/>
        <w:rPr>
          <w:rFonts w:ascii="Arial" w:cs="Arial" w:eastAsia="Arial" w:hAnsi="Arial"/>
          <w:sz w:val="17"/>
          <w:szCs w:val="17"/>
          <w:color w:val="auto"/>
        </w:rPr>
      </w:pPr>
    </w:p>
    <w:p>
      <w:pPr>
        <w:ind w:left="1740" w:hanging="436"/>
        <w:spacing w:after="0" w:line="257"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Projected growth rates included within relevant industry reports for industries in which the Outdoor Products &amp; Accessories reporting unit operates.</w:t>
      </w:r>
    </w:p>
    <w:p>
      <w:pPr>
        <w:spacing w:after="0" w:line="175" w:lineRule="exact"/>
        <w:rPr>
          <w:rFonts w:ascii="Arial" w:cs="Arial" w:eastAsia="Arial" w:hAnsi="Arial"/>
          <w:sz w:val="17"/>
          <w:szCs w:val="17"/>
          <w:color w:val="auto"/>
        </w:rPr>
      </w:pPr>
    </w:p>
    <w:p>
      <w:pPr>
        <w:ind w:left="880" w:hanging="440"/>
        <w:spacing w:after="0" w:line="274"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Performed a sensitivity analysis over the impairment charge including developing independent estimates of projected cash flows based on various scenarios impacting revenues, gross margin, and expense ratio.</w:t>
      </w:r>
    </w:p>
    <w:p>
      <w:pPr>
        <w:spacing w:after="0" w:line="161" w:lineRule="exact"/>
        <w:rPr>
          <w:rFonts w:ascii="Arial" w:cs="Arial" w:eastAsia="Arial" w:hAnsi="Arial"/>
          <w:sz w:val="17"/>
          <w:szCs w:val="17"/>
          <w:color w:val="auto"/>
        </w:rPr>
      </w:pPr>
    </w:p>
    <w:p>
      <w:pPr>
        <w:ind w:left="880" w:hanging="440"/>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evaluated the impact of changes in management’s forecasts from the measurement date to April 30, 2020.</w:t>
      </w:r>
    </w:p>
    <w:p>
      <w:pPr>
        <w:spacing w:after="0" w:line="317" w:lineRule="exact"/>
        <w:rPr>
          <w:rFonts w:ascii="Arial" w:cs="Arial" w:eastAsia="Arial" w:hAnsi="Arial"/>
          <w:sz w:val="17"/>
          <w:szCs w:val="17"/>
          <w:color w:val="auto"/>
        </w:rPr>
      </w:pPr>
    </w:p>
    <w:p>
      <w:pPr>
        <w:ind w:left="880" w:hanging="440"/>
        <w:spacing w:after="0" w:line="274"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and (2) CSRP included within the discount rate and:</w:t>
      </w:r>
    </w:p>
    <w:p>
      <w:pPr>
        <w:spacing w:after="0" w:line="66" w:lineRule="exact"/>
        <w:rPr>
          <w:rFonts w:ascii="Arial" w:cs="Arial" w:eastAsia="Arial" w:hAnsi="Arial"/>
          <w:sz w:val="17"/>
          <w:szCs w:val="17"/>
          <w:color w:val="auto"/>
        </w:rPr>
      </w:pPr>
    </w:p>
    <w:p>
      <w:pPr>
        <w:ind w:left="1740" w:hanging="436"/>
        <w:spacing w:after="0"/>
        <w:tabs>
          <w:tab w:leader="none" w:pos="17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Tested the source information underlying the determination of the discount rate and the mathematical accuracy of the calculation.</w:t>
      </w:r>
    </w:p>
    <w:p>
      <w:pPr>
        <w:spacing w:after="0" w:line="126" w:lineRule="exact"/>
        <w:rPr>
          <w:rFonts w:ascii="Arial" w:cs="Arial" w:eastAsia="Arial" w:hAnsi="Arial"/>
          <w:sz w:val="16"/>
          <w:szCs w:val="16"/>
          <w:color w:val="auto"/>
        </w:rPr>
      </w:pPr>
    </w:p>
    <w:p>
      <w:pPr>
        <w:ind w:left="1740" w:hanging="436"/>
        <w:spacing w:after="0"/>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Developed a range of independent estimates and comparing those to the discount rate selected by management.</w:t>
      </w:r>
    </w:p>
    <w:p>
      <w:pPr>
        <w:spacing w:after="0" w:line="115" w:lineRule="exact"/>
        <w:rPr>
          <w:rFonts w:ascii="Arial" w:cs="Arial" w:eastAsia="Arial" w:hAnsi="Arial"/>
          <w:sz w:val="17"/>
          <w:szCs w:val="17"/>
          <w:color w:val="auto"/>
        </w:rPr>
      </w:pPr>
    </w:p>
    <w:p>
      <w:pPr>
        <w:jc w:val="both"/>
        <w:ind w:left="1740" w:hanging="436"/>
        <w:spacing w:after="0" w:line="257"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Performed a sensitivity analysis over the selected CSRP by applying a discount rate that did not include a CSRP to the projected cash flows and solving for revenue growth and EBITDA margins that would result in the same fair value as within the Company’s discounted cash flow model. The resulting revenue growth and EBITDA margins were compared to historical results and industry growth forecasted growth rates to evaluate the sufficiency of the selected CSRP.</w:t>
      </w:r>
    </w:p>
    <w:p>
      <w:pPr>
        <w:spacing w:after="0" w:line="80" w:lineRule="exact"/>
        <w:rPr>
          <w:rFonts w:ascii="Arial" w:cs="Arial" w:eastAsia="Arial" w:hAnsi="Arial"/>
          <w:sz w:val="17"/>
          <w:szCs w:val="17"/>
          <w:color w:val="auto"/>
        </w:rPr>
      </w:pPr>
    </w:p>
    <w:p>
      <w:pPr>
        <w:jc w:val="both"/>
        <w:ind w:left="1740" w:hanging="436"/>
        <w:spacing w:after="0" w:line="261" w:lineRule="auto"/>
        <w:tabs>
          <w:tab w:leader="none" w:pos="17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Compared the change in the fair value of equity of the Outdoor Products &amp; Accessories reporting unit from February 1, 2019, which is the estimate date in the prior year’s analysis through the current estimate date of March 23, 2020 to the change in guideline public company market capitalizations.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June 19, 2020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84" w:name="page85"/>
    <w:bookmarkEnd w:id="84"/>
    <w:p>
      <w:pPr>
        <w:spacing w:after="0" w:line="223" w:lineRule="auto"/>
        <w:framePr w:w="320" w:h="160" w:wrap="auto" w:vAnchor="page" w:hAnchor="page" w:x="5780" w:y="12292"/>
        <w:rPr>
          <w:rFonts w:ascii="Arial" w:cs="Arial" w:eastAsia="Arial" w:hAnsi="Arial"/>
          <w:sz w:val="15"/>
          <w:szCs w:val="15"/>
          <w:color w:val="auto"/>
        </w:rPr>
      </w:pPr>
      <w:r>
        <w:rPr>
          <w:rFonts w:ascii="Arial" w:cs="Arial" w:eastAsia="Arial" w:hAnsi="Arial"/>
          <w:sz w:val="15"/>
          <w:szCs w:val="15"/>
          <w:color w:val="auto"/>
        </w:rPr>
        <w:t>F-4</w:t>
      </w:r>
    </w:p>
    <w:p>
      <w:pPr>
        <w:spacing w:after="0" w:line="209" w:lineRule="auto"/>
        <w:framePr w:w="800" w:h="160" w:wrap="auto" w:vAnchor="page" w:hAnchor="page" w:x="8900" w:y="11117"/>
        <w:rPr>
          <w:rFonts w:ascii="Arial" w:cs="Arial" w:eastAsia="Arial" w:hAnsi="Arial"/>
          <w:sz w:val="16"/>
          <w:szCs w:val="16"/>
          <w:color w:val="auto"/>
        </w:rPr>
      </w:pPr>
      <w:r>
        <w:rPr>
          <w:rFonts w:ascii="Arial" w:cs="Arial" w:eastAsia="Arial" w:hAnsi="Arial"/>
          <w:sz w:val="16"/>
          <w:szCs w:val="16"/>
          <w:color w:val="auto"/>
        </w:rPr>
        <w:t>(222,375)</w:t>
      </w:r>
    </w:p>
    <w:p>
      <w:pPr>
        <w:spacing w:after="0" w:line="223" w:lineRule="auto"/>
        <w:framePr w:w="640" w:h="160" w:wrap="auto" w:vAnchor="page" w:hAnchor="page" w:x="8980" w:y="11360"/>
        <w:rPr>
          <w:rFonts w:ascii="Arial" w:cs="Arial" w:eastAsia="Arial" w:hAnsi="Arial"/>
          <w:sz w:val="15"/>
          <w:szCs w:val="15"/>
          <w:color w:val="auto"/>
        </w:rPr>
      </w:pPr>
      <w:r>
        <w:rPr>
          <w:rFonts w:ascii="Arial" w:cs="Arial" w:eastAsia="Arial" w:hAnsi="Arial"/>
          <w:sz w:val="15"/>
          <w:szCs w:val="15"/>
          <w:color w:val="auto"/>
        </w:rPr>
        <w:t>387,118</w:t>
      </w:r>
    </w:p>
    <w:p>
      <w:pPr>
        <w:spacing w:after="0" w:line="209" w:lineRule="auto"/>
        <w:framePr w:w="160" w:h="160" w:wrap="auto" w:vAnchor="page" w:hAnchor="page" w:x="8020" w:y="11603"/>
        <w:rPr>
          <w:rFonts w:ascii="Arial" w:cs="Arial" w:eastAsia="Arial" w:hAnsi="Arial"/>
          <w:sz w:val="18"/>
          <w:szCs w:val="18"/>
          <w:color w:val="auto"/>
        </w:rPr>
      </w:pPr>
      <w:r>
        <w:rPr>
          <w:rFonts w:ascii="Arial" w:cs="Arial" w:eastAsia="Arial" w:hAnsi="Arial"/>
          <w:sz w:val="18"/>
          <w:szCs w:val="18"/>
          <w:color w:val="auto"/>
        </w:rPr>
        <w:t>$</w:t>
      </w:r>
    </w:p>
    <w:p>
      <w:pPr>
        <w:spacing w:after="0" w:line="209" w:lineRule="auto"/>
        <w:framePr w:w="660" w:h="160" w:wrap="auto" w:vAnchor="page" w:hAnchor="page" w:x="8960" w:y="11603"/>
        <w:rPr>
          <w:rFonts w:ascii="Arial" w:cs="Arial" w:eastAsia="Arial" w:hAnsi="Arial"/>
          <w:sz w:val="16"/>
          <w:szCs w:val="16"/>
          <w:color w:val="auto"/>
        </w:rPr>
      </w:pPr>
      <w:r>
        <w:rPr>
          <w:rFonts w:ascii="Arial" w:cs="Arial" w:eastAsia="Arial" w:hAnsi="Arial"/>
          <w:sz w:val="16"/>
          <w:szCs w:val="16"/>
          <w:color w:val="auto"/>
        </w:rPr>
        <w:t>728,961</w:t>
      </w:r>
    </w:p>
    <w:p>
      <w:pPr>
        <w:spacing w:after="0" w:line="209" w:lineRule="auto"/>
        <w:framePr w:w="6360" w:h="160" w:wrap="auto" w:vAnchor="page" w:hAnchor="page" w:x="2760" w:y="11860"/>
        <w:rPr>
          <w:rFonts w:ascii="Arial" w:cs="Arial" w:eastAsia="Arial" w:hAnsi="Arial"/>
          <w:sz w:val="16"/>
          <w:szCs w:val="16"/>
          <w:color w:val="auto"/>
        </w:rPr>
      </w:pPr>
      <w:r>
        <w:rPr>
          <w:rFonts w:ascii="Arial" w:cs="Arial" w:eastAsia="Arial" w:hAnsi="Arial"/>
          <w:sz w:val="16"/>
          <w:szCs w:val="16"/>
          <w:color w:val="auto"/>
        </w:rPr>
        <w:t>The accompanying notes are an integral part of these consolidated financial statements.</w:t>
      </w:r>
    </w:p>
    <w:p>
      <w:pPr>
        <w:spacing w:after="0" w:line="209" w:lineRule="auto"/>
        <w:framePr w:w="160" w:h="160" w:wrap="auto" w:vAnchor="page" w:hAnchor="page" w:x="8020" w:y="5623"/>
        <w:rPr>
          <w:rFonts w:ascii="Arial" w:cs="Arial" w:eastAsia="Arial" w:hAnsi="Arial"/>
          <w:sz w:val="13"/>
          <w:szCs w:val="13"/>
          <w:color w:val="auto"/>
        </w:rPr>
      </w:pPr>
      <w:r>
        <w:rPr>
          <w:rFonts w:ascii="Arial" w:cs="Arial" w:eastAsia="Arial" w:hAnsi="Arial"/>
          <w:sz w:val="13"/>
          <w:szCs w:val="13"/>
          <w:color w:val="auto"/>
        </w:rPr>
        <w:t>$</w:t>
      </w:r>
    </w:p>
    <w:p>
      <w:pPr>
        <w:spacing w:after="0" w:line="254" w:lineRule="auto"/>
        <w:framePr w:w="1620" w:h="390" w:wrap="auto" w:vAnchor="page" w:hAnchor="page" w:x="280" w:y="5393"/>
        <w:rPr>
          <w:rFonts w:ascii="Arial" w:cs="Arial" w:eastAsia="Arial" w:hAnsi="Arial"/>
          <w:sz w:val="16"/>
          <w:szCs w:val="16"/>
          <w:color w:val="auto"/>
        </w:rPr>
      </w:pPr>
      <w:r>
        <w:rPr>
          <w:rFonts w:ascii="Arial" w:cs="Arial" w:eastAsia="Arial" w:hAnsi="Arial"/>
          <w:sz w:val="16"/>
          <w:szCs w:val="16"/>
          <w:color w:val="auto"/>
        </w:rPr>
        <w:t>Current liabilities: Accounts payable</w:t>
      </w:r>
    </w:p>
    <w:p>
      <w:pPr>
        <w:spacing w:after="0" w:line="239" w:lineRule="auto"/>
        <w:framePr w:w="2940" w:h="619" w:wrap="auto" w:vAnchor="page" w:hAnchor="page" w:x="540" w:y="5852"/>
        <w:rPr>
          <w:rFonts w:ascii="Arial" w:cs="Arial" w:eastAsia="Arial" w:hAnsi="Arial"/>
          <w:sz w:val="18"/>
          <w:szCs w:val="18"/>
          <w:color w:val="auto"/>
        </w:rPr>
      </w:pPr>
      <w:r>
        <w:rPr>
          <w:rFonts w:ascii="Arial" w:cs="Arial" w:eastAsia="Arial" w:hAnsi="Arial"/>
          <w:sz w:val="18"/>
          <w:szCs w:val="18"/>
          <w:color w:val="auto"/>
        </w:rPr>
        <w:t>Accrued expenses and deferred revenue Accrued payroll and incentives Accrued income taxes</w:t>
      </w:r>
    </w:p>
    <w:p>
      <w:pPr>
        <w:spacing w:after="0" w:line="254" w:lineRule="auto"/>
        <w:framePr w:w="1700" w:h="390" w:wrap="auto" w:vAnchor="page" w:hAnchor="page" w:x="540" w:y="6541"/>
        <w:rPr>
          <w:rFonts w:ascii="Arial" w:cs="Arial" w:eastAsia="Arial" w:hAnsi="Arial"/>
          <w:sz w:val="16"/>
          <w:szCs w:val="16"/>
          <w:color w:val="auto"/>
        </w:rPr>
      </w:pPr>
      <w:r>
        <w:rPr>
          <w:rFonts w:ascii="Arial" w:cs="Arial" w:eastAsia="Arial" w:hAnsi="Arial"/>
          <w:sz w:val="16"/>
          <w:szCs w:val="16"/>
          <w:color w:val="auto"/>
        </w:rPr>
        <w:t>Accrued profit sharing Accrued warranty</w:t>
      </w:r>
    </w:p>
    <w:p>
      <w:pPr>
        <w:spacing w:after="0" w:line="233" w:lineRule="auto"/>
        <w:framePr w:w="3140" w:h="403" w:wrap="auto" w:vAnchor="page" w:hAnchor="page" w:x="540" w:y="7000"/>
        <w:rPr>
          <w:rFonts w:ascii="Arial" w:cs="Arial" w:eastAsia="Arial" w:hAnsi="Arial"/>
          <w:sz w:val="18"/>
          <w:szCs w:val="18"/>
          <w:color w:val="auto"/>
        </w:rPr>
      </w:pPr>
      <w:r>
        <w:rPr>
          <w:rFonts w:ascii="Arial" w:cs="Arial" w:eastAsia="Arial" w:hAnsi="Arial"/>
          <w:sz w:val="18"/>
          <w:szCs w:val="18"/>
          <w:color w:val="auto"/>
        </w:rPr>
        <w:t>Current portion of notes and loans payable Total current liabilities</w:t>
      </w:r>
    </w:p>
    <w:p>
      <w:pPr>
        <w:spacing w:after="0" w:line="209" w:lineRule="auto"/>
        <w:framePr w:w="1720" w:h="160" w:wrap="auto" w:vAnchor="page" w:hAnchor="page" w:x="280" w:y="7472"/>
        <w:rPr>
          <w:rFonts w:ascii="Arial" w:cs="Arial" w:eastAsia="Arial" w:hAnsi="Arial"/>
          <w:sz w:val="16"/>
          <w:szCs w:val="16"/>
          <w:color w:val="auto"/>
        </w:rPr>
      </w:pPr>
      <w:r>
        <w:rPr>
          <w:rFonts w:ascii="Arial" w:cs="Arial" w:eastAsia="Arial" w:hAnsi="Arial"/>
          <w:sz w:val="16"/>
          <w:szCs w:val="16"/>
          <w:color w:val="auto"/>
        </w:rPr>
        <w:t>Deferred income taxes</w:t>
      </w:r>
    </w:p>
    <w:p>
      <w:pPr>
        <w:spacing w:after="0" w:line="239" w:lineRule="auto"/>
        <w:framePr w:w="3460" w:h="619" w:wrap="auto" w:vAnchor="page" w:hAnchor="page" w:x="280" w:y="7702"/>
        <w:rPr>
          <w:rFonts w:ascii="Arial" w:cs="Arial" w:eastAsia="Arial" w:hAnsi="Arial"/>
          <w:sz w:val="18"/>
          <w:szCs w:val="18"/>
          <w:color w:val="auto"/>
        </w:rPr>
      </w:pPr>
      <w:r>
        <w:rPr>
          <w:rFonts w:ascii="Arial" w:cs="Arial" w:eastAsia="Arial" w:hAnsi="Arial"/>
          <w:sz w:val="18"/>
          <w:szCs w:val="18"/>
          <w:color w:val="auto"/>
        </w:rPr>
        <w:t>Notes and loans payable, net of current portion Finance lease payable, net of current portion Other non-current liabilities</w:t>
      </w:r>
    </w:p>
    <w:p>
      <w:pPr>
        <w:spacing w:after="0" w:line="196" w:lineRule="auto"/>
        <w:framePr w:w="1160" w:h="160" w:wrap="auto" w:vAnchor="page" w:hAnchor="page" w:x="780" w:y="8404"/>
        <w:rPr>
          <w:rFonts w:ascii="Arial" w:cs="Arial" w:eastAsia="Arial" w:hAnsi="Arial"/>
          <w:sz w:val="17"/>
          <w:szCs w:val="17"/>
          <w:color w:val="auto"/>
        </w:rPr>
      </w:pPr>
      <w:r>
        <w:rPr>
          <w:rFonts w:ascii="Arial" w:cs="Arial" w:eastAsia="Arial" w:hAnsi="Arial"/>
          <w:sz w:val="17"/>
          <w:szCs w:val="17"/>
          <w:color w:val="auto"/>
        </w:rPr>
        <w:t>Total liabilities</w:t>
      </w:r>
    </w:p>
    <w:p>
      <w:pPr>
        <w:spacing w:after="0" w:line="226" w:lineRule="auto"/>
        <w:framePr w:w="3180" w:h="390" w:wrap="auto" w:vAnchor="page" w:hAnchor="page" w:x="280" w:y="8647"/>
        <w:rPr>
          <w:rFonts w:ascii="Arial" w:cs="Arial" w:eastAsia="Arial" w:hAnsi="Arial"/>
          <w:sz w:val="18"/>
          <w:szCs w:val="18"/>
          <w:color w:val="auto"/>
        </w:rPr>
      </w:pPr>
      <w:r>
        <w:rPr>
          <w:rFonts w:ascii="Arial" w:cs="Arial" w:eastAsia="Arial" w:hAnsi="Arial"/>
          <w:sz w:val="18"/>
          <w:szCs w:val="18"/>
          <w:color w:val="auto"/>
        </w:rPr>
        <w:t>Commitments and contingencies (Note 18) Stockholders’ equity:</w:t>
      </w:r>
    </w:p>
    <w:p>
      <w:pPr>
        <w:spacing w:after="0" w:line="218" w:lineRule="auto"/>
        <w:framePr w:w="5340" w:h="376" w:wrap="auto" w:vAnchor="page" w:hAnchor="page" w:x="540" w:y="9106"/>
        <w:rPr>
          <w:rFonts w:ascii="Arial" w:cs="Arial" w:eastAsia="Arial" w:hAnsi="Arial"/>
          <w:sz w:val="18"/>
          <w:szCs w:val="18"/>
          <w:color w:val="auto"/>
        </w:rPr>
      </w:pPr>
      <w:r>
        <w:rPr>
          <w:rFonts w:ascii="Arial" w:cs="Arial" w:eastAsia="Arial" w:hAnsi="Arial"/>
          <w:sz w:val="18"/>
          <w:szCs w:val="18"/>
          <w:color w:val="auto"/>
        </w:rPr>
        <w:t>Preferred stock, $.001 par value, 20,000,000 shares authorized, no shares issued or outstanding</w:t>
      </w:r>
    </w:p>
    <w:p>
      <w:pPr>
        <w:spacing w:after="0" w:line="228" w:lineRule="auto"/>
        <w:framePr w:w="7220" w:h="592" w:wrap="auto" w:vAnchor="page" w:hAnchor="page" w:x="540" w:y="9551"/>
        <w:rPr>
          <w:rFonts w:ascii="Arial" w:cs="Arial" w:eastAsia="Arial" w:hAnsi="Arial"/>
          <w:sz w:val="18"/>
          <w:szCs w:val="18"/>
          <w:color w:val="auto"/>
        </w:rPr>
      </w:pPr>
      <w:r>
        <w:rPr>
          <w:rFonts w:ascii="Arial" w:cs="Arial" w:eastAsia="Arial" w:hAnsi="Arial"/>
          <w:sz w:val="18"/>
          <w:szCs w:val="18"/>
          <w:color w:val="auto"/>
        </w:rPr>
        <w:t>Common stock, $.001 par value, 100,000,000 shares authorized, 73,526,790 issued and 55,359,928 shares outstanding on April 30, 2020 and 72,863,624 shares issued and 54,696,762 shares outstanding on April 30, 2019</w:t>
      </w:r>
    </w:p>
    <w:p>
      <w:pPr>
        <w:spacing w:after="0" w:line="254" w:lineRule="auto"/>
        <w:framePr w:w="1920" w:h="390" w:wrap="auto" w:vAnchor="page" w:hAnchor="page" w:x="540" w:y="10213"/>
        <w:rPr>
          <w:rFonts w:ascii="Arial" w:cs="Arial" w:eastAsia="Arial" w:hAnsi="Arial"/>
          <w:sz w:val="16"/>
          <w:szCs w:val="16"/>
          <w:color w:val="auto"/>
        </w:rPr>
      </w:pPr>
      <w:r>
        <w:rPr>
          <w:rFonts w:ascii="Arial" w:cs="Arial" w:eastAsia="Arial" w:hAnsi="Arial"/>
          <w:sz w:val="16"/>
          <w:szCs w:val="16"/>
          <w:color w:val="auto"/>
        </w:rPr>
        <w:t>Additional paid-in capital Retained earnings</w:t>
      </w:r>
    </w:p>
    <w:p>
      <w:pPr>
        <w:spacing w:after="0" w:line="209" w:lineRule="auto"/>
        <w:framePr w:w="3160" w:h="160" w:wrap="auto" w:vAnchor="page" w:hAnchor="page" w:x="540" w:y="10672"/>
        <w:rPr>
          <w:rFonts w:ascii="Arial" w:cs="Arial" w:eastAsia="Arial" w:hAnsi="Arial"/>
          <w:sz w:val="16"/>
          <w:szCs w:val="16"/>
          <w:color w:val="auto"/>
        </w:rPr>
      </w:pPr>
      <w:r>
        <w:rPr>
          <w:rFonts w:ascii="Arial" w:cs="Arial" w:eastAsia="Arial" w:hAnsi="Arial"/>
          <w:sz w:val="16"/>
          <w:szCs w:val="16"/>
          <w:color w:val="auto"/>
        </w:rPr>
        <w:t>Accumulated other comprehensive income</w:t>
      </w:r>
    </w:p>
    <w:p>
      <w:pPr>
        <w:spacing w:after="0" w:line="218" w:lineRule="auto"/>
        <w:framePr w:w="4720" w:h="376" w:wrap="auto" w:vAnchor="page" w:hAnchor="page" w:x="540" w:y="10901"/>
        <w:rPr>
          <w:rFonts w:ascii="Arial" w:cs="Arial" w:eastAsia="Arial" w:hAnsi="Arial"/>
          <w:sz w:val="18"/>
          <w:szCs w:val="18"/>
          <w:color w:val="auto"/>
        </w:rPr>
      </w:pPr>
      <w:r>
        <w:rPr>
          <w:rFonts w:ascii="Arial" w:cs="Arial" w:eastAsia="Arial" w:hAnsi="Arial"/>
          <w:sz w:val="18"/>
          <w:szCs w:val="18"/>
          <w:color w:val="auto"/>
        </w:rPr>
        <w:t>Treasury stock, at cost (18,166,862 shares on April 30, 2020 and April 30, 2019)</w:t>
      </w:r>
    </w:p>
    <w:p>
      <w:pPr>
        <w:spacing w:after="0" w:line="209" w:lineRule="auto"/>
        <w:framePr w:w="1960" w:h="160" w:wrap="auto" w:vAnchor="page" w:hAnchor="page" w:x="780" w:y="11360"/>
        <w:rPr>
          <w:rFonts w:ascii="Arial" w:cs="Arial" w:eastAsia="Arial" w:hAnsi="Arial"/>
          <w:sz w:val="16"/>
          <w:szCs w:val="16"/>
          <w:color w:val="auto"/>
        </w:rPr>
      </w:pPr>
      <w:r>
        <w:rPr>
          <w:rFonts w:ascii="Arial" w:cs="Arial" w:eastAsia="Arial" w:hAnsi="Arial"/>
          <w:sz w:val="16"/>
          <w:szCs w:val="16"/>
          <w:color w:val="auto"/>
        </w:rPr>
        <w:t>Total stockholders’ equity</w:t>
      </w:r>
    </w:p>
    <w:p>
      <w:pPr>
        <w:spacing w:after="0" w:line="185" w:lineRule="auto"/>
        <w:framePr w:w="4000" w:h="160" w:wrap="auto" w:vAnchor="page" w:hAnchor="page" w:x="3880" w:y="5164"/>
        <w:rPr>
          <w:rFonts w:ascii="Arial" w:cs="Arial" w:eastAsia="Arial" w:hAnsi="Arial"/>
          <w:sz w:val="18"/>
          <w:szCs w:val="18"/>
          <w:b w:val="1"/>
          <w:bCs w:val="1"/>
          <w:color w:val="auto"/>
        </w:rPr>
      </w:pPr>
      <w:r>
        <w:rPr>
          <w:rFonts w:ascii="Arial" w:cs="Arial" w:eastAsia="Arial" w:hAnsi="Arial"/>
          <w:sz w:val="18"/>
          <w:szCs w:val="18"/>
          <w:b w:val="1"/>
          <w:bCs w:val="1"/>
          <w:color w:val="auto"/>
        </w:rPr>
        <w:t>LIABILITIES AND STOCKHOLDERS’ EQUITY</w:t>
      </w:r>
    </w:p>
    <w:p>
      <w:pPr>
        <w:spacing w:after="0" w:line="185" w:lineRule="auto"/>
        <w:framePr w:w="160" w:h="160" w:wrap="auto" w:vAnchor="page" w:hAnchor="page" w:x="8020" w:y="2113"/>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185" w:lineRule="auto"/>
        <w:framePr w:w="160" w:h="160" w:wrap="auto" w:vAnchor="page" w:hAnchor="page" w:x="8020" w:y="4894"/>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9" w:lineRule="auto"/>
        <w:framePr w:w="760" w:h="160" w:wrap="auto" w:vAnchor="page" w:hAnchor="page" w:x="5500" w:y="1654"/>
        <w:rPr>
          <w:rFonts w:ascii="Arial" w:cs="Arial" w:eastAsia="Arial" w:hAnsi="Arial"/>
          <w:sz w:val="16"/>
          <w:szCs w:val="16"/>
          <w:b w:val="1"/>
          <w:bCs w:val="1"/>
          <w:color w:val="auto"/>
        </w:rPr>
      </w:pPr>
      <w:r>
        <w:rPr>
          <w:rFonts w:ascii="Arial" w:cs="Arial" w:eastAsia="Arial" w:hAnsi="Arial"/>
          <w:sz w:val="16"/>
          <w:szCs w:val="16"/>
          <w:b w:val="1"/>
          <w:bCs w:val="1"/>
          <w:color w:val="auto"/>
        </w:rPr>
        <w:t>ASSETS</w:t>
      </w:r>
    </w:p>
    <w:p>
      <w:pPr>
        <w:spacing w:after="0" w:line="223" w:lineRule="auto"/>
        <w:framePr w:w="1160" w:h="160" w:wrap="auto" w:vAnchor="page" w:hAnchor="page" w:x="280" w:y="1883"/>
        <w:rPr>
          <w:rFonts w:ascii="Arial" w:cs="Arial" w:eastAsia="Arial" w:hAnsi="Arial"/>
          <w:sz w:val="15"/>
          <w:szCs w:val="15"/>
          <w:b w:val="1"/>
          <w:bCs w:val="1"/>
          <w:color w:val="auto"/>
        </w:rPr>
      </w:pPr>
      <w:r>
        <w:rPr>
          <w:rFonts w:ascii="Arial" w:cs="Arial" w:eastAsia="Arial" w:hAnsi="Arial"/>
          <w:sz w:val="15"/>
          <w:szCs w:val="15"/>
          <w:b w:val="1"/>
          <w:bCs w:val="1"/>
          <w:color w:val="auto"/>
        </w:rPr>
        <w:t>Current assets:</w:t>
      </w:r>
    </w:p>
    <w:p>
      <w:pPr>
        <w:spacing w:after="0" w:line="223" w:lineRule="auto"/>
        <w:framePr w:w="1960" w:h="160" w:wrap="auto" w:vAnchor="page" w:hAnchor="page" w:x="540" w:y="2113"/>
        <w:rPr>
          <w:rFonts w:ascii="Arial" w:cs="Arial" w:eastAsia="Arial" w:hAnsi="Arial"/>
          <w:sz w:val="15"/>
          <w:szCs w:val="15"/>
          <w:b w:val="1"/>
          <w:bCs w:val="1"/>
          <w:color w:val="auto"/>
        </w:rPr>
      </w:pPr>
      <w:r>
        <w:rPr>
          <w:rFonts w:ascii="Arial" w:cs="Arial" w:eastAsia="Arial" w:hAnsi="Arial"/>
          <w:sz w:val="15"/>
          <w:szCs w:val="15"/>
          <w:b w:val="1"/>
          <w:bCs w:val="1"/>
          <w:color w:val="auto"/>
        </w:rPr>
        <w:t>Cash and cash equivalents</w:t>
      </w:r>
    </w:p>
    <w:p>
      <w:pPr>
        <w:spacing w:after="0" w:line="218" w:lineRule="auto"/>
        <w:framePr w:w="5360" w:h="376" w:wrap="auto" w:vAnchor="page" w:hAnchor="page" w:x="540" w:y="2342"/>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 of allowance for doubtful accounts of $1,438 on April 30, 2020 and $1,899 on April 30, 2019</w:t>
      </w:r>
    </w:p>
    <w:p>
      <w:pPr>
        <w:spacing w:after="0" w:line="209" w:lineRule="auto"/>
        <w:framePr w:w="880" w:h="160" w:wrap="auto" w:vAnchor="page" w:hAnchor="page" w:x="540" w:y="2788"/>
        <w:rPr>
          <w:rFonts w:ascii="Arial" w:cs="Arial" w:eastAsia="Arial" w:hAnsi="Arial"/>
          <w:sz w:val="16"/>
          <w:szCs w:val="16"/>
          <w:b w:val="1"/>
          <w:bCs w:val="1"/>
          <w:color w:val="auto"/>
        </w:rPr>
      </w:pPr>
      <w:r>
        <w:rPr>
          <w:rFonts w:ascii="Arial" w:cs="Arial" w:eastAsia="Arial" w:hAnsi="Arial"/>
          <w:sz w:val="16"/>
          <w:szCs w:val="16"/>
          <w:b w:val="1"/>
          <w:bCs w:val="1"/>
          <w:color w:val="auto"/>
        </w:rPr>
        <w:t>Inventories</w:t>
      </w:r>
    </w:p>
    <w:p>
      <w:pPr>
        <w:spacing w:after="0" w:line="226" w:lineRule="auto"/>
        <w:framePr w:w="3060" w:h="390" w:wrap="auto" w:vAnchor="page" w:hAnchor="page" w:x="540" w:y="3017"/>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 Deferred income taxes</w:t>
      </w:r>
    </w:p>
    <w:p>
      <w:pPr>
        <w:spacing w:after="0" w:line="280" w:lineRule="auto"/>
        <w:framePr w:w="1700" w:h="403" w:wrap="auto" w:vAnchor="page" w:hAnchor="page" w:x="540" w:y="3476"/>
        <w:rPr>
          <w:rFonts w:ascii="Arial" w:cs="Arial" w:eastAsia="Arial" w:hAnsi="Arial"/>
          <w:sz w:val="15"/>
          <w:szCs w:val="15"/>
          <w:b w:val="1"/>
          <w:bCs w:val="1"/>
          <w:color w:val="auto"/>
        </w:rPr>
      </w:pPr>
      <w:r>
        <w:rPr>
          <w:rFonts w:ascii="Arial" w:cs="Arial" w:eastAsia="Arial" w:hAnsi="Arial"/>
          <w:sz w:val="15"/>
          <w:szCs w:val="15"/>
          <w:b w:val="1"/>
          <w:bCs w:val="1"/>
          <w:color w:val="auto"/>
        </w:rPr>
        <w:t>Income tax receivable Total current assets</w:t>
      </w:r>
    </w:p>
    <w:p>
      <w:pPr>
        <w:spacing w:after="0" w:line="226" w:lineRule="auto"/>
        <w:framePr w:w="2600" w:h="390" w:wrap="auto" w:vAnchor="page" w:hAnchor="page" w:x="280" w:y="3962"/>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 Intangibles, net</w:t>
      </w:r>
    </w:p>
    <w:p>
      <w:pPr>
        <w:spacing w:after="0" w:line="271" w:lineRule="auto"/>
        <w:framePr w:w="960" w:h="390" w:wrap="auto" w:vAnchor="page" w:hAnchor="page" w:x="280" w:y="4421"/>
        <w:rPr>
          <w:rFonts w:ascii="Arial" w:cs="Arial" w:eastAsia="Arial" w:hAnsi="Arial"/>
          <w:sz w:val="15"/>
          <w:szCs w:val="15"/>
          <w:b w:val="1"/>
          <w:bCs w:val="1"/>
          <w:color w:val="auto"/>
        </w:rPr>
      </w:pPr>
      <w:r>
        <w:rPr>
          <w:rFonts w:ascii="Arial" w:cs="Arial" w:eastAsia="Arial" w:hAnsi="Arial"/>
          <w:sz w:val="15"/>
          <w:szCs w:val="15"/>
          <w:b w:val="1"/>
          <w:bCs w:val="1"/>
          <w:color w:val="auto"/>
        </w:rPr>
        <w:t>Goodwill Other assets</w:t>
      </w:r>
    </w:p>
    <w:p>
      <w:pPr>
        <w:spacing w:after="0" w:line="196" w:lineRule="auto"/>
        <w:framePr w:w="4680" w:h="160" w:wrap="auto" w:vAnchor="page" w:hAnchor="page" w:x="3600" w:y="358"/>
        <w:rPr>
          <w:rFonts w:ascii="Arial" w:cs="Arial" w:eastAsia="Arial" w:hAnsi="Arial"/>
          <w:sz w:val="17"/>
          <w:szCs w:val="17"/>
          <w:b w:val="1"/>
          <w:bCs w:val="1"/>
          <w:color w:val="auto"/>
        </w:rPr>
      </w:pPr>
      <w:r>
        <w:rPr>
          <w:rFonts w:ascii="Arial" w:cs="Arial" w:eastAsia="Arial" w:hAnsi="Arial"/>
          <w:sz w:val="17"/>
          <w:szCs w:val="17"/>
          <w:b w:val="1"/>
          <w:bCs w:val="1"/>
          <w:color w:val="auto"/>
        </w:rPr>
        <w:t>SMITH &amp; WESSON BRANDS, INC. AND SUBSIDIARIES</w:t>
      </w:r>
    </w:p>
    <w:p>
      <w:pPr>
        <w:spacing w:after="0" w:line="196" w:lineRule="auto"/>
        <w:framePr w:w="3200" w:h="160" w:wrap="auto" w:vAnchor="page" w:hAnchor="page" w:x="4340" w:y="574"/>
        <w:rPr>
          <w:rFonts w:ascii="Arial" w:cs="Arial" w:eastAsia="Arial" w:hAnsi="Arial"/>
          <w:sz w:val="17"/>
          <w:szCs w:val="17"/>
          <w:b w:val="1"/>
          <w:bCs w:val="1"/>
          <w:color w:val="auto"/>
        </w:rPr>
      </w:pPr>
      <w:r>
        <w:rPr>
          <w:rFonts w:ascii="Arial" w:cs="Arial" w:eastAsia="Arial" w:hAnsi="Arial"/>
          <w:sz w:val="17"/>
          <w:szCs w:val="17"/>
          <w:b w:val="1"/>
          <w:bCs w:val="1"/>
          <w:color w:val="auto"/>
        </w:rPr>
        <w:t>CONSOLIDATED BALANCE SHEETS</w:t>
      </w:r>
    </w:p>
    <w:p>
      <w:pPr>
        <w:ind w:left="9240"/>
        <w:spacing w:after="0"/>
        <w:rPr>
          <w:sz w:val="20"/>
          <w:szCs w:val="20"/>
          <w:color w:val="auto"/>
        </w:rPr>
      </w:pPr>
      <w:r>
        <w:rPr>
          <w:rFonts w:ascii="Arial" w:cs="Arial" w:eastAsia="Arial" w:hAnsi="Arial"/>
          <w:sz w:val="14"/>
          <w:szCs w:val="14"/>
          <w:b w:val="1"/>
          <w:bCs w:val="1"/>
          <w:color w:val="auto"/>
        </w:rPr>
        <w:t>As of:</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31" w:lineRule="exact"/>
        <w:rPr>
          <w:rFonts w:ascii="Arial" w:cs="Arial" w:eastAsia="Arial" w:hAnsi="Arial"/>
          <w:sz w:val="17"/>
          <w:szCs w:val="17"/>
          <w:b w:val="1"/>
          <w:bCs w:val="1"/>
          <w:color w:val="auto"/>
        </w:rPr>
      </w:pPr>
    </w:p>
    <w:tbl>
      <w:tblPr>
        <w:tblLayout w:type="fixed"/>
        <w:tblInd w:w="0" w:type="dxa"/>
        <w:tblCellMar>
          <w:top w:w="0" w:type="dxa"/>
          <w:left w:w="0" w:type="dxa"/>
          <w:bottom w:w="0" w:type="dxa"/>
          <w:right w:w="0" w:type="dxa"/>
        </w:tblCellMar>
      </w:tblPr>
      <w:tr>
        <w:trPr>
          <w:trHeight w:val="0"/>
        </w:trPr>
        <w:tc>
          <w:tcPr>
            <w:tcW w:w="7720" w:type="dxa"/>
            <w:vAlign w:val="bottom"/>
          </w:tcPr>
          <w:p>
            <w:pPr>
              <w:spacing w:after="0" w:line="20" w:lineRule="exact"/>
              <w:rPr>
                <w:sz w:val="1"/>
                <w:szCs w:val="1"/>
                <w:color w:val="auto"/>
              </w:rPr>
            </w:pPr>
          </w:p>
        </w:tc>
        <w:tc>
          <w:tcPr>
            <w:tcW w:w="1700" w:type="dxa"/>
            <w:vAlign w:val="bottom"/>
            <w:shd w:val="clear" w:color="auto" w:fill="000000"/>
          </w:tcPr>
          <w:p>
            <w:pPr>
              <w:ind w:left="340"/>
              <w:spacing w:after="0"/>
              <w:rPr>
                <w:sz w:val="20"/>
                <w:szCs w:val="20"/>
                <w:color w:val="auto"/>
              </w:rPr>
            </w:pPr>
            <w:r>
              <w:rPr>
                <w:rFonts w:ascii="Arial" w:cs="Arial" w:eastAsia="Arial" w:hAnsi="Arial"/>
                <w:sz w:val="14"/>
                <w:szCs w:val="14"/>
                <w:b w:val="1"/>
                <w:bCs w:val="1"/>
                <w:color w:val="auto"/>
              </w:rPr>
              <w:t>April 30, 2020</w:t>
            </w:r>
          </w:p>
        </w:tc>
        <w:tc>
          <w:tcPr>
            <w:tcW w:w="1820" w:type="dxa"/>
            <w:vAlign w:val="bottom"/>
            <w:gridSpan w:val="2"/>
            <w:shd w:val="clear" w:color="auto" w:fill="000000"/>
          </w:tcPr>
          <w:p>
            <w:pPr>
              <w:jc w:val="right"/>
              <w:ind w:right="480"/>
              <w:spacing w:after="0"/>
              <w:rPr>
                <w:sz w:val="20"/>
                <w:szCs w:val="20"/>
                <w:color w:val="auto"/>
              </w:rPr>
            </w:pPr>
            <w:r>
              <w:rPr>
                <w:rFonts w:ascii="Arial" w:cs="Arial" w:eastAsia="Arial" w:hAnsi="Arial"/>
                <w:sz w:val="14"/>
                <w:szCs w:val="14"/>
                <w:b w:val="1"/>
                <w:bCs w:val="1"/>
                <w:color w:val="auto"/>
              </w:rPr>
              <w:t>April 30, 2019</w:t>
            </w:r>
          </w:p>
        </w:tc>
      </w:tr>
      <w:tr>
        <w:trPr>
          <w:trHeight w:val="14"/>
        </w:trPr>
        <w:tc>
          <w:tcPr>
            <w:tcW w:w="7720" w:type="dxa"/>
            <w:vAlign w:val="bottom"/>
            <w:shd w:val="clear" w:color="auto" w:fill="CFF0FC"/>
          </w:tcPr>
          <w:p>
            <w:pPr>
              <w:spacing w:after="0" w:line="20" w:lineRule="exact"/>
              <w:rPr>
                <w:sz w:val="1"/>
                <w:szCs w:val="1"/>
                <w:color w:val="auto"/>
              </w:rPr>
            </w:pPr>
          </w:p>
        </w:tc>
        <w:tc>
          <w:tcPr>
            <w:tcW w:w="3520" w:type="dxa"/>
            <w:vAlign w:val="bottom"/>
            <w:gridSpan w:val="3"/>
            <w:shd w:val="clear" w:color="auto" w:fill="CFF0FC"/>
          </w:tcPr>
          <w:p>
            <w:pPr>
              <w:jc w:val="right"/>
              <w:ind w:right="480"/>
              <w:spacing w:after="0"/>
              <w:rPr>
                <w:sz w:val="20"/>
                <w:szCs w:val="20"/>
                <w:color w:val="auto"/>
              </w:rPr>
            </w:pPr>
            <w:r>
              <w:rPr>
                <w:rFonts w:ascii="Arial" w:cs="Arial" w:eastAsia="Arial" w:hAnsi="Arial"/>
                <w:sz w:val="14"/>
                <w:szCs w:val="14"/>
                <w:color w:val="auto"/>
              </w:rPr>
              <w:t>(In thousands, except par value and share data)</w:t>
            </w:r>
          </w:p>
        </w:tc>
      </w:tr>
    </w:tbl>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191"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72" w:lineRule="exact"/>
        <w:rPr>
          <w:rFonts w:ascii="Arial" w:cs="Arial" w:eastAsia="Arial" w:hAnsi="Arial"/>
          <w:sz w:val="17"/>
          <w:szCs w:val="17"/>
          <w:b w:val="1"/>
          <w:bCs w:val="1"/>
          <w:color w:val="auto"/>
        </w:rPr>
      </w:pPr>
    </w:p>
    <w:tbl>
      <w:tblPr>
        <w:tblLayout w:type="fixed"/>
        <w:tblInd w:w="0" w:type="dxa"/>
        <w:tblCellMar>
          <w:top w:w="0" w:type="dxa"/>
          <w:left w:w="0" w:type="dxa"/>
          <w:bottom w:w="0" w:type="dxa"/>
          <w:right w:w="0" w:type="dxa"/>
        </w:tblCellMar>
      </w:tblP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125,398</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41,015</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93,433</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84,907</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164,191</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8,838</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6,528</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line="20" w:lineRule="exact"/>
              <w:rPr>
                <w:sz w:val="1"/>
                <w:szCs w:val="1"/>
                <w:color w:val="auto"/>
              </w:rPr>
            </w:pPr>
          </w:p>
        </w:tc>
      </w:tr>
      <w:tr>
        <w:trPr>
          <w:trHeight w:val="0"/>
        </w:trPr>
        <w:tc>
          <w:tcPr>
            <w:tcW w:w="77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395,851</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298,684</w:t>
            </w:r>
          </w:p>
        </w:tc>
        <w:tc>
          <w:tcPr>
            <w:tcW w:w="120" w:type="dxa"/>
            <w:vAlign w:val="bottom"/>
            <w:shd w:val="clear" w:color="auto" w:fill="CFF0FC"/>
          </w:tcPr>
          <w:p>
            <w:pPr>
              <w:spacing w:after="0" w:line="20" w:lineRule="exact"/>
              <w:rPr>
                <w:sz w:val="1"/>
                <w:szCs w:val="1"/>
                <w:color w:val="auto"/>
              </w:rPr>
            </w:pPr>
          </w:p>
        </w:tc>
      </w:tr>
      <w:tr>
        <w:trPr>
          <w:trHeight w:val="0"/>
        </w:trPr>
        <w:tc>
          <w:tcPr>
            <w:tcW w:w="7720" w:type="dxa"/>
            <w:vAlign w:val="bottom"/>
          </w:tcPr>
          <w:p>
            <w:pPr>
              <w:spacing w:after="0" w:line="20" w:lineRule="exact"/>
              <w:rPr>
                <w:sz w:val="1"/>
                <w:szCs w:val="1"/>
                <w:color w:val="auto"/>
              </w:rPr>
            </w:pPr>
          </w:p>
        </w:tc>
        <w:tc>
          <w:tcPr>
            <w:tcW w:w="15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157,417</w:t>
            </w: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183,268</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73,754</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83,605</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182,269</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18,334</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10,728</w:t>
            </w:r>
          </w:p>
        </w:tc>
        <w:tc>
          <w:tcPr>
            <w:tcW w:w="120" w:type="dxa"/>
            <w:vAlign w:val="bottom"/>
            <w:shd w:val="clear" w:color="auto" w:fill="CFF0FC"/>
          </w:tcPr>
          <w:p>
            <w:pPr>
              <w:spacing w:after="0" w:line="20" w:lineRule="exact"/>
              <w:rPr>
                <w:sz w:val="1"/>
                <w:szCs w:val="1"/>
                <w:color w:val="auto"/>
              </w:rPr>
            </w:pPr>
          </w:p>
        </w:tc>
      </w:tr>
      <w:tr>
        <w:trPr>
          <w:trHeight w:val="0"/>
        </w:trPr>
        <w:tc>
          <w:tcPr>
            <w:tcW w:w="7720" w:type="dxa"/>
            <w:vAlign w:val="bottom"/>
          </w:tcPr>
          <w:p>
            <w:pPr>
              <w:spacing w:after="0" w:line="20" w:lineRule="exact"/>
              <w:rPr>
                <w:sz w:val="1"/>
                <w:szCs w:val="1"/>
                <w:color w:val="auto"/>
              </w:rPr>
            </w:pPr>
          </w:p>
        </w:tc>
        <w:tc>
          <w:tcPr>
            <w:tcW w:w="15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728,961</w:t>
            </w:r>
          </w:p>
        </w:tc>
        <w:tc>
          <w:tcPr>
            <w:tcW w:w="280" w:type="dxa"/>
            <w:vAlign w:val="bottom"/>
          </w:tcPr>
          <w:p>
            <w:pPr>
              <w:spacing w:after="0" w:line="20" w:lineRule="exact"/>
              <w:rPr>
                <w:sz w:val="1"/>
                <w:szCs w:val="1"/>
                <w:color w:val="auto"/>
              </w:rPr>
            </w:pPr>
          </w:p>
        </w:tc>
        <w:tc>
          <w:tcPr>
            <w:tcW w:w="500" w:type="dxa"/>
            <w:vAlign w:val="bottom"/>
            <w:shd w:val="clear" w:color="auto" w:fill="000000"/>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766,789</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39,196</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35,584</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64,602</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39,322</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14,623</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21,473</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5,503</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3,633</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line="20" w:lineRule="exact"/>
              <w:rPr>
                <w:sz w:val="1"/>
                <w:szCs w:val="1"/>
                <w:color w:val="auto"/>
              </w:rPr>
            </w:pPr>
          </w:p>
        </w:tc>
      </w:tr>
      <w:tr>
        <w:trPr>
          <w:trHeight w:val="0"/>
        </w:trPr>
        <w:tc>
          <w:tcPr>
            <w:tcW w:w="7720" w:type="dxa"/>
            <w:vAlign w:val="bottom"/>
            <w:shd w:val="clear" w:color="auto" w:fill="CFF0FC"/>
          </w:tcPr>
          <w:p>
            <w:pPr>
              <w:spacing w:after="0" w:line="20" w:lineRule="exact"/>
              <w:rPr>
                <w:sz w:val="1"/>
                <w:szCs w:val="1"/>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FF0FC"/>
          </w:tcPr>
          <w:p>
            <w:pPr>
              <w:spacing w:after="0" w:line="20" w:lineRule="exact"/>
              <w:rPr>
                <w:sz w:val="1"/>
                <w:szCs w:val="1"/>
                <w:color w:val="auto"/>
              </w:rPr>
            </w:pPr>
          </w:p>
        </w:tc>
      </w:tr>
      <w:tr>
        <w:trPr>
          <w:trHeight w:val="0"/>
        </w:trPr>
        <w:tc>
          <w:tcPr>
            <w:tcW w:w="7720" w:type="dxa"/>
            <w:vAlign w:val="bottom"/>
          </w:tcPr>
          <w:p>
            <w:pPr>
              <w:spacing w:after="0" w:line="20" w:lineRule="exact"/>
              <w:rPr>
                <w:sz w:val="1"/>
                <w:szCs w:val="1"/>
                <w:color w:val="auto"/>
              </w:rPr>
            </w:pPr>
          </w:p>
        </w:tc>
        <w:tc>
          <w:tcPr>
            <w:tcW w:w="15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129,971</w:t>
            </w: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111,283</w:t>
            </w:r>
          </w:p>
        </w:tc>
        <w:tc>
          <w:tcPr>
            <w:tcW w:w="120" w:type="dxa"/>
            <w:vAlign w:val="bottom"/>
          </w:tcPr>
          <w:p>
            <w:pPr>
              <w:spacing w:after="0" w:line="20" w:lineRule="exact"/>
              <w:rPr>
                <w:sz w:val="1"/>
                <w:szCs w:val="1"/>
                <w:color w:val="auto"/>
              </w:rPr>
            </w:pPr>
          </w:p>
        </w:tc>
      </w:tr>
      <w:tr>
        <w:trPr>
          <w:trHeight w:val="0"/>
        </w:trPr>
        <w:tc>
          <w:tcPr>
            <w:tcW w:w="7720" w:type="dxa"/>
            <w:vAlign w:val="bottom"/>
            <w:shd w:val="clear" w:color="auto" w:fill="CFF0FC"/>
          </w:tcPr>
          <w:p>
            <w:pPr>
              <w:spacing w:after="0" w:line="20" w:lineRule="exact"/>
              <w:rPr>
                <w:sz w:val="1"/>
                <w:szCs w:val="1"/>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159,171</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149,434</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39,873</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45,400</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12,828</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6,452</w:t>
            </w:r>
          </w:p>
        </w:tc>
        <w:tc>
          <w:tcPr>
            <w:tcW w:w="120" w:type="dxa"/>
            <w:vAlign w:val="bottom"/>
          </w:tcPr>
          <w:p>
            <w:pPr>
              <w:spacing w:after="0" w:line="20" w:lineRule="exact"/>
              <w:rPr>
                <w:sz w:val="1"/>
                <w:szCs w:val="1"/>
                <w:color w:val="auto"/>
              </w:rPr>
            </w:pPr>
          </w:p>
        </w:tc>
      </w:tr>
      <w:tr>
        <w:trPr>
          <w:trHeight w:val="0"/>
        </w:trPr>
        <w:tc>
          <w:tcPr>
            <w:tcW w:w="77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341,843</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322,345</w:t>
            </w:r>
          </w:p>
        </w:tc>
        <w:tc>
          <w:tcPr>
            <w:tcW w:w="120" w:type="dxa"/>
            <w:vAlign w:val="bottom"/>
            <w:shd w:val="clear" w:color="auto" w:fill="CFF0FC"/>
          </w:tcPr>
          <w:p>
            <w:pPr>
              <w:spacing w:after="0" w:line="20" w:lineRule="exact"/>
              <w:rPr>
                <w:sz w:val="1"/>
                <w:szCs w:val="1"/>
                <w:color w:val="auto"/>
              </w:rPr>
            </w:pPr>
          </w:p>
        </w:tc>
      </w:tr>
      <w:tr>
        <w:trPr>
          <w:trHeight w:val="0"/>
        </w:trPr>
        <w:tc>
          <w:tcPr>
            <w:tcW w:w="7720" w:type="dxa"/>
            <w:vAlign w:val="bottom"/>
          </w:tcPr>
          <w:p>
            <w:pPr>
              <w:spacing w:after="0" w:line="20" w:lineRule="exact"/>
              <w:rPr>
                <w:sz w:val="1"/>
                <w:szCs w:val="1"/>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line="20" w:lineRule="exact"/>
              <w:rPr>
                <w:sz w:val="1"/>
                <w:szCs w:val="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267,630</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263,180</w:t>
            </w:r>
          </w:p>
        </w:tc>
        <w:tc>
          <w:tcPr>
            <w:tcW w:w="120" w:type="dxa"/>
            <w:vAlign w:val="bottom"/>
          </w:tcPr>
          <w:p>
            <w:pPr>
              <w:spacing w:after="0" w:line="20" w:lineRule="exact"/>
              <w:rPr>
                <w:sz w:val="1"/>
                <w:szCs w:val="1"/>
                <w:color w:val="auto"/>
              </w:rPr>
            </w:pPr>
          </w:p>
        </w:tc>
      </w:tr>
      <w:tr>
        <w:trPr>
          <w:trHeight w:val="0"/>
        </w:trPr>
        <w:tc>
          <w:tcPr>
            <w:tcW w:w="9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341,716</w:t>
            </w: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402,946</w:t>
            </w:r>
          </w:p>
        </w:tc>
        <w:tc>
          <w:tcPr>
            <w:tcW w:w="120" w:type="dxa"/>
            <w:vAlign w:val="bottom"/>
            <w:shd w:val="clear" w:color="auto" w:fill="CFF0FC"/>
          </w:tcPr>
          <w:p>
            <w:pPr>
              <w:spacing w:after="0" w:line="20" w:lineRule="exact"/>
              <w:rPr>
                <w:sz w:val="1"/>
                <w:szCs w:val="1"/>
                <w:color w:val="auto"/>
              </w:rPr>
            </w:pPr>
          </w:p>
        </w:tc>
      </w:tr>
      <w:tr>
        <w:trPr>
          <w:trHeight w:val="0"/>
        </w:trPr>
        <w:tc>
          <w:tcPr>
            <w:tcW w:w="92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line="20" w:lineRule="exact"/>
              <w:rPr>
                <w:sz w:val="1"/>
                <w:szCs w:val="1"/>
                <w:color w:val="auto"/>
              </w:rPr>
            </w:pPr>
          </w:p>
        </w:tc>
      </w:tr>
      <w:tr>
        <w:trPr>
          <w:trHeight w:val="0"/>
        </w:trPr>
        <w:tc>
          <w:tcPr>
            <w:tcW w:w="772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(222,375)</w:t>
            </w:r>
          </w:p>
        </w:tc>
      </w:tr>
      <w:tr>
        <w:trPr>
          <w:trHeight w:val="0"/>
        </w:trPr>
        <w:tc>
          <w:tcPr>
            <w:tcW w:w="7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444,444</w:t>
            </w:r>
          </w:p>
        </w:tc>
        <w:tc>
          <w:tcPr>
            <w:tcW w:w="120" w:type="dxa"/>
            <w:vAlign w:val="bottom"/>
          </w:tcPr>
          <w:p>
            <w:pPr>
              <w:spacing w:after="0" w:line="20" w:lineRule="exact"/>
              <w:rPr>
                <w:sz w:val="1"/>
                <w:szCs w:val="1"/>
                <w:color w:val="auto"/>
              </w:rPr>
            </w:pPr>
          </w:p>
        </w:tc>
      </w:tr>
      <w:tr>
        <w:trPr>
          <w:trHeight w:val="0"/>
        </w:trPr>
        <w:tc>
          <w:tcPr>
            <w:tcW w:w="77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000000"/>
          </w:tcPr>
          <w:p>
            <w:pPr>
              <w:jc w:val="right"/>
              <w:spacing w:after="0"/>
              <w:rPr>
                <w:sz w:val="20"/>
                <w:szCs w:val="20"/>
                <w:color w:val="auto"/>
              </w:rPr>
            </w:pPr>
            <w:r>
              <w:rPr>
                <w:rFonts w:ascii="Arial" w:cs="Arial" w:eastAsia="Arial" w:hAnsi="Arial"/>
                <w:sz w:val="18"/>
                <w:szCs w:val="18"/>
                <w:color w:val="auto"/>
              </w:rPr>
              <w:t>766,789</w:t>
            </w:r>
          </w:p>
        </w:tc>
        <w:tc>
          <w:tcPr>
            <w:tcW w:w="120" w:type="dxa"/>
            <w:vAlign w:val="bottom"/>
            <w:shd w:val="clear" w:color="auto" w:fill="CFF0FC"/>
          </w:tcPr>
          <w:p>
            <w:pPr>
              <w:spacing w:after="0" w:line="20" w:lineRule="exact"/>
              <w:rPr>
                <w:sz w:val="1"/>
                <w:szCs w:val="1"/>
                <w:color w:val="auto"/>
              </w:rPr>
            </w:pPr>
          </w:p>
        </w:tc>
      </w:tr>
      <w:tr>
        <w:trPr>
          <w:trHeight w:val="129"/>
        </w:trPr>
        <w:tc>
          <w:tcPr>
            <w:tcW w:w="77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r>
    </w:tbl>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(LOSS)/INCOME AND COMPREHENSIVE (LOSS)/INCOME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For the Year Ended April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40" w:type="dxa"/>
            <w:vAlign w:val="bottom"/>
            <w:gridSpan w:val="6"/>
          </w:tcPr>
          <w:p>
            <w:pPr>
              <w:jc w:val="right"/>
              <w:ind w:right="120"/>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678,390</w:t>
            </w: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638,277</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443,685</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412,046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234,705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Selling, marketing, and distribution</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98,662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283,524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188,175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(loss)/income</w:t>
            </w:r>
          </w:p>
        </w:tc>
        <w:tc>
          <w:tcPr>
            <w:tcW w:w="8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(48,819)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(expense)/income, net:</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Other income/(expense), net</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(11,213)</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(9,351)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(expense)/income, net</w:t>
            </w:r>
          </w:p>
        </w:tc>
        <w:tc>
          <w:tcPr>
            <w:tcW w:w="8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(11,130)</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(Loss)/income from operations before income taxes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(59,949)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(loss)/income</w:t>
            </w:r>
          </w:p>
        </w:tc>
        <w:tc>
          <w:tcPr>
            <w:tcW w:w="8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(61,230)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Comprehensive loss/(income):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loss/(income) on interest rate swap</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Other comprehensive loss/(income), before income taxes</w:t>
            </w:r>
          </w:p>
        </w:tc>
        <w:tc>
          <w:tcPr>
            <w:tcW w:w="8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benefit/(loss) on other comprehensive loss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loss/(income), net of tax</w:t>
            </w:r>
          </w:p>
        </w:tc>
        <w:tc>
          <w:tcPr>
            <w:tcW w:w="8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(loss)/income:</w:t>
            </w:r>
          </w:p>
        </w:tc>
        <w:tc>
          <w:tcPr>
            <w:tcW w:w="8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(61,777)</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Net (loss)/income per share:</w:t>
            </w:r>
          </w:p>
        </w:tc>
        <w:tc>
          <w:tcPr>
            <w:tcW w:w="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5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8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FF0FC"/>
            </w:tcBorders>
            <w:vMerge w:val="continue"/>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common shares</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54,483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3880" w:type="dxa"/>
            <w:vAlign w:val="bottom"/>
          </w:tcPr>
          <w:p>
            <w:pPr>
              <w:spacing w:after="0"/>
              <w:rPr>
                <w:sz w:val="12"/>
                <w:szCs w:val="12"/>
                <w:color w:val="auto"/>
              </w:rPr>
            </w:pPr>
          </w:p>
        </w:tc>
        <w:tc>
          <w:tcPr>
            <w:tcW w:w="1580" w:type="dxa"/>
            <w:vAlign w:val="bottom"/>
            <w:gridSpan w:val="4"/>
          </w:tcPr>
          <w:p>
            <w:pPr>
              <w:jc w:val="right"/>
              <w:ind w:right="468"/>
              <w:spacing w:after="0"/>
              <w:rPr>
                <w:sz w:val="20"/>
                <w:szCs w:val="20"/>
                <w:color w:val="auto"/>
              </w:rPr>
            </w:pPr>
            <w:r>
              <w:rPr>
                <w:rFonts w:ascii="Arial" w:cs="Arial" w:eastAsia="Arial" w:hAnsi="Arial"/>
                <w:sz w:val="13"/>
                <w:szCs w:val="13"/>
                <w:b w:val="1"/>
                <w:bCs w:val="1"/>
                <w:color w:val="auto"/>
              </w:rPr>
              <w:t>Common</w:t>
            </w:r>
          </w:p>
        </w:tc>
        <w:tc>
          <w:tcPr>
            <w:tcW w:w="240" w:type="dxa"/>
            <w:vAlign w:val="bottom"/>
          </w:tcPr>
          <w:p>
            <w:pPr>
              <w:spacing w:after="0"/>
              <w:rPr>
                <w:sz w:val="12"/>
                <w:szCs w:val="12"/>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r>
      <w:tr>
        <w:trPr>
          <w:trHeight w:val="153"/>
        </w:trPr>
        <w:tc>
          <w:tcPr>
            <w:tcW w:w="388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rPr>
              <w:t>Stock</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Retained</w:t>
            </w:r>
          </w:p>
        </w:tc>
        <w:tc>
          <w:tcPr>
            <w:tcW w:w="11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1800" w:type="dxa"/>
            <w:vAlign w:val="bottom"/>
            <w:gridSpan w:val="5"/>
          </w:tcPr>
          <w:p>
            <w:pPr>
              <w:jc w:val="right"/>
              <w:ind w:right="559"/>
              <w:spacing w:after="0"/>
              <w:rPr>
                <w:sz w:val="20"/>
                <w:szCs w:val="20"/>
                <w:color w:val="auto"/>
              </w:rPr>
            </w:pPr>
            <w:r>
              <w:rPr>
                <w:rFonts w:ascii="Arial" w:cs="Arial" w:eastAsia="Arial" w:hAnsi="Arial"/>
                <w:sz w:val="13"/>
                <w:szCs w:val="13"/>
                <w:b w:val="1"/>
                <w:bCs w:val="1"/>
                <w:color w:val="auto"/>
              </w:rPr>
              <w:t>Treasury Stock</w:t>
            </w:r>
          </w:p>
        </w:tc>
        <w:tc>
          <w:tcPr>
            <w:tcW w:w="860" w:type="dxa"/>
            <w:vAlign w:val="bottom"/>
            <w:gridSpan w:val="4"/>
          </w:tcPr>
          <w:p>
            <w:pPr>
              <w:spacing w:after="0"/>
              <w:rPr>
                <w:sz w:val="20"/>
                <w:szCs w:val="20"/>
                <w:color w:val="auto"/>
              </w:rPr>
            </w:pPr>
            <w:r>
              <w:rPr>
                <w:rFonts w:ascii="Arial" w:cs="Arial" w:eastAsia="Arial" w:hAnsi="Arial"/>
                <w:sz w:val="13"/>
                <w:szCs w:val="13"/>
                <w:b w:val="1"/>
                <w:bCs w:val="1"/>
                <w:color w:val="auto"/>
                <w:w w:val="97"/>
              </w:rPr>
              <w:t>Stockholders’</w:t>
            </w:r>
          </w:p>
        </w:tc>
      </w:tr>
      <w:tr>
        <w:trPr>
          <w:trHeight w:val="142"/>
        </w:trPr>
        <w:tc>
          <w:tcPr>
            <w:tcW w:w="3880" w:type="dxa"/>
            <w:vAlign w:val="bottom"/>
          </w:tcPr>
          <w:p>
            <w:pPr>
              <w:spacing w:after="0" w:line="142" w:lineRule="exact"/>
              <w:rPr>
                <w:sz w:val="20"/>
                <w:szCs w:val="20"/>
                <w:color w:val="auto"/>
              </w:rPr>
            </w:pPr>
            <w:r>
              <w:rPr>
                <w:rFonts w:ascii="Arial" w:cs="Arial" w:eastAsia="Arial" w:hAnsi="Arial"/>
                <w:sz w:val="13"/>
                <w:szCs w:val="13"/>
                <w:color w:val="auto"/>
              </w:rPr>
              <w:t>(In thousands)</w:t>
            </w:r>
          </w:p>
        </w:tc>
        <w:tc>
          <w:tcPr>
            <w:tcW w:w="9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2" w:lineRule="exact"/>
              <w:rPr>
                <w:sz w:val="20"/>
                <w:szCs w:val="20"/>
                <w:color w:val="auto"/>
              </w:rPr>
            </w:pPr>
            <w:r>
              <w:rPr>
                <w:rFonts w:ascii="Arial" w:cs="Arial" w:eastAsia="Arial" w:hAnsi="Arial"/>
                <w:sz w:val="13"/>
                <w:szCs w:val="13"/>
                <w:b w:val="1"/>
                <w:bCs w:val="1"/>
                <w:color w:val="auto"/>
                <w:w w:val="86"/>
              </w:rPr>
              <w:t>(Loss)/Income</w:t>
            </w:r>
          </w:p>
        </w:tc>
        <w:tc>
          <w:tcPr>
            <w:tcW w:w="9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Equity</w:t>
            </w:r>
          </w:p>
        </w:tc>
      </w:tr>
      <w:tr>
        <w:trPr>
          <w:trHeight w:val="155"/>
        </w:trPr>
        <w:tc>
          <w:tcPr>
            <w:tcW w:w="3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April 30, 2017</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72,017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245,865</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369,164</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436</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(222,375)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393,162</w:t>
            </w:r>
          </w:p>
        </w:tc>
        <w:tc>
          <w:tcPr>
            <w:tcW w:w="100" w:type="dxa"/>
            <w:vAlign w:val="bottom"/>
            <w:tcBorders>
              <w:top w:val="single" w:sz="8" w:color="CFF0FC"/>
            </w:tcBorders>
            <w:shd w:val="clear" w:color="auto" w:fill="CFF0FC"/>
          </w:tcPr>
          <w:p>
            <w:pPr>
              <w:spacing w:after="0"/>
              <w:rPr>
                <w:sz w:val="13"/>
                <w:szCs w:val="13"/>
                <w:color w:val="auto"/>
              </w:rPr>
            </w:pP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Proceeds from exercise 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employee stock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r>
      <w:tr>
        <w:trPr>
          <w:trHeight w:val="162"/>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7,815</w:t>
            </w:r>
          </w:p>
        </w:tc>
        <w:tc>
          <w:tcPr>
            <w:tcW w:w="100" w:type="dxa"/>
            <w:vAlign w:val="bottom"/>
            <w:shd w:val="clear" w:color="auto" w:fill="CFF0FC"/>
          </w:tcPr>
          <w:p>
            <w:pPr>
              <w:spacing w:after="0"/>
              <w:rPr>
                <w:sz w:val="14"/>
                <w:szCs w:val="14"/>
                <w:color w:val="auto"/>
              </w:rPr>
            </w:pP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Shares issued under employee stock</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680" w:type="dxa"/>
            <w:vAlign w:val="bottom"/>
          </w:tcPr>
          <w:p>
            <w:pPr>
              <w:jc w:val="right"/>
              <w:spacing w:after="0"/>
              <w:rPr>
                <w:sz w:val="20"/>
                <w:szCs w:val="20"/>
                <w:color w:val="auto"/>
              </w:rPr>
            </w:pPr>
            <w:r>
              <w:rPr>
                <w:rFonts w:ascii="Arial" w:cs="Arial" w:eastAsia="Arial" w:hAnsi="Arial"/>
                <w:sz w:val="14"/>
                <w:szCs w:val="14"/>
                <w:color w:val="auto"/>
              </w:rPr>
              <w:t>203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14"/>
                <w:szCs w:val="14"/>
                <w:color w:val="auto"/>
              </w:rPr>
            </w:pPr>
          </w:p>
        </w:tc>
      </w:tr>
      <w:tr>
        <w:trPr>
          <w:trHeight w:val="143"/>
        </w:trPr>
        <w:tc>
          <w:tcPr>
            <w:tcW w:w="3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income on</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rate swap, net of tax effect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1,107</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FF0FC"/>
          </w:tcPr>
          <w:p>
            <w:pPr>
              <w:spacing w:after="0"/>
              <w:rPr>
                <w:sz w:val="14"/>
                <w:szCs w:val="14"/>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Reclassification due to U.S. Tax Reform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w:t>
            </w:r>
          </w:p>
        </w:tc>
        <w:tc>
          <w:tcPr>
            <w:tcW w:w="2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3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restricted</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unit awards, net of shares surrendered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(2,277)</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(2,277)</w:t>
            </w: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20,128</w:t>
            </w:r>
          </w:p>
        </w:tc>
        <w:tc>
          <w:tcPr>
            <w:tcW w:w="100" w:type="dxa"/>
            <w:vAlign w:val="bottom"/>
          </w:tcPr>
          <w:p>
            <w:pPr>
              <w:spacing w:after="0"/>
              <w:rPr>
                <w:sz w:val="14"/>
                <w:szCs w:val="14"/>
                <w:color w:val="auto"/>
              </w:rPr>
            </w:pPr>
          </w:p>
        </w:tc>
      </w:tr>
      <w:tr>
        <w:trPr>
          <w:trHeight w:val="155"/>
        </w:trPr>
        <w:tc>
          <w:tcPr>
            <w:tcW w:w="3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April 30, 2018</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72,434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253,616</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389,146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1,689</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(222,375)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422,148</w:t>
            </w:r>
          </w:p>
        </w:tc>
        <w:tc>
          <w:tcPr>
            <w:tcW w:w="100" w:type="dxa"/>
            <w:vAlign w:val="bottom"/>
            <w:tcBorders>
              <w:top w:val="single" w:sz="8" w:color="CFF0FC"/>
            </w:tcBorders>
            <w:shd w:val="clear" w:color="auto" w:fill="CFF0FC"/>
          </w:tcPr>
          <w:p>
            <w:pPr>
              <w:spacing w:after="0"/>
              <w:rPr>
                <w:sz w:val="13"/>
                <w:szCs w:val="13"/>
                <w:color w:val="auto"/>
              </w:rPr>
            </w:pP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Proceeds from exercise 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employee stock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4"/>
                <w:szCs w:val="14"/>
                <w:color w:val="auto"/>
              </w:rPr>
            </w:pPr>
          </w:p>
        </w:tc>
      </w:tr>
      <w:tr>
        <w:trPr>
          <w:trHeight w:val="162"/>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7,992</w:t>
            </w:r>
          </w:p>
        </w:tc>
        <w:tc>
          <w:tcPr>
            <w:tcW w:w="100" w:type="dxa"/>
            <w:vAlign w:val="bottom"/>
            <w:shd w:val="clear" w:color="auto" w:fill="CFF0FC"/>
          </w:tcPr>
          <w:p>
            <w:pPr>
              <w:spacing w:after="0"/>
              <w:rPr>
                <w:sz w:val="14"/>
                <w:szCs w:val="14"/>
                <w:color w:val="auto"/>
              </w:rPr>
            </w:pP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Shares issued under employee stock</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680" w:type="dxa"/>
            <w:vAlign w:val="bottom"/>
          </w:tcPr>
          <w:p>
            <w:pPr>
              <w:jc w:val="right"/>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14"/>
                <w:szCs w:val="14"/>
                <w:color w:val="auto"/>
              </w:rPr>
            </w:pPr>
          </w:p>
        </w:tc>
      </w:tr>
      <w:tr>
        <w:trPr>
          <w:trHeight w:val="143"/>
        </w:trPr>
        <w:tc>
          <w:tcPr>
            <w:tcW w:w="3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rate swap, net of tax effect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(1,069)</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(1,069)</w:t>
            </w: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Impact of adoption of accounting</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standard updates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(4,610)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(4,610)</w:t>
            </w:r>
          </w:p>
        </w:tc>
      </w:tr>
      <w:tr>
        <w:trPr>
          <w:trHeight w:val="143"/>
        </w:trPr>
        <w:tc>
          <w:tcPr>
            <w:tcW w:w="3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restricted</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unit awards, net of shares surrendered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(650)</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(649)</w:t>
            </w: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18,410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Pr>
          <w:p>
            <w:pPr>
              <w:spacing w:after="0"/>
              <w:rPr>
                <w:sz w:val="14"/>
                <w:szCs w:val="14"/>
                <w:color w:val="auto"/>
              </w:rPr>
            </w:pPr>
          </w:p>
        </w:tc>
      </w:tr>
      <w:tr>
        <w:trPr>
          <w:trHeight w:val="155"/>
        </w:trPr>
        <w:tc>
          <w:tcPr>
            <w:tcW w:w="3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April 30, 2019</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72,864</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263,180</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402,946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3"/>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620</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(222,375)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444,444</w:t>
            </w:r>
          </w:p>
        </w:tc>
        <w:tc>
          <w:tcPr>
            <w:tcW w:w="100" w:type="dxa"/>
            <w:vAlign w:val="bottom"/>
            <w:tcBorders>
              <w:top w:val="single" w:sz="8" w:color="CFF0FC"/>
            </w:tcBorders>
            <w:shd w:val="clear" w:color="auto" w:fill="CFF0FC"/>
          </w:tcPr>
          <w:p>
            <w:pPr>
              <w:spacing w:after="0"/>
              <w:rPr>
                <w:sz w:val="13"/>
                <w:szCs w:val="13"/>
                <w:color w:val="auto"/>
              </w:rPr>
            </w:pP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Proceeds from exercise 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employee stock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4"/>
                <w:szCs w:val="14"/>
                <w:color w:val="auto"/>
              </w:rPr>
            </w:pPr>
          </w:p>
        </w:tc>
      </w:tr>
      <w:tr>
        <w:trPr>
          <w:trHeight w:val="162"/>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2,921</w:t>
            </w:r>
          </w:p>
        </w:tc>
        <w:tc>
          <w:tcPr>
            <w:tcW w:w="100" w:type="dxa"/>
            <w:vAlign w:val="bottom"/>
            <w:shd w:val="clear" w:color="auto" w:fill="CFF0FC"/>
          </w:tcPr>
          <w:p>
            <w:pPr>
              <w:spacing w:after="0"/>
              <w:rPr>
                <w:sz w:val="14"/>
                <w:szCs w:val="14"/>
                <w:color w:val="auto"/>
              </w:rPr>
            </w:pP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Shares issued under employee stock</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680" w:type="dxa"/>
            <w:vAlign w:val="bottom"/>
          </w:tcPr>
          <w:p>
            <w:pPr>
              <w:jc w:val="right"/>
              <w:spacing w:after="0"/>
              <w:rPr>
                <w:sz w:val="20"/>
                <w:szCs w:val="20"/>
                <w:color w:val="auto"/>
              </w:rPr>
            </w:pPr>
            <w:r>
              <w:rPr>
                <w:rFonts w:ascii="Arial" w:cs="Arial" w:eastAsia="Arial" w:hAnsi="Arial"/>
                <w:sz w:val="14"/>
                <w:szCs w:val="14"/>
                <w:color w:val="auto"/>
              </w:rPr>
              <w:t>380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Pr>
          <w:p>
            <w:pPr>
              <w:spacing w:after="0"/>
              <w:rPr>
                <w:sz w:val="14"/>
                <w:szCs w:val="14"/>
                <w:color w:val="auto"/>
              </w:rPr>
            </w:pPr>
          </w:p>
        </w:tc>
      </w:tr>
      <w:tr>
        <w:trPr>
          <w:trHeight w:val="143"/>
        </w:trPr>
        <w:tc>
          <w:tcPr>
            <w:tcW w:w="38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loss on</w:t>
            </w: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rate swap, net of tax effect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(547)</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(547)</w:t>
            </w:r>
          </w:p>
        </w:tc>
      </w:tr>
      <w:tr>
        <w:trPr>
          <w:trHeight w:val="143"/>
        </w:trPr>
        <w:tc>
          <w:tcPr>
            <w:tcW w:w="388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restricted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880" w:type="dxa"/>
            <w:vAlign w:val="bottom"/>
          </w:tcPr>
          <w:p>
            <w:pPr>
              <w:ind w:left="120"/>
              <w:spacing w:after="0"/>
              <w:rPr>
                <w:sz w:val="20"/>
                <w:szCs w:val="20"/>
                <w:color w:val="auto"/>
              </w:rPr>
            </w:pPr>
            <w:r>
              <w:rPr>
                <w:rFonts w:ascii="Arial" w:cs="Arial" w:eastAsia="Arial" w:hAnsi="Arial"/>
                <w:sz w:val="14"/>
                <w:szCs w:val="14"/>
                <w:color w:val="auto"/>
              </w:rPr>
              <w:t>stock unit awards, net of shares surrendered</w:t>
            </w:r>
          </w:p>
        </w:tc>
        <w:tc>
          <w:tcPr>
            <w:tcW w:w="680" w:type="dxa"/>
            <w:vAlign w:val="bottom"/>
          </w:tcPr>
          <w:p>
            <w:pPr>
              <w:jc w:val="right"/>
              <w:spacing w:after="0"/>
              <w:rPr>
                <w:sz w:val="20"/>
                <w:szCs w:val="20"/>
                <w:color w:val="auto"/>
              </w:rPr>
            </w:pPr>
            <w:r>
              <w:rPr>
                <w:rFonts w:ascii="Arial" w:cs="Arial" w:eastAsia="Arial" w:hAnsi="Arial"/>
                <w:sz w:val="14"/>
                <w:szCs w:val="14"/>
                <w:color w:val="auto"/>
              </w:rPr>
              <w:t>216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(597)</w:t>
            </w:r>
          </w:p>
        </w:tc>
      </w:tr>
      <w:tr>
        <w:trPr>
          <w:trHeight w:val="162"/>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(61,230)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(61,230)</w:t>
            </w:r>
          </w:p>
        </w:tc>
      </w:tr>
      <w:tr>
        <w:trPr>
          <w:trHeight w:val="155"/>
        </w:trPr>
        <w:tc>
          <w:tcPr>
            <w:tcW w:w="3880" w:type="dxa"/>
            <w:vAlign w:val="bottom"/>
          </w:tcPr>
          <w:p>
            <w:pPr>
              <w:spacing w:after="0" w:line="155" w:lineRule="exact"/>
              <w:rPr>
                <w:sz w:val="20"/>
                <w:szCs w:val="20"/>
                <w:color w:val="auto"/>
              </w:rPr>
            </w:pPr>
            <w:r>
              <w:rPr>
                <w:rFonts w:ascii="Arial" w:cs="Arial" w:eastAsia="Arial" w:hAnsi="Arial"/>
                <w:sz w:val="14"/>
                <w:szCs w:val="14"/>
                <w:color w:val="auto"/>
              </w:rPr>
              <w:t>Balance at April, 2020</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73,527</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267,630</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341,716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3"/>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18,167</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(222,375</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387,118</w:t>
            </w:r>
          </w:p>
        </w:tc>
        <w:tc>
          <w:tcPr>
            <w:tcW w:w="100" w:type="dxa"/>
            <w:vAlign w:val="bottom"/>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center"/>
              <w:ind w:left="664"/>
              <w:spacing w:after="0"/>
              <w:rPr>
                <w:sz w:val="20"/>
                <w:szCs w:val="20"/>
                <w:color w:val="auto"/>
              </w:rPr>
            </w:pPr>
            <w:r>
              <w:rPr>
                <w:rFonts w:ascii="Arial" w:cs="Arial" w:eastAsia="Arial" w:hAnsi="Arial"/>
                <w:sz w:val="15"/>
                <w:szCs w:val="15"/>
                <w:b w:val="1"/>
                <w:bCs w:val="1"/>
                <w:color w:val="auto"/>
                <w:w w:val="94"/>
              </w:rPr>
              <w:t>For the Year Ended April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5"/>
                <w:szCs w:val="15"/>
                <w:b w:val="1"/>
                <w:bCs w:val="1"/>
                <w:color w:val="auto"/>
                <w:w w:val="89"/>
              </w:rPr>
              <w:t>2019</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80"/>
              <w:spacing w:after="0" w:line="169" w:lineRule="exact"/>
              <w:rPr>
                <w:sz w:val="20"/>
                <w:szCs w:val="20"/>
                <w:color w:val="auto"/>
              </w:rPr>
            </w:pPr>
            <w:r>
              <w:rPr>
                <w:rFonts w:ascii="Arial" w:cs="Arial" w:eastAsia="Arial" w:hAnsi="Arial"/>
                <w:sz w:val="15"/>
                <w:szCs w:val="15"/>
                <w:color w:val="auto"/>
                <w:w w:val="91"/>
              </w:rPr>
              <w:t>(In thousands)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Cash flows from operating activities:</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260"/>
              <w:spacing w:after="0"/>
              <w:rPr>
                <w:sz w:val="20"/>
                <w:szCs w:val="20"/>
                <w:color w:val="auto"/>
              </w:rPr>
            </w:pPr>
            <w:r>
              <w:rPr>
                <w:rFonts w:ascii="Arial" w:cs="Arial" w:eastAsia="Arial" w:hAnsi="Arial"/>
                <w:sz w:val="15"/>
                <w:szCs w:val="15"/>
                <w:color w:val="auto"/>
              </w:rPr>
              <w:t>Net (loss)/income</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(61,230)</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18,410</w:t>
            </w:r>
          </w:p>
        </w:tc>
        <w:tc>
          <w:tcPr>
            <w:tcW w:w="24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20,128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(loss)/income to net cash provided by operating activities:</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500"/>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54,058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53,859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52,075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Loss/(gain) on sale/disposition of assets</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(454)</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500"/>
              <w:spacing w:after="0"/>
              <w:rPr>
                <w:sz w:val="20"/>
                <w:szCs w:val="20"/>
                <w:color w:val="auto"/>
              </w:rPr>
            </w:pPr>
            <w:r>
              <w:rPr>
                <w:rFonts w:ascii="Arial" w:cs="Arial" w:eastAsia="Arial" w:hAnsi="Arial"/>
                <w:sz w:val="15"/>
                <w:szCs w:val="15"/>
                <w:color w:val="auto"/>
              </w:rPr>
              <w:t>Provision for losses on notes and accounts receivable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1,060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Impairment of long-lived tangible assets</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500"/>
              <w:spacing w:after="0"/>
              <w:rPr>
                <w:sz w:val="20"/>
                <w:szCs w:val="20"/>
                <w:color w:val="auto"/>
              </w:rPr>
            </w:pPr>
            <w:r>
              <w:rPr>
                <w:rFonts w:ascii="Arial" w:cs="Arial" w:eastAsia="Arial" w:hAnsi="Arial"/>
                <w:sz w:val="15"/>
                <w:szCs w:val="15"/>
                <w:color w:val="auto"/>
              </w:rPr>
              <w:t>Goodwill impairment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98,662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10,396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income taxes</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(12,009)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(2,795)</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(8,775)</w:t>
            </w:r>
          </w:p>
        </w:tc>
        <w:tc>
          <w:tcPr>
            <w:tcW w:w="0" w:type="dxa"/>
            <w:vAlign w:val="bottom"/>
          </w:tcPr>
          <w:p>
            <w:pPr>
              <w:spacing w:after="0"/>
              <w:rPr>
                <w:sz w:val="1"/>
                <w:szCs w:val="1"/>
                <w:color w:val="auto"/>
              </w:rPr>
            </w:pPr>
          </w:p>
        </w:tc>
      </w:tr>
      <w:tr>
        <w:trPr>
          <w:trHeight w:val="175"/>
        </w:trPr>
        <w:tc>
          <w:tcPr>
            <w:tcW w:w="6560" w:type="dxa"/>
            <w:vAlign w:val="bottom"/>
          </w:tcPr>
          <w:p>
            <w:pPr>
              <w:ind w:left="500"/>
              <w:spacing w:after="0"/>
              <w:rPr>
                <w:sz w:val="20"/>
                <w:szCs w:val="20"/>
                <w:color w:val="auto"/>
              </w:rPr>
            </w:pPr>
            <w:r>
              <w:rPr>
                <w:rFonts w:ascii="Arial" w:cs="Arial" w:eastAsia="Arial" w:hAnsi="Arial"/>
                <w:sz w:val="15"/>
                <w:szCs w:val="15"/>
                <w:color w:val="auto"/>
              </w:rPr>
              <w:t>Change in fair value of contingent consideration</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(60)</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(1,640)</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2,921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7,992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receivable</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(8,630)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(28,997)</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740"/>
              <w:spacing w:after="0"/>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(421)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(10,533)</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(16,971)</w:t>
            </w: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(2,310)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740"/>
              <w:spacing w:after="0"/>
              <w:rPr>
                <w:sz w:val="20"/>
                <w:szCs w:val="20"/>
                <w:color w:val="auto"/>
              </w:rPr>
            </w:pPr>
            <w:r>
              <w:rPr>
                <w:rFonts w:ascii="Arial" w:cs="Arial" w:eastAsia="Arial" w:hAnsi="Arial"/>
                <w:sz w:val="15"/>
                <w:szCs w:val="15"/>
                <w:color w:val="auto"/>
              </w:rPr>
              <w:t>Income taxes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1,780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5,848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payable</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(20,998)</w:t>
            </w:r>
          </w:p>
        </w:tc>
        <w:tc>
          <w:tcPr>
            <w:tcW w:w="0" w:type="dxa"/>
            <w:vAlign w:val="bottom"/>
          </w:tcPr>
          <w:p>
            <w:pPr>
              <w:spacing w:after="0"/>
              <w:rPr>
                <w:sz w:val="1"/>
                <w:szCs w:val="1"/>
                <w:color w:val="auto"/>
              </w:rPr>
            </w:pPr>
          </w:p>
        </w:tc>
      </w:tr>
      <w:tr>
        <w:trPr>
          <w:trHeight w:val="175"/>
        </w:trPr>
        <w:tc>
          <w:tcPr>
            <w:tcW w:w="6560" w:type="dxa"/>
            <w:vAlign w:val="bottom"/>
          </w:tcPr>
          <w:p>
            <w:pPr>
              <w:ind w:left="740"/>
              <w:spacing w:after="0"/>
              <w:rPr>
                <w:sz w:val="20"/>
                <w:szCs w:val="20"/>
                <w:color w:val="auto"/>
              </w:rPr>
            </w:pPr>
            <w:r>
              <w:rPr>
                <w:rFonts w:ascii="Arial" w:cs="Arial" w:eastAsia="Arial" w:hAnsi="Arial"/>
                <w:sz w:val="15"/>
                <w:szCs w:val="15"/>
                <w:color w:val="auto"/>
              </w:rPr>
              <w:t>Accrued payroll and incentives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(6,850)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10,959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(10,754)</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profit sharing</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(416)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1,547</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(11,721)</w:t>
            </w:r>
          </w:p>
        </w:tc>
        <w:tc>
          <w:tcPr>
            <w:tcW w:w="0" w:type="dxa"/>
            <w:vAlign w:val="bottom"/>
          </w:tcPr>
          <w:p>
            <w:pPr>
              <w:spacing w:after="0"/>
              <w:rPr>
                <w:sz w:val="1"/>
                <w:szCs w:val="1"/>
                <w:color w:val="auto"/>
              </w:rPr>
            </w:pPr>
          </w:p>
        </w:tc>
      </w:tr>
      <w:tr>
        <w:trPr>
          <w:trHeight w:val="175"/>
        </w:trPr>
        <w:tc>
          <w:tcPr>
            <w:tcW w:w="6560" w:type="dxa"/>
            <w:vAlign w:val="bottom"/>
          </w:tcPr>
          <w:p>
            <w:pPr>
              <w:ind w:left="740"/>
              <w:spacing w:after="0"/>
              <w:rPr>
                <w:sz w:val="20"/>
                <w:szCs w:val="20"/>
                <w:color w:val="auto"/>
              </w:rPr>
            </w:pPr>
            <w:r>
              <w:rPr>
                <w:rFonts w:ascii="Arial" w:cs="Arial" w:eastAsia="Arial" w:hAnsi="Arial"/>
                <w:sz w:val="15"/>
                <w:szCs w:val="15"/>
                <w:color w:val="auto"/>
              </w:rPr>
              <w:t>Accrued expenses and deferred revenue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21,908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(7,193)</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(8,424)</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warranty</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(1,966)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(1,224)</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74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(671)</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non-current liabilities</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(3,524)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(377)</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0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94,961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57,450</w:t>
            </w:r>
          </w:p>
        </w:tc>
        <w:tc>
          <w:tcPr>
            <w:tcW w:w="24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61,643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60"/>
              <w:spacing w:after="0"/>
              <w:rPr>
                <w:sz w:val="20"/>
                <w:szCs w:val="20"/>
                <w:color w:val="auto"/>
              </w:rPr>
            </w:pPr>
            <w:r>
              <w:rPr>
                <w:rFonts w:ascii="Arial" w:cs="Arial" w:eastAsia="Arial" w:hAnsi="Arial"/>
                <w:sz w:val="15"/>
                <w:szCs w:val="15"/>
                <w:color w:val="auto"/>
              </w:rPr>
              <w:t>Acquisition of businesses, net of cash acquired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(1,772)</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(23,120)</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Receipts from note receivable</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560" w:type="dxa"/>
            <w:vAlign w:val="bottom"/>
          </w:tcPr>
          <w:p>
            <w:pPr>
              <w:ind w:left="260"/>
              <w:spacing w:after="0"/>
              <w:rPr>
                <w:sz w:val="20"/>
                <w:szCs w:val="20"/>
                <w:color w:val="auto"/>
              </w:rPr>
            </w:pPr>
            <w:r>
              <w:rPr>
                <w:rFonts w:ascii="Arial" w:cs="Arial" w:eastAsia="Arial" w:hAnsi="Arial"/>
                <w:sz w:val="15"/>
                <w:szCs w:val="15"/>
                <w:color w:val="auto"/>
              </w:rPr>
              <w:t>Payments to acquire patents and software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(812)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(516)</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property and equipment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60"/>
              <w:spacing w:after="0"/>
              <w:rPr>
                <w:sz w:val="20"/>
                <w:szCs w:val="20"/>
                <w:color w:val="auto"/>
              </w:rPr>
            </w:pPr>
            <w:r>
              <w:rPr>
                <w:rFonts w:ascii="Arial" w:cs="Arial" w:eastAsia="Arial" w:hAnsi="Arial"/>
                <w:sz w:val="15"/>
                <w:szCs w:val="15"/>
                <w:color w:val="auto"/>
              </w:rPr>
              <w:t>Payments to acquire property and equipment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(13,932)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(33,949)</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(18,490)</w:t>
            </w: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ind w:left="1000"/>
              <w:spacing w:after="0"/>
              <w:rPr>
                <w:sz w:val="20"/>
                <w:szCs w:val="20"/>
                <w:color w:val="auto"/>
              </w:rPr>
            </w:pPr>
            <w:r>
              <w:rPr>
                <w:rFonts w:ascii="Arial" w:cs="Arial" w:eastAsia="Arial" w:hAnsi="Arial"/>
                <w:sz w:val="15"/>
                <w:szCs w:val="15"/>
                <w:color w:val="auto"/>
              </w:rPr>
              <w:t>Net cash used in investing activities</w:t>
            </w: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(13,958)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(34,827)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(42,164)</w:t>
            </w:r>
          </w:p>
        </w:tc>
        <w:tc>
          <w:tcPr>
            <w:tcW w:w="0" w:type="dxa"/>
            <w:vAlign w:val="bottom"/>
          </w:tcPr>
          <w:p>
            <w:pPr>
              <w:spacing w:after="0"/>
              <w:rPr>
                <w:sz w:val="1"/>
                <w:szCs w:val="1"/>
                <w:color w:val="auto"/>
              </w:rPr>
            </w:pPr>
          </w:p>
        </w:tc>
      </w:tr>
      <w:tr>
        <w:trPr>
          <w:trHeight w:val="169"/>
        </w:trPr>
        <w:tc>
          <w:tcPr>
            <w:tcW w:w="6560" w:type="dxa"/>
            <w:vAlign w:val="bottom"/>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loans and notes payable</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228,225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260"/>
              <w:spacing w:after="0"/>
              <w:rPr>
                <w:sz w:val="20"/>
                <w:szCs w:val="20"/>
                <w:color w:val="auto"/>
              </w:rPr>
            </w:pPr>
            <w:r>
              <w:rPr>
                <w:rFonts w:ascii="Arial" w:cs="Arial" w:eastAsia="Arial" w:hAnsi="Arial"/>
                <w:sz w:val="15"/>
                <w:szCs w:val="15"/>
                <w:color w:val="auto"/>
              </w:rPr>
              <w:t>Cash paid for debt issuance costs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(875)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on finance lease obligation</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(900)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(741)</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(646)</w:t>
            </w:r>
          </w:p>
        </w:tc>
        <w:tc>
          <w:tcPr>
            <w:tcW w:w="0" w:type="dxa"/>
            <w:vAlign w:val="bottom"/>
          </w:tcPr>
          <w:p>
            <w:pPr>
              <w:spacing w:after="0"/>
              <w:rPr>
                <w:sz w:val="1"/>
                <w:szCs w:val="1"/>
                <w:color w:val="auto"/>
              </w:rPr>
            </w:pPr>
          </w:p>
        </w:tc>
      </w:tr>
      <w:tr>
        <w:trPr>
          <w:trHeight w:val="175"/>
        </w:trPr>
        <w:tc>
          <w:tcPr>
            <w:tcW w:w="6560" w:type="dxa"/>
            <w:vAlign w:val="bottom"/>
          </w:tcPr>
          <w:p>
            <w:pPr>
              <w:ind w:left="260"/>
              <w:spacing w:after="0"/>
              <w:rPr>
                <w:sz w:val="20"/>
                <w:szCs w:val="20"/>
                <w:color w:val="auto"/>
              </w:rPr>
            </w:pPr>
            <w:r>
              <w:rPr>
                <w:rFonts w:ascii="Arial" w:cs="Arial" w:eastAsia="Arial" w:hAnsi="Arial"/>
                <w:sz w:val="15"/>
                <w:szCs w:val="15"/>
                <w:color w:val="auto"/>
              </w:rPr>
              <w:t>Payments on notes and loans payable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(224,600)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(81,300)</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(181,300)</w:t>
            </w: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260"/>
              <w:spacing w:after="0"/>
              <w:rPr>
                <w:sz w:val="20"/>
                <w:szCs w:val="20"/>
                <w:color w:val="auto"/>
              </w:rPr>
            </w:pPr>
            <w:r>
              <w:rPr>
                <w:rFonts w:ascii="Arial" w:cs="Arial" w:eastAsia="Arial" w:hAnsi="Arial"/>
                <w:sz w:val="15"/>
                <w:szCs w:val="15"/>
                <w:color w:val="auto"/>
                <w:w w:val="93"/>
              </w:rPr>
              <w:t>Proceeds from exercise of options to acquire common stock, including employee stock purchase plan</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260"/>
              <w:spacing w:after="0"/>
              <w:rPr>
                <w:sz w:val="20"/>
                <w:szCs w:val="20"/>
                <w:color w:val="auto"/>
              </w:rPr>
            </w:pPr>
            <w:r>
              <w:rPr>
                <w:rFonts w:ascii="Arial" w:cs="Arial" w:eastAsia="Arial" w:hAnsi="Arial"/>
                <w:sz w:val="15"/>
                <w:szCs w:val="15"/>
                <w:color w:val="auto"/>
              </w:rPr>
              <w:t>Payment of employee withholding tax related to restricted stock units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(649)</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(2,277)</w:t>
            </w: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ind w:left="1000"/>
              <w:spacing w:after="0"/>
              <w:rPr>
                <w:sz w:val="20"/>
                <w:szCs w:val="20"/>
                <w:color w:val="auto"/>
              </w:rPr>
            </w:pPr>
            <w:r>
              <w:rPr>
                <w:rFonts w:ascii="Arial" w:cs="Arial" w:eastAsia="Arial" w:hAnsi="Arial"/>
                <w:sz w:val="15"/>
                <w:szCs w:val="15"/>
                <w:color w:val="auto"/>
              </w:rPr>
              <w:t>Net cash provided by/(used in) financing activities</w:t>
            </w: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(30,468)</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(32,168)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5"/>
                <w:szCs w:val="15"/>
                <w:color w:val="auto"/>
              </w:rPr>
              <w:t>Net increase/(decrease) in cash and cash equivalents</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84,383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(7,845)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(12,689)</w:t>
            </w:r>
          </w:p>
        </w:tc>
        <w:tc>
          <w:tcPr>
            <w:tcW w:w="0" w:type="dxa"/>
            <w:vAlign w:val="bottom"/>
          </w:tcPr>
          <w:p>
            <w:pPr>
              <w:spacing w:after="0"/>
              <w:rPr>
                <w:sz w:val="1"/>
                <w:szCs w:val="1"/>
                <w:color w:val="auto"/>
              </w:rPr>
            </w:pPr>
          </w:p>
        </w:tc>
      </w:tr>
      <w:tr>
        <w:trPr>
          <w:trHeight w:val="176"/>
        </w:trPr>
        <w:tc>
          <w:tcPr>
            <w:tcW w:w="656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beginning of period</w:t>
            </w:r>
          </w:p>
        </w:tc>
        <w:tc>
          <w:tcPr>
            <w:tcW w:w="10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41,015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48,860</w:t>
            </w:r>
          </w:p>
        </w:tc>
        <w:tc>
          <w:tcPr>
            <w:tcW w:w="2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61,549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line="169" w:lineRule="exact"/>
              <w:rPr>
                <w:sz w:val="20"/>
                <w:szCs w:val="20"/>
                <w:color w:val="auto"/>
              </w:rPr>
            </w:pPr>
            <w:r>
              <w:rPr>
                <w:rFonts w:ascii="Arial" w:cs="Arial" w:eastAsia="Arial" w:hAnsi="Arial"/>
                <w:sz w:val="15"/>
                <w:szCs w:val="15"/>
                <w:color w:val="auto"/>
              </w:rPr>
              <w:t>Cash and cash equivalents, end of period</w:t>
            </w:r>
          </w:p>
        </w:tc>
        <w:tc>
          <w:tcPr>
            <w:tcW w:w="3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125,398</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41,015</w:t>
            </w:r>
          </w:p>
        </w:tc>
        <w:tc>
          <w:tcPr>
            <w:tcW w:w="240" w:type="dxa"/>
            <w:vAlign w:val="bottom"/>
          </w:tcPr>
          <w:p>
            <w:pPr>
              <w:spacing w:after="0"/>
              <w:rPr>
                <w:sz w:val="18"/>
                <w:szCs w:val="18"/>
                <w:color w:val="auto"/>
              </w:rPr>
            </w:pPr>
          </w:p>
        </w:tc>
        <w:tc>
          <w:tcPr>
            <w:tcW w:w="300" w:type="dxa"/>
            <w:vAlign w:val="bottom"/>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48,860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5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Supplemental disclosure of cash flow information</w:t>
            </w: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260"/>
              <w:spacing w:after="0"/>
              <w:rPr>
                <w:sz w:val="20"/>
                <w:szCs w:val="20"/>
                <w:color w:val="auto"/>
              </w:rPr>
            </w:pPr>
            <w:r>
              <w:rPr>
                <w:rFonts w:ascii="Arial" w:cs="Arial" w:eastAsia="Arial" w:hAnsi="Arial"/>
                <w:sz w:val="15"/>
                <w:szCs w:val="15"/>
                <w:color w:val="auto"/>
              </w:rPr>
              <w:t>Cash paid for: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Interest</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11,103</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9,473</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560" w:type="dxa"/>
            <w:vAlign w:val="bottom"/>
          </w:tcPr>
          <w:p>
            <w:pPr>
              <w:ind w:left="500"/>
              <w:spacing w:after="0"/>
              <w:rPr>
                <w:sz w:val="20"/>
                <w:szCs w:val="20"/>
                <w:color w:val="auto"/>
              </w:rPr>
            </w:pPr>
            <w:r>
              <w:rPr>
                <w:rFonts w:ascii="Arial" w:cs="Arial" w:eastAsia="Arial" w:hAnsi="Arial"/>
                <w:sz w:val="15"/>
                <w:szCs w:val="15"/>
                <w:color w:val="auto"/>
              </w:rPr>
              <w:t>Income taxes</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6,935</w:t>
            </w:r>
          </w:p>
        </w:tc>
        <w:tc>
          <w:tcPr>
            <w:tcW w:w="14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10,567</w:t>
            </w:r>
          </w:p>
        </w:tc>
        <w:tc>
          <w:tcPr>
            <w:tcW w:w="24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4"/>
                <w:szCs w:val="14"/>
                <w:b w:val="1"/>
                <w:bCs w:val="1"/>
                <w:color w:val="auto"/>
                <w:w w:val="95"/>
              </w:rPr>
              <w:t>For the Years Ended April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5"/>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center"/>
              <w:ind w:right="213"/>
              <w:spacing w:after="0" w:line="155" w:lineRule="exact"/>
              <w:rPr>
                <w:sz w:val="20"/>
                <w:szCs w:val="20"/>
                <w:color w:val="auto"/>
              </w:rPr>
            </w:pPr>
            <w:r>
              <w:rPr>
                <w:rFonts w:ascii="Arial" w:cs="Arial" w:eastAsia="Arial" w:hAnsi="Arial"/>
                <w:sz w:val="14"/>
                <w:szCs w:val="14"/>
                <w:color w:val="auto"/>
                <w:w w:val="91"/>
              </w:rPr>
              <w:t>(In thousands)</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72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565</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Change in fair value of interest rate swap</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670</w:t>
            </w:r>
          </w:p>
        </w:tc>
        <w:tc>
          <w:tcPr>
            <w:tcW w:w="4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1,393</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Purchases of property and equipment funded by capital lease</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24,271</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21,974</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w:t>
            </w: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24,271</w:t>
            </w: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21,974</w:t>
            </w: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Changes in note receivable</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1,007</w:t>
            </w:r>
          </w:p>
        </w:tc>
        <w:tc>
          <w:tcPr>
            <w:tcW w:w="4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Adoption of ASU 2016-02:</w:t>
            </w: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Changes in other assets for operating lease obligations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11,821</w:t>
            </w:r>
          </w:p>
        </w:tc>
        <w:tc>
          <w:tcPr>
            <w:tcW w:w="440" w:type="dxa"/>
            <w:vAlign w:val="bottom"/>
          </w:tcPr>
          <w:p>
            <w:pPr>
              <w:spacing w:after="0"/>
              <w:rPr>
                <w:sz w:val="19"/>
                <w:szCs w:val="19"/>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Change in property and equipment</w:t>
            </w: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Changes in finance lease liabilities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gridSpan w:val="2"/>
          </w:tcPr>
          <w:p>
            <w:pPr>
              <w:jc w:val="right"/>
              <w:ind w:right="279"/>
              <w:spacing w:after="0"/>
              <w:rPr>
                <w:sz w:val="20"/>
                <w:szCs w:val="20"/>
                <w:color w:val="auto"/>
              </w:rPr>
            </w:pPr>
            <w:r>
              <w:rPr>
                <w:rFonts w:ascii="Arial" w:cs="Arial" w:eastAsia="Arial" w:hAnsi="Arial"/>
                <w:sz w:val="18"/>
                <w:szCs w:val="18"/>
                <w:color w:val="auto"/>
                <w:w w:val="98"/>
              </w:rPr>
              <w:t>(4,245)</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Changes in lease liabilities for operating lease obligations</w:t>
            </w:r>
          </w:p>
        </w:tc>
        <w:tc>
          <w:tcPr>
            <w:tcW w:w="9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12,790</w:t>
            </w:r>
          </w:p>
        </w:tc>
        <w:tc>
          <w:tcPr>
            <w:tcW w:w="4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332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 We have two reporting segments: (1) Firearms and (2) Outdoor Products &amp; Accessories.</w:t>
      </w:r>
    </w:p>
    <w:p>
      <w:pPr>
        <w:spacing w:after="0" w:line="15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our Firearms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17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In our OP&amp;A segment, we are a leading provider of outdoor products and accessories encompassing hunting, fishing, camping, shooting, and personal security and defense products for rugged outdoor enthusiasts. We conceive, design, produce or source, and sell products and accessories, including shooting supplies, rests, vaults, and other related accessories; premium sportsman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 We develop and market our products at our facility in Columbia, Missouri and contract for the manufacture and assembly of most of our products with third parties located in Asia. We also manufacture some of our electro-optics products at our facility in Wilsonville, Oregon.</w:t>
      </w:r>
    </w:p>
    <w:p>
      <w:pPr>
        <w:spacing w:after="0" w:line="193"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On November 13, 2019, we announced that we were proceeding with a plan to spin-off our outdoor products and accessories business, or the Separation, and create an independent publicly traded company to conduct that business. We believe that separating the our outdoor products and accessories business from our firearm business and forming a new company to conduct the outdoor products and accessories business will enable the management team of each company to focus on its specific strategies, including, among others,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In our view, the Separation is in the best interests of our company and our stockholders and would create two industry-leading companies with attributes that best position each company for long-term success. In preparation for the Separation, on May 29, 2020, we changed our name to Smith &amp; Wesson Brands, Inc., and on June 1, 2020, we changed the name of the company that will operate our outdoor products and accessories business through its subsidiaries to American Outdoor Brands, Inc., or AOUT.</w:t>
      </w:r>
    </w:p>
    <w:p>
      <w:pPr>
        <w:spacing w:after="0" w:line="185"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Subject to the satisfaction or waiver of certain conditions, the Separation will be completed by way of a pro rata distribution, or the Distribution, of all the outstanding shares of AOUT common stock to our stockholders of record as of the close of business on the record date of the Distribution. Each of our stockholders will receive shares of AOUT common stock for the shares of our common stock held by such stockholders as of the close of business on the record date, so that our stockholders would own stock of our company as well as 100% of the stock of AOUT and we will retain no ownership interest in that company. We expect to receive an opinion from counsel to the effect that, among other things, the transfer of the assets and legal entities, subject to any related liabilities, associated with the outdoor products and accessories business, to AOUT, will qualify as a transaction that is tax-free for U.S. federal income tax purposes, except to the extent of any cash received in lieu of fractional shares. The Distribution does not require the approval of our stockholders. Our common stock will continue to trade on the Nasdaq Global Select Market under the new ticker symbol “SWBI,” and AOUT has applied to have its shares of common stock listed on the Nasdaq Global Market under the ticker symbol “AOUT.” The Separation is subject to the satisfaction or waiver of certain conditions, and we cannot provide any assurance that we will complete the Separation.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LaserLyte Acquisition</w:t>
      </w:r>
    </w:p>
    <w:p>
      <w:pPr>
        <w:spacing w:after="0" w:line="13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In January 2019, we acquired substantially all of the LaserLyte branded products and other assets from P&amp;L Industries, Inc., for a purchase price of $2.0 million, subject to certain adjustments, utilizing cash on hand. P&amp;L Industries was a provider of laser training and sighting products for the consumer market. The operations of LaserLyte were fully integrated into our facility located in Wilsonville, Oregon and reported in our Outdoor Products &amp; Accessories segment. This acquisition did not have a material impact on our condensed consolidated financial statements for all periods presented. Included in general and administrative costs are $28,000 of acquisition-related costs incurred for the LaserLyte Acquisition during the year ended April 30, 2019.</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Pro forma results of operations assuming that the LaserLyte Acquisitions had occurred as of May 1, 2017 are not required because of the immaterial impact on our consolidated financial statements for all periods presented.</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2018 Acquisitions</w:t>
      </w:r>
    </w:p>
    <w:p>
      <w:pPr>
        <w:spacing w:after="0" w:line="131"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 xml:space="preserve">In August 2017, in two separate transactions, we acquired (1) substantially all of the net assets of Gemtech and (2) Bubba Blade branded products and other assets from Fish Tales, LLC. The aggregate purchase price for the two acquisitions was $23.1 million, subject to certain adjustments, utilizing a combination of cash on hand and borrowings under our revolving line of credit. In connection with the Gemtech acquisition, additional consideration of up to a maximum of $17.1 million may be paid contingent upon the cumulative three year sales volume of Gemtech products. The valuation of this contingent consideration liability was established in accordance with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During fiscal 2020, we reduced the remaining fair value of this contingent liability by $100,000 to zero because we confirmed the performance metrics were not achieved. This reduction was recorded in other income on the consolidated statements of (loss)/income. Gemtech, based in Meridian, Idaho, was a provider of quality suppressors and accessories for the consumer, law enforcement, and military markets. Fish Tales, LLC, based in Oro Valley, Arizona, was a provider of premium sportsmen knives and tools for fishing and hunting, including the premium knife brand Bubba Blade. The valuations of the assets acquired and liabilities assumed in the 2018 Acquisitions are complete.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Policies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consolidated financial statements in conformity with accounting principles generally accepted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requires us to make estimates and assumptions that affect the reported amounts of assets and liabilities and the disclosure of contingent assets and liabilities at the financial statement dates and the reported amounts of revenue and expenses during the reporting periods. Our significant estimates include the accrual for warranty, reserves for excess and obsolete inventory, rebates and other promotions, and valuation of intangible assets. Actual results could differ from those estimates.</w:t>
      </w:r>
    </w:p>
    <w:p>
      <w:pPr>
        <w:spacing w:after="0" w:line="18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Smith &amp; Wesson Brands, Inc.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subsidiaries, including Smith &amp; Wesson Inc., Smith &amp; Wesson Sales Company, and SWPC Plastics, LLC, reported in our Firearms segment; AOB Products Company, Crimson Trace Corporation, and AOB Consulting (Shenzhen), Co., LTD., reported in our Outdoor Products &amp; Accessories segment; and SWSS LLC, formerly Smith &amp; Wesson Security Solutions, Inc., or SWSS, our former security services division. In our opinion, all adjustments, which include only normal recurring adjustments necessary to fairly present the financial position, results of operations, changes in stockholders’ equity, and cash flows at April 30, 2020 and 2019 and for the periods presented, have been included. All intercompany accounts and transactions have been eliminated in consolidation.</w:t>
      </w:r>
    </w:p>
    <w:p>
      <w:pPr>
        <w:spacing w:after="0" w:line="195"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Unless otherwise indicated, the fair values of all reported assets and liabilities, which represent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not held for trading purposes, approximate the carrying values of such amounts because of their short-term nature or market rates of interest.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consider all highly liquid investments purchased with original maturities of three months or less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to be cash equivalents. We maintain our cash in bank deposit accounts that, at times, may exceed federally insured limits. We have not experienced any losses in such accounts. As of April 30, 2020, all of our accounts exceeded federally insured limits.</w:t>
      </w:r>
    </w:p>
    <w:p>
      <w:pPr>
        <w:spacing w:after="0" w:line="1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We account for derivative instruments under Accounting Standards Codification (“ASC”) 815-10,</w:t>
      </w:r>
      <w:r>
        <w:rPr>
          <w:rFonts w:ascii="Arial" w:cs="Arial" w:eastAsia="Arial" w:hAnsi="Arial"/>
          <w:sz w:val="18"/>
          <w:szCs w:val="18"/>
          <w:i w:val="1"/>
          <w:iCs w:val="1"/>
          <w:color w:val="auto"/>
        </w:rPr>
        <w:t xml:space="preserve"> Fair Value Measurements and Disclosure Topic</w:t>
      </w:r>
      <w:r>
        <w:rPr>
          <w:rFonts w:ascii="Arial" w:cs="Arial" w:eastAsia="Arial" w:hAnsi="Arial"/>
          <w:sz w:val="18"/>
          <w:szCs w:val="18"/>
          <w:color w:val="auto"/>
        </w:rPr>
        <w:t>, which establishes accounting and reporting standards for derivative instruments and hedging activities and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recognize these instruments as either assets or liabilities on the balance sheet and measure them at fair value. As of April 30, 2020, we did not have any Level 2 financial instruments within the hierarchy. See Note 7 – </w:t>
      </w:r>
      <w:r>
        <w:rPr>
          <w:rFonts w:ascii="Arial" w:cs="Arial" w:eastAsia="Arial" w:hAnsi="Arial"/>
          <w:sz w:val="18"/>
          <w:szCs w:val="18"/>
          <w:i w:val="1"/>
          <w:iCs w:val="1"/>
          <w:color w:val="auto"/>
        </w:rPr>
        <w:t>Notes and Loans Payable and Financing Arrangements</w:t>
      </w:r>
      <w:r>
        <w:rPr>
          <w:rFonts w:ascii="Arial" w:cs="Arial" w:eastAsia="Arial" w:hAnsi="Arial"/>
          <w:sz w:val="18"/>
          <w:szCs w:val="18"/>
          <w:color w:val="auto"/>
        </w:rPr>
        <w:t xml:space="preserve"> for more information regarding our financial instruments.</w:t>
      </w:r>
    </w:p>
    <w:p>
      <w:pPr>
        <w:spacing w:after="0" w:line="18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i w:val="1"/>
          <w:iCs w:val="1"/>
          <w:color w:val="auto"/>
        </w:rPr>
        <w:t xml:space="preserve">Trade Receivables </w:t>
      </w:r>
      <w:r>
        <w:rPr>
          <w:rFonts w:ascii="Arial" w:cs="Arial" w:eastAsia="Arial" w:hAnsi="Arial"/>
          <w:sz w:val="17"/>
          <w:szCs w:val="17"/>
          <w:color w:val="auto"/>
        </w:rPr>
        <w:t>— We extend credit to our domestic customers and some foreign distributors based on their financial condition. We sometimes</w:t>
      </w:r>
      <w:r>
        <w:rPr>
          <w:rFonts w:ascii="Arial" w:cs="Arial" w:eastAsia="Arial" w:hAnsi="Arial"/>
          <w:sz w:val="17"/>
          <w:szCs w:val="17"/>
          <w:i w:val="1"/>
          <w:iCs w:val="1"/>
          <w:color w:val="auto"/>
        </w:rPr>
        <w:t xml:space="preserve"> </w:t>
      </w:r>
      <w:r>
        <w:rPr>
          <w:rFonts w:ascii="Arial" w:cs="Arial" w:eastAsia="Arial" w:hAnsi="Arial"/>
          <w:sz w:val="17"/>
          <w:szCs w:val="17"/>
          <w:color w:val="auto"/>
        </w:rPr>
        <w:t>offer discounts for early payment on invoices. When we believe the extension of credit is not advisable, we rely on either a prepayment or a letter of credit. We write off balances deemed uncollectible by us against our allowance for doubtful accounts. We estimate our allowance for doubtful accounts through current past due balances, knowledge of our customers’ financial situations, and past payment history.</w:t>
      </w:r>
    </w:p>
    <w:p>
      <w:pPr>
        <w:spacing w:after="0" w:line="17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i w:val="1"/>
          <w:iCs w:val="1"/>
          <w:color w:val="auto"/>
        </w:rPr>
        <w:t xml:space="preserve">Concentrations of Credit Risk </w:t>
      </w:r>
      <w:r>
        <w:rPr>
          <w:rFonts w:ascii="Arial" w:cs="Arial" w:eastAsia="Arial" w:hAnsi="Arial"/>
          <w:sz w:val="17"/>
          <w:szCs w:val="17"/>
          <w:color w:val="auto"/>
        </w:rPr>
        <w:t>— Financial instruments that potentially subject us to concentration of credit risk consist principally of cash,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trade receivables. We place our cash and cash equivalents in overnight U.S. government securities. Concentrations of credit risk with respect to trade receivables are limited by the large number of customers comprising our customer base and their geographic and business dispersion. We perform ongoing credit evaluations of our customers’ financial condition and generally do not require collateral.</w:t>
      </w:r>
    </w:p>
    <w:p>
      <w:pPr>
        <w:spacing w:after="0" w:line="17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For the year ended April 30, 2020, one of our customers accounted for approximately 10.5% of our net sales but did not exceed 10% of our accounts receivable. Three other customers each had greater than 10% of our accounts receivable and combined for a total of 37.7%. For the fiscal year ended April 30, 2019, none of our customers exceeded 10% of our net sales and one of our customers accounted for approximately 19.8% of our accounts receivable. For the fiscal year ended April 30, 2018, one of our customers accounted for 11.9% of our net sales and none of our customers accounted for 10% or more of our accounts receivable.</w:t>
      </w:r>
    </w:p>
    <w:p>
      <w:pPr>
        <w:spacing w:after="0" w:line="188"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We value inventories at the lower cost, using the first-in, first-out, or FIFO method, or net realizable value. An allowance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non-saleable inventory due to excess stock or obsolescence is based upon a detailed review of inventory, past history, and expected future usage.</w:t>
      </w:r>
    </w:p>
    <w:p>
      <w:pPr>
        <w:spacing w:after="0" w:line="124"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 We record property, plant, and equipment, consisting of land, building, improvements, machinery,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hardware, furniture, and fixtures, at cost and depreciate them using the straight-line method over their estimated useful lives. We charge expenditures for maintenance and repairs to earnings as incurred, and we capitalize additions, renewals, and betterments. Upon the retirement or other disposition of property and equipment, we remove the related cost and accumulated depreciation from the respective accounts and include any gain or loss in operations. We lease certain of our real estate, machinery, photocopiers, and vehicles under non-cancelable operating lease agreements, and we recognize expenses under our operating lease assets and liabilities at the commencement date based on the present value of lease payments over the lease term. The depreciable life of assets and leasehold improvements are based on the expected life of the lease. A summary of the estimated useful lives is as follows:</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8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Useful Life</w:t>
            </w:r>
          </w:p>
        </w:tc>
      </w:tr>
      <w:tr>
        <w:trPr>
          <w:trHeight w:val="210"/>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to 40 years</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Software and hardware</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 to 7 years</w:t>
            </w:r>
          </w:p>
        </w:tc>
      </w:tr>
      <w:tr>
        <w:trPr>
          <w:trHeight w:val="216"/>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 to 10 years</w:t>
            </w:r>
          </w:p>
        </w:tc>
      </w:tr>
    </w:tbl>
    <w:p>
      <w:pPr>
        <w:spacing w:after="0" w:line="24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We include tooling, dies, and fixtures as part of machinery and equipment and depreciate them over a period generally not exceeding ten years.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We record intangible assets at cost or based on the fair value of the assets acquired. Intangible assets consist of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customer relationships, trademarks, trade names, and patents. We amortize intangible assets over their estimated useful lives or in proportion to expected yearly revenue generated from the intangibles that were acquired.</w:t>
      </w:r>
    </w:p>
    <w:p>
      <w:pPr>
        <w:spacing w:after="0" w:line="1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We recognize revenue in accordance with the provisions of Accounting Standards Update, or ASU,</w:t>
      </w:r>
      <w:r>
        <w:rPr>
          <w:rFonts w:ascii="Arial" w:cs="Arial" w:eastAsia="Arial" w:hAnsi="Arial"/>
          <w:sz w:val="18"/>
          <w:szCs w:val="18"/>
          <w:i w:val="1"/>
          <w:iCs w:val="1"/>
          <w:color w:val="auto"/>
        </w:rPr>
        <w:t xml:space="preserve"> Revenue from Contracts with Customers (Topic 606)</w:t>
      </w:r>
      <w:r>
        <w:rPr>
          <w:rFonts w:ascii="Arial" w:cs="Arial" w:eastAsia="Arial" w:hAnsi="Arial"/>
          <w:sz w:val="18"/>
          <w:szCs w:val="18"/>
          <w:color w:val="auto"/>
        </w:rPr>
        <w:t>, which became effective for us on May 1, 2018. Generally, all performance obligations are satisfied and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when the risks and rewards of ownership have transferred to the customer, which is generally upon shipment but could be delayed until the receipt of customer acceptance.</w:t>
      </w:r>
    </w:p>
    <w:p>
      <w:pPr>
        <w:spacing w:after="0" w:line="18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which we have identified as a material right. The fulfillment of these free goods are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revenue related to the material right proportionally as each performance obligation is satisfied. The net change in contract liabilities for a given period is reported as an increase or decrease to sales.</w:t>
      </w:r>
    </w:p>
    <w:p>
      <w:pPr>
        <w:spacing w:after="0" w:line="19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Our product sales are generally sold free on board, or FOB, shipping point and provide payment terms to most commercial customers ranging from 20 to 90 days of product shipment with a discount available to some customers for early payment. Generally, framework contracts define the general terms of sales, including payment terms, freight terms, insurance requirements, and cancelation provisions. Purchase orders define the terms for specific sales, including description, quantity, and price of each product purchased. We estimate variable consideration relative to the amount of cash discounts to which customers are likely to be entitled. In some instances, we provide longer payment terms, particularly as it relates to our hunting dating programs, which represent payment terms due in the fall for certain orders of hunting products received in the spring and summer. As a result of utilizing practical expedience upon the adoption of ASC 606,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9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 We have two reporting segments: Firearms, which includes our Firearms and Manufacturing Services divisions;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Outdoor Products &amp; Accessories. See Note 20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more information regarding our segments.</w:t>
      </w:r>
    </w:p>
    <w:p>
      <w:pPr>
        <w:spacing w:after="0" w:line="170"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 We engage in both internal and external research and development, or R&amp;D, in order to remain competitive and to</w:t>
      </w:r>
      <w:r>
        <w:rPr>
          <w:rFonts w:ascii="Arial" w:cs="Arial" w:eastAsia="Arial" w:hAnsi="Arial"/>
          <w:sz w:val="17"/>
          <w:szCs w:val="17"/>
          <w:i w:val="1"/>
          <w:iCs w:val="1"/>
          <w:color w:val="auto"/>
        </w:rPr>
        <w:t xml:space="preserve"> </w:t>
      </w:r>
      <w:r>
        <w:rPr>
          <w:rFonts w:ascii="Arial" w:cs="Arial" w:eastAsia="Arial" w:hAnsi="Arial"/>
          <w:sz w:val="17"/>
          <w:szCs w:val="17"/>
          <w:color w:val="auto"/>
        </w:rPr>
        <w:t>exploit possible untapped market opportunities. We approve prospective R&amp;D projects after analysis of the cost and benefits associated with the potential product. Costs in R&amp;D expense include, among other items, salaries, materials, utilities, and administrative costs.</w:t>
      </w:r>
    </w:p>
    <w:p>
      <w:pPr>
        <w:spacing w:after="0" w:line="165"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(Loss)/</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 We calculate basic and diluted (loss)/earnings per common share in accordance with the provisions of ASC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(loss)/earnings per common share equals net (loss)/income divided by the weighted average number of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during the period. Diluted (loss)/earnings per common share equals net (loss)/income divided by the weighted average number of common shares outstanding during the period, including the effect of outstanding stock options and other stock-based instruments if their effect is dilutive.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following table provides a reconciliation of the net (loss)/income amounts and weighted average number of common and common equivalent shares used to determine basic and diluted (loss)/earnings per common share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For the Year Ended April 30,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2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rPr>
              <w:t>Net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
              <w:spacing w:after="0" w:line="147" w:lineRule="exact"/>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Net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3"/>
              <w:spacing w:after="0" w:line="147" w:lineRule="exact"/>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8"/>
              </w:rPr>
              <w:t>Per Share</w:t>
            </w:r>
          </w:p>
        </w:tc>
        <w:tc>
          <w:tcPr>
            <w:tcW w:w="100" w:type="dxa"/>
            <w:vAlign w:val="bottom"/>
          </w:tcPr>
          <w:p>
            <w:pPr>
              <w:spacing w:after="0"/>
              <w:rPr>
                <w:sz w:val="12"/>
                <w:szCs w:val="12"/>
                <w:color w:val="auto"/>
              </w:rPr>
            </w:pPr>
          </w:p>
        </w:tc>
      </w:tr>
      <w:tr>
        <w:trPr>
          <w:trHeight w:val="171"/>
        </w:trPr>
        <w:tc>
          <w:tcPr>
            <w:tcW w:w="266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7"/>
              </w:rPr>
              <w:t>Income</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4"/>
                <w:szCs w:val="14"/>
                <w:color w:val="auto"/>
              </w:rPr>
            </w:pPr>
          </w:p>
        </w:tc>
      </w:tr>
      <w:tr>
        <w:trPr>
          <w:trHeight w:val="209"/>
        </w:trPr>
        <w:tc>
          <w:tcPr>
            <w:tcW w:w="2660" w:type="dxa"/>
            <w:vAlign w:val="bottom"/>
            <w:shd w:val="clear" w:color="auto" w:fill="CFF0FC"/>
          </w:tcPr>
          <w:p>
            <w:pPr>
              <w:spacing w:after="0"/>
              <w:rPr>
                <w:sz w:val="20"/>
                <w:szCs w:val="20"/>
                <w:color w:val="auto"/>
              </w:rPr>
            </w:pPr>
            <w:r>
              <w:rPr>
                <w:rFonts w:ascii="Arial" w:cs="Arial" w:eastAsia="Arial" w:hAnsi="Arial"/>
                <w:sz w:val="16"/>
                <w:szCs w:val="16"/>
                <w:color w:val="auto"/>
              </w:rPr>
              <w:t>Basic (loss)/earnings</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(61,230)</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18,410</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54,483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FF0FC"/>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20,128</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54,061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FF0FC"/>
          </w:tcPr>
          <w:p>
            <w:pPr>
              <w:spacing w:after="0"/>
              <w:rPr>
                <w:sz w:val="18"/>
                <w:szCs w:val="18"/>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Effect of dilutive stock awards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26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2660" w:type="dxa"/>
            <w:vAlign w:val="bottom"/>
            <w:shd w:val="clear" w:color="auto" w:fill="CFF0FC"/>
          </w:tcPr>
          <w:p>
            <w:pPr>
              <w:spacing w:after="0"/>
              <w:rPr>
                <w:sz w:val="20"/>
                <w:szCs w:val="20"/>
                <w:color w:val="auto"/>
              </w:rPr>
            </w:pPr>
            <w:r>
              <w:rPr>
                <w:rFonts w:ascii="Arial" w:cs="Arial" w:eastAsia="Arial" w:hAnsi="Arial"/>
                <w:sz w:val="16"/>
                <w:szCs w:val="16"/>
                <w:color w:val="auto"/>
              </w:rPr>
              <w:t>Diluted (loss)/earnings</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(61,230)</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54,983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18,410</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55,216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20,128</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54,834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FF0FC"/>
          </w:tcPr>
          <w:p>
            <w:pPr>
              <w:spacing w:after="0"/>
              <w:rPr>
                <w:sz w:val="18"/>
                <w:szCs w:val="18"/>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All of our outstanding stock options and restricted stock units, or RSUs, were included in the computation of diluted earnings per share for the years ended April 30, 2019 and 2018.</w:t>
      </w:r>
    </w:p>
    <w:p>
      <w:pPr>
        <w:spacing w:after="0" w:line="170"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i w:val="1"/>
          <w:iCs w:val="1"/>
          <w:color w:val="auto"/>
        </w:rPr>
        <w:t xml:space="preserve">Valuation of Long-lived Tangible and Intangible Assets </w:t>
      </w:r>
      <w:r>
        <w:rPr>
          <w:rFonts w:ascii="Arial" w:cs="Arial" w:eastAsia="Arial" w:hAnsi="Arial"/>
          <w:sz w:val="16"/>
          <w:szCs w:val="16"/>
          <w:color w:val="auto"/>
        </w:rPr>
        <w:t>— We evaluate the recoverability of long-lived assets, or asset groups, whenever events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6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7"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changes in the manner or use of the assets or the strategy for our overall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significant decline in our stock price for a sustained period;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market capitalization below net book value.</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7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we test goodwill for impairment on an annual basis on February 1 and between annual tests if indicators of potential impairment exist. The impairment test compares the fair value of the operating units to their carrying amounts to assess whether impairment is present. We have reviewed the provisions of ASC 350-20, with respect to the criteria necessary to evaluate the number of reporting units that exist. Based on this review, we have two operating units when reviewing ASC 350-20: Firearms and Outdoor Products &amp; Accessories.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estimate the fair value of our Firearms and Outdoor Products &amp; Accessories operating units using an equal weighting of the fair values derived from the income approach and the market approach because we believe a market participant would equally weight both approaches when valuing the operating units.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operating unit being valued. Finally, we compare and reconcile our overall fair value to our market capitalization in order to assess the reasonableness of the calculated fair values of our operating units. We recognize an impairment loss for goodwill if the implied fair value of goodwill is less than the carrying value.</w:t>
      </w:r>
    </w:p>
    <w:p>
      <w:pPr>
        <w:spacing w:after="0" w:line="185"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 xml:space="preserve">As of our valuation date, February 1, 2020, our Firearms operating unit had $19.0 million of goodwill and its fair value significantly exceeded its carrying value. Our Outdoor Products &amp; Accessories operating unit had $163.2 million of goodwill and its fair value exceeded its carrying value by approximately 1.5%. </w:t>
      </w:r>
      <w:r>
        <w:rPr>
          <w:rFonts w:ascii="Arial" w:cs="Arial" w:eastAsia="Arial" w:hAnsi="Arial"/>
          <w:sz w:val="17"/>
          <w:szCs w:val="17"/>
          <w:color w:val="212529"/>
        </w:rPr>
        <w:t>On March 23, 2020, we determined that business in our Outdoor Products &amp; Accessories segment was expected to be negatively</w:t>
      </w:r>
      <w:r>
        <w:rPr>
          <w:rFonts w:ascii="Arial" w:cs="Arial" w:eastAsia="Arial" w:hAnsi="Arial"/>
          <w:sz w:val="17"/>
          <w:szCs w:val="17"/>
          <w:color w:val="auto"/>
        </w:rPr>
        <w:t xml:space="preserve"> </w:t>
      </w:r>
      <w:r>
        <w:rPr>
          <w:rFonts w:ascii="Arial" w:cs="Arial" w:eastAsia="Arial" w:hAnsi="Arial"/>
          <w:sz w:val="17"/>
          <w:szCs w:val="17"/>
          <w:color w:val="212529"/>
        </w:rPr>
        <w:t xml:space="preserve">impacted by several factors related to the COVID-19 pandemic, including a major online retail customer’s decision to halt or delay most non-essential product orders, COVID-19-related supply chain issues, as well as COVID-19-related “stay at home” orders and sporting goods store closures, which reduced retail foot traffic in many states. Given the extreme market volatility, we relied solely on the income approach to derive the current value of the Outdoor Products &amp; Accessories segment. Based on these factors, we expect reduced cash flows in our Outdoor Products &amp; Accessories segment, and we believe this constituted a triggering event under generally accepted accounting principles. Based on the results of this evaluation, we recorded a non-cash impairment charge of $98.7 million of goodwill in our Outdoor Products &amp; Accessories segment. As of April 30, 2020, our Outdoor Products &amp; Accessories operating unit had $64.6 million of goodwill. </w:t>
      </w:r>
      <w:r>
        <w:rPr>
          <w:rFonts w:ascii="Arial" w:cs="Arial" w:eastAsia="Arial" w:hAnsi="Arial"/>
          <w:sz w:val="17"/>
          <w:szCs w:val="17"/>
          <w:color w:val="000000"/>
        </w:rPr>
        <w:t>Although we concluded that there was no additional impairment of the goodwill associated with</w:t>
      </w:r>
      <w:r>
        <w:rPr>
          <w:rFonts w:ascii="Arial" w:cs="Arial" w:eastAsia="Arial" w:hAnsi="Arial"/>
          <w:sz w:val="17"/>
          <w:szCs w:val="17"/>
          <w:color w:val="212529"/>
        </w:rPr>
        <w:t xml:space="preserve"> </w:t>
      </w:r>
      <w:r>
        <w:rPr>
          <w:rFonts w:ascii="Arial" w:cs="Arial" w:eastAsia="Arial" w:hAnsi="Arial"/>
          <w:sz w:val="17"/>
          <w:szCs w:val="17"/>
          <w:color w:val="000000"/>
        </w:rPr>
        <w:t>our operating units as of April 30, 2020, we will continue to closely monitor their performance and related market conditions for future indicators of potential impairment and reassess accordingly. Our assumptions related to the development of fair value could deviate materially from actual results and forecasts used to support asset carrying values may change in the future, which could result in non-cash charges that would adversely affect our financial results of operations.</w:t>
      </w:r>
    </w:p>
    <w:p>
      <w:pPr>
        <w:spacing w:after="0" w:line="184"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We use the asset and liability approach for financial accounting and reporting income taxes. The provision for income taxes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upon income reported in the accompanying consolidated financial statements as required by ASC 740-10,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We determine deferred tax assets and liabilities based on temporary differences between financial reporting and tax bases in assets and liabilities and measure them by applying enacted rates and laws expected to be in place when the deferred items become subject to income tax or deductible for income tax purposes. We recognize the effect on deferred taxes and liabilities of a change in tax rates in the period that includes the enactment date. In assessing the realization of our deferred income tax assets, we consider whether it is more likely than not that the deferred income tax assets will be realized. The ultimate realization of our deferred income tax assets depends upon generating future taxable income during the periods in which our temporary differences become deductible and before our net operating loss carryforwards expire. We evaluate the recoverability of our deferred income tax assets by assessing the need for a valuation allowance on a quarterly basis. If we determine that it is more likely than not that our deferred income tax assets will not be recovered, we establish a valuation allowance against some or all of our deferred income tax assets. Recording or reversing a valuation allowance could have a significant effect on our future results of operations and financial position.</w:t>
      </w:r>
    </w:p>
    <w:p>
      <w:pPr>
        <w:spacing w:after="0" w:line="18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i w:val="1"/>
          <w:iCs w:val="1"/>
          <w:color w:val="auto"/>
        </w:rPr>
        <w:t xml:space="preserve">Warranty </w:t>
      </w:r>
      <w:r>
        <w:rPr>
          <w:rFonts w:ascii="Arial" w:cs="Arial" w:eastAsia="Arial" w:hAnsi="Arial"/>
          <w:sz w:val="17"/>
          <w:szCs w:val="17"/>
          <w:color w:val="auto"/>
        </w:rPr>
        <w:t>— We generally provide a limited one-year warranty and a lifetime service policy to the original purchaser of our new firearm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We either provide a limited one year or limited lifetime warranty program to the original purchaser of most of our outdoor products and accessories products and we will repair or replace any of our electro-optics products or parts that are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would be adversely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From time to time, we have experienced certain manufacturing and design issues with respect to some of our firearms and have initiated some product recalls and safety alerts in the past.</w:t>
      </w:r>
    </w:p>
    <w:p>
      <w:pPr>
        <w:spacing w:after="0" w:line="170"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In November 2011, we initiated a recall of all Thompson/Center Arms Venture rifles manufactured since the products’ introduction in mid-2009. In June 2013, we also initiated a recall of all Thompson/Center Arms bolt action rifles manufactured since the products’ introduction in 2007. In April 2018, we initiated a consumer advisory for certain models of our M&amp;P Shield EZ pistols because in rare circumstances the safety on the pistol will move from the fire position to the “safety on” position when using ammunition that produces a high level of felt recoil. In May 2018, we initiated a recall of certain models of our electro-optics products that incorporated diodes manufactured by a particular third party because the diodes failed to comply with a Food and Drug Administration, or FDA, standard for laser products. We have made efforts to notify all consumers that may be impacted by this recall. The remaining cost of all recalls, safety alerts, and consumer advisories is $683,000, which is recorded in accrued warranty on our consolidated balance sheet.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Warranty expense for the fiscal years ended April 30, 2020, 2019, and 2018 amounted to $1.6 million, $2.9 million, and $5.8 million, respectively.</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the change in accrued warranties, a portion of which is recorded as a non-current liability, in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2020, 2019, and 2018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April 30, 2018</w:t>
            </w: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FF0FC"/>
          </w:tcPr>
          <w:p>
            <w:pPr>
              <w:spacing w:after="0"/>
              <w:rPr>
                <w:sz w:val="19"/>
                <w:szCs w:val="19"/>
                <w:color w:val="auto"/>
              </w:rPr>
            </w:pPr>
          </w:p>
        </w:tc>
      </w:tr>
      <w:tr>
        <w:trPr>
          <w:trHeight w:val="229"/>
        </w:trPr>
        <w:tc>
          <w:tcPr>
            <w:tcW w:w="9020" w:type="dxa"/>
            <w:vAlign w:val="bottom"/>
          </w:tcPr>
          <w:p>
            <w:pPr>
              <w:ind w:left="260"/>
              <w:spacing w:after="0"/>
              <w:rPr>
                <w:sz w:val="20"/>
                <w:szCs w:val="20"/>
                <w:color w:val="auto"/>
              </w:rPr>
            </w:pPr>
            <w:r>
              <w:rPr>
                <w:rFonts w:ascii="Arial" w:cs="Arial" w:eastAsia="Arial" w:hAnsi="Arial"/>
                <w:sz w:val="18"/>
                <w:szCs w:val="18"/>
                <w:color w:val="auto"/>
              </w:rPr>
              <w:t>Warranties issued and adjustments to provisions</w:t>
            </w: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r>
      <w:tr>
        <w:trPr>
          <w:trHeight w:val="230"/>
        </w:trPr>
        <w:tc>
          <w:tcPr>
            <w:tcW w:w="9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Warranty claims</w:t>
            </w:r>
          </w:p>
        </w:tc>
        <w:tc>
          <w:tcPr>
            <w:tcW w:w="8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(4,163)</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Balance as of April 30, 2019</w:t>
            </w:r>
          </w:p>
        </w:tc>
        <w:tc>
          <w:tcPr>
            <w:tcW w:w="8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19"/>
                <w:szCs w:val="19"/>
                <w:color w:val="auto"/>
              </w:rPr>
            </w:pPr>
          </w:p>
        </w:tc>
      </w:tr>
      <w:tr>
        <w:trPr>
          <w:trHeight w:val="230"/>
        </w:trPr>
        <w:tc>
          <w:tcPr>
            <w:tcW w:w="9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Warranties issued and adjustments to provisions</w:t>
            </w: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FF0FC"/>
          </w:tcPr>
          <w:p>
            <w:pPr>
              <w:spacing w:after="0"/>
              <w:rPr>
                <w:sz w:val="19"/>
                <w:szCs w:val="19"/>
                <w:color w:val="auto"/>
              </w:rPr>
            </w:pPr>
          </w:p>
        </w:tc>
      </w:tr>
      <w:tr>
        <w:trPr>
          <w:trHeight w:val="229"/>
        </w:trPr>
        <w:tc>
          <w:tcPr>
            <w:tcW w:w="9020" w:type="dxa"/>
            <w:vAlign w:val="bottom"/>
          </w:tcPr>
          <w:p>
            <w:pPr>
              <w:ind w:left="260"/>
              <w:spacing w:after="0"/>
              <w:rPr>
                <w:sz w:val="20"/>
                <w:szCs w:val="20"/>
                <w:color w:val="auto"/>
              </w:rPr>
            </w:pPr>
            <w:r>
              <w:rPr>
                <w:rFonts w:ascii="Arial" w:cs="Arial" w:eastAsia="Arial" w:hAnsi="Arial"/>
                <w:sz w:val="18"/>
                <w:szCs w:val="18"/>
                <w:color w:val="auto"/>
              </w:rPr>
              <w:t>Warranty claims</w:t>
            </w:r>
          </w:p>
        </w:tc>
        <w:tc>
          <w:tcPr>
            <w:tcW w:w="8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(3,536)</w:t>
            </w:r>
          </w:p>
        </w:tc>
      </w:tr>
      <w:tr>
        <w:trPr>
          <w:trHeight w:val="223"/>
        </w:trPr>
        <w:tc>
          <w:tcPr>
            <w:tcW w:w="9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2020</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i w:val="1"/>
          <w:iCs w:val="1"/>
          <w:color w:val="auto"/>
        </w:rPr>
        <w:t xml:space="preserve">Sales and Promotional Related Expenses </w:t>
      </w:r>
      <w:r>
        <w:rPr>
          <w:rFonts w:ascii="Arial" w:cs="Arial" w:eastAsia="Arial" w:hAnsi="Arial"/>
          <w:sz w:val="17"/>
          <w:szCs w:val="17"/>
          <w:color w:val="auto"/>
        </w:rPr>
        <w:t>— We present product sales in our consolidated financial statements, net of customer promotional</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costs that depend upon the volume of sales. For promotional program costs that are not dependent on the volume of sales, we record promotional costs in cost of goods sold. The total of all our promotional programs amounted to $47.5 million, $39.2 million, and $58.2 million for the fiscal years ended April 30, 2020, 2019, and 2018, respectively. We have a co-op advertising program at the retail level. We expensed costs amounting to $26.3 million, $23.8 million, and $23.3 million for fiscal 2020, 2019, and 2018, respectively, as selling and marketing expenses.</w:t>
      </w:r>
    </w:p>
    <w:p>
      <w:pPr>
        <w:spacing w:after="0" w:line="176"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In the accompanying consolidated financial statements, we included amounts billed to customers for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in net sales. Beginning in fiscal 2020, inbound freight charges and internal transfer costs are included in cost of goods sold; however, costs incurred to distribute products to customers is included in selling, marketing, and distribution expenses. As a result of this change, we recorded $4.4 million of costs in selling, marketing, and distribution expenses that would have been recorded in cost of sales in the prior fiscal year. Prior to fiscal 2020, in our Firearms segment, we included costs relating to shipping and handling charges, including inbound freight charges, internal transfer costs, and the other costs of our distribution network, in cost of goods sold.</w:t>
      </w:r>
    </w:p>
    <w:p>
      <w:pPr>
        <w:spacing w:after="0" w:line="19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i w:val="1"/>
          <w:iCs w:val="1"/>
          <w:color w:val="auto"/>
        </w:rPr>
        <w:t xml:space="preserve">Insurance Reserves </w:t>
      </w:r>
      <w:r>
        <w:rPr>
          <w:rFonts w:ascii="Arial" w:cs="Arial" w:eastAsia="Arial" w:hAnsi="Arial"/>
          <w:sz w:val="18"/>
          <w:szCs w:val="18"/>
          <w:color w:val="auto"/>
        </w:rPr>
        <w:t>— In January 2020, we formed a wholly owned captive insurance company, which provides product liability insurance to us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subsidiaries. This captive insurance company was recorded in our consolidated financial statements for the fiscal year ended April 30, 2020. We are self-insured through retentions or deductibles for the majority of our workers’ compensation, automobile, general liability, product liability, and group health insurance programs. Self-insurance amounts vary up to $10.0 million per occurrence; however, we believe the likelihood of reaching the maximum per occurrence limit is remote. We record our liability for estimated premiums and incurred losses in the accompanying consolidated financial statements on an undiscounted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i w:val="1"/>
          <w:iCs w:val="1"/>
          <w:color w:val="auto"/>
        </w:rPr>
        <w:t xml:space="preserve">Recently Issued Accounting Standards </w:t>
      </w:r>
      <w:r>
        <w:rPr>
          <w:rFonts w:ascii="Arial" w:cs="Arial" w:eastAsia="Arial" w:hAnsi="Arial"/>
          <w:sz w:val="17"/>
          <w:szCs w:val="17"/>
          <w:color w:val="auto"/>
        </w:rPr>
        <w:t>— In February 2016, the Financial Accounting Standards Board, or FASB, issued ASU 2016-02, Leases</w:t>
      </w:r>
      <w:r>
        <w:rPr>
          <w:rFonts w:ascii="Arial" w:cs="Arial" w:eastAsia="Arial" w:hAnsi="Arial"/>
          <w:sz w:val="17"/>
          <w:szCs w:val="17"/>
          <w:i w:val="1"/>
          <w:iCs w:val="1"/>
          <w:color w:val="auto"/>
        </w:rPr>
        <w:t xml:space="preserve"> </w:t>
      </w:r>
      <w:r>
        <w:rPr>
          <w:rFonts w:ascii="Arial" w:cs="Arial" w:eastAsia="Arial" w:hAnsi="Arial"/>
          <w:sz w:val="17"/>
          <w:szCs w:val="17"/>
          <w:color w:val="auto"/>
        </w:rPr>
        <w:t>(Topic 842), or ASU 2016-02, which amends the existing guidance to require lessees to recognize right-of-use assets and lease liabilities in a classified balance sheet. The most prominent among the changes in the standard is the requirement for lessees to recognize right-of-use assets and lease liabilities for those leases classified as operating leases under current GAAP. The requirements of ASU 2016-02 are effective for financial statements for annual periods beginning after December 15, 2018, and early adoption is permitted. We utilized leasing software to assist us in the accounting and tracking of leases and used the optional transitional method allowed by ASU 2018-11, Leases (Topic 842): Targeted Improvements. Under this method, we applied the standard using the modified retrospective method with an adoption date of May 1, 2019. We elected to use the package of practical expedients, which permits us to not reassess certain lease contract provisions. We adopted ASU 2016-02 effective May 1, 2019 and recognized right-of-use assets of $11.5 million and lease liabilities of $12.8 million. The difference between the right-of-use assets and the lease liabilities of $1.3 million is a result of the reclassification of deferred rent and lease incentive liabilities primarily relating to our real estate operating leases into the right-of use assets, which had no impact to retained earnings. See also Note 4 — Leases, for more information.</w:t>
      </w:r>
    </w:p>
    <w:p>
      <w:pPr>
        <w:spacing w:after="0" w:line="18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In June 2016, the FASB issued ASU 2016-13, Financial Instruments — </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(Topic 326): Measurement of Credit Losses on Financial Instruments. The new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While we are currently evaluating the impact this standard will have on our consolidated financial statements, we do not expect the impact to be material.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lease certain of our real estate, machinery, photocopiers, and vehicles under non-cancelable operating lease agreements.</w:t>
      </w:r>
    </w:p>
    <w:p>
      <w:pPr>
        <w:spacing w:after="0" w:line="225"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6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Many of our leases include renewal options that can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amounts of assets and liabilities related to our operating and financing leases as of April 30, 2020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5020" w:type="dxa"/>
            <w:vAlign w:val="bottom"/>
            <w:gridSpan w:val="2"/>
          </w:tcPr>
          <w:p>
            <w:pPr>
              <w:ind w:left="1720"/>
              <w:spacing w:after="0"/>
              <w:rPr>
                <w:sz w:val="20"/>
                <w:szCs w:val="20"/>
                <w:color w:val="auto"/>
              </w:rPr>
            </w:pPr>
            <w:r>
              <w:rPr>
                <w:rFonts w:ascii="Arial" w:cs="Arial" w:eastAsia="Arial" w:hAnsi="Arial"/>
                <w:sz w:val="14"/>
                <w:szCs w:val="14"/>
                <w:b w:val="1"/>
                <w:bCs w:val="1"/>
                <w:color w:val="auto"/>
              </w:rPr>
              <w:t>Balance Sheet Caption</w:t>
            </w:r>
          </w:p>
        </w:tc>
        <w:tc>
          <w:tcPr>
            <w:tcW w:w="26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30, 2020</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4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Right-of-use assets</w:t>
            </w: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10,802</w:t>
            </w: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4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(2,232)</w:t>
            </w:r>
          </w:p>
        </w:tc>
      </w:tr>
      <w:tr>
        <w:trPr>
          <w:trHeight w:val="263"/>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Right-of-use assets, net</w:t>
            </w:r>
          </w:p>
        </w:tc>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Borders>
              <w:bottom w:val="single" w:sz="8" w:color="CFF0FC"/>
            </w:tcBorders>
          </w:tcPr>
          <w:p>
            <w:pPr>
              <w:spacing w:after="0"/>
              <w:rPr>
                <w:sz w:val="22"/>
                <w:szCs w:val="22"/>
                <w:color w:val="auto"/>
              </w:rPr>
            </w:pPr>
          </w:p>
        </w:tc>
      </w:tr>
      <w:tr>
        <w:trPr>
          <w:trHeight w:val="210"/>
        </w:trPr>
        <w:tc>
          <w:tcPr>
            <w:tcW w:w="4380" w:type="dxa"/>
            <w:vAlign w:val="bottom"/>
            <w:shd w:val="clear" w:color="auto" w:fill="CFF0FC"/>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502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7,488</w:t>
            </w:r>
          </w:p>
        </w:tc>
        <w:tc>
          <w:tcPr>
            <w:tcW w:w="120" w:type="dxa"/>
            <w:vAlign w:val="bottom"/>
            <w:shd w:val="clear" w:color="auto" w:fill="CFF0FC"/>
          </w:tcPr>
          <w:p>
            <w:pPr>
              <w:spacing w:after="0"/>
              <w:rPr>
                <w:sz w:val="19"/>
                <w:szCs w:val="19"/>
                <w:color w:val="auto"/>
              </w:rPr>
            </w:pPr>
          </w:p>
        </w:tc>
      </w:tr>
      <w:tr>
        <w:trPr>
          <w:trHeight w:val="263"/>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lease liabilities</w:t>
            </w:r>
          </w:p>
        </w:tc>
        <w:tc>
          <w:tcPr>
            <w:tcW w:w="48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CFF0FC"/>
            </w:tcBorders>
          </w:tcPr>
          <w:p>
            <w:pPr>
              <w:spacing w:after="0"/>
              <w:rPr>
                <w:sz w:val="22"/>
                <w:szCs w:val="22"/>
                <w:color w:val="auto"/>
              </w:rPr>
            </w:pP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Leases</w:t>
            </w:r>
          </w:p>
        </w:tc>
        <w:tc>
          <w:tcPr>
            <w:tcW w:w="4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Right-of-use assets</w:t>
            </w: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40,986</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4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(2,098)</w:t>
            </w:r>
          </w:p>
        </w:tc>
      </w:tr>
      <w:tr>
        <w:trPr>
          <w:trHeight w:val="263"/>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Right-of-use assets, net</w:t>
            </w:r>
          </w:p>
        </w:tc>
        <w:tc>
          <w:tcPr>
            <w:tcW w:w="50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38,888</w:t>
            </w:r>
          </w:p>
        </w:tc>
        <w:tc>
          <w:tcPr>
            <w:tcW w:w="120" w:type="dxa"/>
            <w:vAlign w:val="bottom"/>
            <w:tcBorders>
              <w:bottom w:val="single" w:sz="8" w:color="CFF0FC"/>
            </w:tcBorders>
          </w:tcPr>
          <w:p>
            <w:pPr>
              <w:spacing w:after="0"/>
              <w:rPr>
                <w:sz w:val="22"/>
                <w:szCs w:val="22"/>
                <w:color w:val="auto"/>
              </w:rPr>
            </w:pPr>
          </w:p>
        </w:tc>
      </w:tr>
      <w:tr>
        <w:trPr>
          <w:trHeight w:val="210"/>
        </w:trPr>
        <w:tc>
          <w:tcPr>
            <w:tcW w:w="4380" w:type="dxa"/>
            <w:vAlign w:val="bottom"/>
            <w:shd w:val="clear" w:color="auto" w:fill="CFF0FC"/>
          </w:tcPr>
          <w:p>
            <w:pPr>
              <w:spacing w:after="0"/>
              <w:rPr>
                <w:sz w:val="18"/>
                <w:szCs w:val="18"/>
                <w:color w:val="auto"/>
              </w:rPr>
            </w:pPr>
          </w:p>
        </w:tc>
        <w:tc>
          <w:tcPr>
            <w:tcW w:w="4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5020" w:type="dxa"/>
            <w:vAlign w:val="bottom"/>
            <w:gridSpan w:val="2"/>
          </w:tcPr>
          <w:p>
            <w:pPr>
              <w:spacing w:after="0"/>
              <w:rPr>
                <w:sz w:val="20"/>
                <w:szCs w:val="20"/>
                <w:color w:val="auto"/>
              </w:rPr>
            </w:pPr>
            <w:r>
              <w:rPr>
                <w:rFonts w:ascii="Arial" w:cs="Arial" w:eastAsia="Arial" w:hAnsi="Arial"/>
                <w:sz w:val="18"/>
                <w:szCs w:val="18"/>
                <w:color w:val="auto"/>
              </w:rPr>
              <w:t>Accrued expenses and deferred revenue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payable, net of current portion</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39,873</w:t>
            </w:r>
          </w:p>
        </w:tc>
        <w:tc>
          <w:tcPr>
            <w:tcW w:w="120" w:type="dxa"/>
            <w:vAlign w:val="bottom"/>
            <w:shd w:val="clear" w:color="auto" w:fill="CFF0FC"/>
          </w:tcPr>
          <w:p>
            <w:pPr>
              <w:spacing w:after="0"/>
              <w:rPr>
                <w:sz w:val="19"/>
                <w:szCs w:val="19"/>
                <w:color w:val="auto"/>
              </w:rPr>
            </w:pPr>
          </w:p>
        </w:tc>
      </w:tr>
      <w:tr>
        <w:trPr>
          <w:trHeight w:val="223"/>
        </w:trPr>
        <w:tc>
          <w:tcPr>
            <w:tcW w:w="4380" w:type="dxa"/>
            <w:vAlign w:val="bottom"/>
          </w:tcPr>
          <w:p>
            <w:pPr>
              <w:ind w:left="260"/>
              <w:spacing w:after="0"/>
              <w:rPr>
                <w:sz w:val="20"/>
                <w:szCs w:val="20"/>
                <w:color w:val="auto"/>
              </w:rPr>
            </w:pPr>
            <w:r>
              <w:rPr>
                <w:rFonts w:ascii="Arial" w:cs="Arial" w:eastAsia="Arial" w:hAnsi="Arial"/>
                <w:sz w:val="18"/>
                <w:szCs w:val="18"/>
                <w:color w:val="auto"/>
              </w:rPr>
              <w:t>Total finance lease liabilities</w:t>
            </w: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40,869</w:t>
            </w:r>
          </w:p>
        </w:tc>
        <w:tc>
          <w:tcPr>
            <w:tcW w:w="1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During the fiscal year ended April 30, 2020, we recorded $4.3 million of operating lease costs, of which $1.1 million related to short-term leases, and not recorded as right-of-use assets. We recorded $2.1 million of financing lease amortization, and $2.1 million of financing lease interest expense during fiscal 2020. As of April 30, 2020, our weighted average lease term and weighted average discount rate for our operating leases was 4.0 years and 4.5%, respectively. As of April 30, 2020, our weighted average lease term and weighted average discount rate for our financing leases was 18.5 years and</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5.0%, respectively, and consisted primarily of our distribution center located in Columbia, Missouri. The building is pledged to secure the amounts outstanding. The depreciable lives of right-of-use assets are limited by the lease term and are amortized on a straight-line basis over the life of the lease.</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lease payments for all our operating and finance leases for succeeding fiscal years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Financing</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2022</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2024</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Borders>
              <w:bottom w:val="single" w:sz="8" w:color="CFF0FC"/>
            </w:tcBorders>
          </w:tcPr>
          <w:p>
            <w:pPr>
              <w:spacing w:after="0"/>
              <w:rPr>
                <w:sz w:val="19"/>
                <w:szCs w:val="19"/>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2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75,933</w:t>
            </w:r>
          </w:p>
        </w:tc>
        <w:tc>
          <w:tcPr>
            <w:tcW w:w="100" w:type="dxa"/>
            <w:vAlign w:val="bottom"/>
            <w:shd w:val="clear" w:color="auto" w:fill="CFF0FC"/>
          </w:tcPr>
          <w:p>
            <w:pPr>
              <w:spacing w:after="0"/>
              <w:rPr>
                <w:sz w:val="19"/>
                <w:szCs w:val="19"/>
                <w:color w:val="auto"/>
              </w:rPr>
            </w:pPr>
          </w:p>
        </w:tc>
      </w:tr>
      <w:tr>
        <w:trPr>
          <w:trHeight w:val="22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amounts representing interest</w:t>
            </w:r>
          </w:p>
        </w:tc>
        <w:tc>
          <w:tcPr>
            <w:tcW w:w="2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(24,844)</w:t>
            </w:r>
          </w:p>
        </w:tc>
        <w:tc>
          <w:tcPr>
            <w:tcW w:w="100" w:type="dxa"/>
            <w:vAlign w:val="bottom"/>
            <w:tcBorders>
              <w:bottom w:val="single" w:sz="8" w:color="CFF0FC"/>
            </w:tcBorders>
          </w:tcPr>
          <w:p>
            <w:pPr>
              <w:spacing w:after="0"/>
              <w:rPr>
                <w:sz w:val="19"/>
                <w:szCs w:val="19"/>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payments</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51,089</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Less current maturities of lease liabilities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(2,663)</w:t>
            </w: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(3,659)</w:t>
            </w: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maturities of lease liabilities</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39,873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During the fiscal year ended April 30, 2020, the cash paid for amounts included in the measurement of the liabilities and the operating cash flows was $6.0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 and Contracts with Customers:</w:t>
      </w:r>
    </w:p>
    <w:p>
      <w:pPr>
        <w:spacing w:after="0" w:line="121"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 xml:space="preserve">On May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or ASU 2014-09, using the modified retrospective approach, and recorded a contract liability, included in accrued expenses in the condensed consolidated balance sheet, for outstanding performance obligations related to sales promotions. Under the modified retrospective approach, results for reporting periods after May 1, 2018 will be presented in accordance with ASU 2014-09, while prior period amounts will not be adjusted and will continue to be reported in accordance with the previous guidance, Accounting Standards Codification, or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When evaluating our performance obligations, we disaggregate revenue based on major product lines, which correlate with our reportable segments disclosed in Note 20 —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Domestic sales account for 95% of our total net sales. There are no significant judgments or estimates used in the determination of performance obligations, and the transaction price for the performance obligations are allocated on a pro-rata basis. There are no other contract costs that need to be considered based on the nature of our performance obligations.</w:t>
      </w:r>
    </w:p>
    <w:p>
      <w:pPr>
        <w:spacing w:after="0" w:line="18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outlines the impact of the adoption of ASU 2014-09 on revenue recognized during the year ended April 30,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performance obligations at beginning of period</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Revenue recognized</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(48,576)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(51,213)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 deferred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40,121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Outstanding performance obligations at end of period</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During fiscal 2020, we recognized $48.6 million of deferred revenue, of which $10.5 million was previously deferred as of April 30, 2019, as the performance obligations relating to sales promotions were satisfied. This recognition of revenue was partially offset by $50.4 million of additional deferred revenue for outstanding performance obligations incurred during fiscal 2020. This resulted in a $1.8 million net decrease in revenue recognized during fiscal 2020. We estimate that the majority of the revenue from the outstanding performance obligations as of April 30, 2020 will be recognized during our first quarter of fiscal 2021.</w:t>
      </w:r>
    </w:p>
    <w:p>
      <w:pPr>
        <w:spacing w:after="0" w:line="21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During fiscal 2019, we recognized $22.2 million of revenue previously deferred as of May 1, 2018 as the performance obligations relating to sales promotions were satisfied. In addition, we deferred $11.1 million during fiscal 2019, net of revenue recognized, as the performance obligations related to sales promotions were not satisfied, resulting in an outstanding performance obligation liability of $12.2 million that is recorded in accrued expenses in the consolidated balance sheet. During fiscal 2019, we recognized an $11.1 million net increase of revenue relating to the adoption of ASU 2014-09. As a result of the adoption of ASU 2014-09, for the year ended April 30, 2019, gross margin was unfavorably impacted by 400 basis points and earnings per share was increased by $0.03.</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carrying amount of goodwill by reporting segment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Outdoor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Products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4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rPr>
              <w:t>Firearm</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Accessories</w:t>
            </w:r>
          </w:p>
        </w:tc>
        <w:tc>
          <w:tcPr>
            <w:tcW w:w="24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2018</w:t>
            </w:r>
          </w:p>
        </w:tc>
        <w:tc>
          <w:tcPr>
            <w:tcW w:w="2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Adjustments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Acquisitions</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Goodwill impairment</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(10,396)</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(10,396)</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2019</w:t>
            </w:r>
          </w:p>
        </w:tc>
        <w:tc>
          <w:tcPr>
            <w:tcW w:w="2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163,245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Adjustments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(98,662)</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(98,662)</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as of April 30, 2020</w:t>
            </w:r>
          </w:p>
        </w:tc>
        <w:tc>
          <w:tcPr>
            <w:tcW w:w="2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64,581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83,605</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For more information regarding goodwill impairment testing, see Note 3 — </w:t>
      </w:r>
      <w:r>
        <w:rPr>
          <w:rFonts w:ascii="Arial" w:cs="Arial" w:eastAsia="Arial" w:hAnsi="Arial"/>
          <w:sz w:val="18"/>
          <w:szCs w:val="18"/>
          <w:i w:val="1"/>
          <w:iCs w:val="1"/>
          <w:color w:val="auto"/>
        </w:rPr>
        <w:t>Significant Accounting Policies — Valuation of Long-lived 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Intangible Assets </w:t>
      </w:r>
      <w:r>
        <w:rPr>
          <w:rFonts w:ascii="Arial" w:cs="Arial" w:eastAsia="Arial" w:hAnsi="Arial"/>
          <w:sz w:val="18"/>
          <w:szCs w:val="18"/>
          <w:color w:val="auto"/>
        </w:rPr>
        <w:t>to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7"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As of April 30, 2020, the goodwill recorded within our Outdoor Products &amp; Accessories segment is presented net of $109.1 million of accumulated impairment losses, all of which was recorded during fiscal 2020 and 2019. The goodwill within our Firearms segment has no accumulated impairment losses.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intangible assets as of April 30, 2020 and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April 30, 2020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April 30,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0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Carrying</w:t>
            </w:r>
          </w:p>
        </w:tc>
      </w:tr>
      <w:tr>
        <w:trPr>
          <w:trHeight w:val="171"/>
        </w:trPr>
        <w:tc>
          <w:tcPr>
            <w:tcW w:w="3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(52,981)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(41,643)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Developed technology</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(12,705)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(10,428)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and trade names</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(34,320)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(28,479)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28,998</w:t>
            </w:r>
          </w:p>
        </w:tc>
        <w:tc>
          <w:tcPr>
            <w:tcW w:w="10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Backlog</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6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173,335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(101,156)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(81,700)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Patents in progress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174,480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(101,156)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(81,700)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(101,156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$19.5 million, $22.0 million, and $21.0 million for the fiscal years ended April 30, 2020, 2019, and 2018, respectively.</w:t>
      </w:r>
    </w:p>
    <w:p>
      <w:pPr>
        <w:spacing w:after="0" w:line="18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represents future expected amortization expense as of April 30, 2020, which will primarily be recorded in our Outdoor Products &amp; Accessories segment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19"/>
                <w:szCs w:val="19"/>
                <w:color w:val="auto"/>
              </w:rPr>
            </w:pP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Borders>
              <w:bottom w:val="single" w:sz="8" w:color="CFF0FC"/>
            </w:tcBorders>
          </w:tcPr>
          <w:p>
            <w:pPr>
              <w:spacing w:after="0"/>
              <w:rPr>
                <w:sz w:val="19"/>
                <w:szCs w:val="19"/>
                <w:color w:val="auto"/>
              </w:rPr>
            </w:pPr>
          </w:p>
        </w:tc>
      </w:tr>
      <w:tr>
        <w:trPr>
          <w:trHeight w:val="223"/>
        </w:trPr>
        <w:tc>
          <w:tcPr>
            <w:tcW w:w="9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and Loans Payable and Financing Arrangements</w:t>
      </w:r>
    </w:p>
    <w:p>
      <w:pPr>
        <w:spacing w:after="0" w:line="121"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i w:val="1"/>
          <w:iCs w:val="1"/>
          <w:color w:val="auto"/>
        </w:rPr>
        <w:t xml:space="preserve">Credit Facilities – </w:t>
      </w:r>
      <w:r>
        <w:rPr>
          <w:rFonts w:ascii="Arial" w:cs="Arial" w:eastAsia="Arial" w:hAnsi="Arial"/>
          <w:sz w:val="17"/>
          <w:szCs w:val="17"/>
          <w:color w:val="auto"/>
        </w:rPr>
        <w:t>On June 15, 2015, we and certain of our domestic subsidiaries entered into an unsecured credit facility, or the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TD Bank, N.A. and other lenders, or the Lenders, which included a $175.0 million revolving line of credit, or the Revolving Line, and a $105.0 million term loan, or the Term Loan. The Term Loan was paid in full on November 19, 2019 with proceeds from the Revolving Line. The Revolving Line provides for availability for general corporate purposes, with borrowings to bear interest at a variable rate equal to LIBOR or prime plus an applicable margin based on our consolidated leverage ratio, at our election. On October 27, 2016, we entered into a second amendment to our Credit Agreement, or the Second Amendment, which, among other things, increased the Revolving Line to $350.0 million, increased the option to expand the credit commitment to an additional $150.0 million, and extended the maturity of the Revolving Line from June 15, 2020 to October 27, 2021. On November 22, 2019, we entered into a fifth amendment to our Credit Agreement, or the Fifth Amendment, which, among other things, provides the Lenders’ consent to the spin-off of our outdoor products and accessories business, provided that certain financial conditions are satisfied, including (x) granting the Lenders security interest in the assets of the remaining business, (y) reducing the Revolving Line to $250.0 million at the time of the spin-off, and (z) reducing the option to expand the credit agreement to $50.0 million at the time of the spin-off. Other than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described in the Second and Fifth Amendments, we otherwise remain subject to the terms of the Credit Agreement, as described below. We incurred $875,000 of debt issuance costs related to the Fifth Amendment.</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April 30, 2020, we had $160.0 million of borrowings outstanding under the Revolving Line, which bore interest at 2.95%, which is equal to the LIBOR rate plus an applicable margin based on our consolidated leverage ratio.</w:t>
      </w:r>
    </w:p>
    <w:p>
      <w:pPr>
        <w:spacing w:after="0" w:line="170"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were required to obtain interest rate protection on the Term Loan covering not less than 75% of the aggregate outstanding principal balance of the Term Loan. Accordingly, on June 18, 2015, we entered into an interest rate swap agreement that covered 100% of the $105.0 million of floating rate debt. On July 6, 2015, we executed an interest rate swap pursuant to such agreement, which required us to pay interest at a defined rate of 1.56% while receiving interest at a defined variable rate equal to the one-month LIBOR rate. This swap, when combined with the applicable margin based on our consolidated leverage ratio, effectively fixed our interest rate on the Term Loan, which was subject to change based on changes in our consolidated leverage ratio. In accordance with the repayment of the Term Loan on November 19, 2019, the interest rate swap was terminated resulting in a realized gain of approximately $40,000.</w:t>
      </w:r>
    </w:p>
    <w:p>
      <w:pPr>
        <w:spacing w:after="0" w:line="195"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recognize derivatives as either assets or liabilities on our consolidated balance sheets at fair value. The accounting for changes in the fair value (i.e., unrealized gains or losses) of a derivative instrument depends on whether it has been designated and qualifies as part of a hedging relationship and on the type of hedging relationship. Derivatives that do not qualify for hedge accounting must be adjusted to fair value through earnings. Our interest rate swap agreement is considered effective and qualifies as a cash flow hedge. The effective portion of the gain or loss on the derivative that is designated and qualifies as a cash flow hedge is recorded as a component of accumulated other comprehensive income or loss and reclassified into earnings in the same period or periods during which the hedged transaction affects earnings. As of April 30, 2019, the interest rate swap was considered effective and had no effect on earnings. The fair value of the interest rate swap on April 30, 2019 and 2018 was an asset of $710,000 and $2.1 million, respectively, and was recorded in other assets on our consolidated balance sheet.</w:t>
      </w:r>
    </w:p>
    <w:p>
      <w:pPr>
        <w:spacing w:after="0" w:line="20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i w:val="1"/>
          <w:iCs w:val="1"/>
          <w:color w:val="auto"/>
        </w:rPr>
        <w:t xml:space="preserve">2018 Senior Notes </w:t>
      </w:r>
      <w:r>
        <w:rPr>
          <w:rFonts w:ascii="Arial" w:cs="Arial" w:eastAsia="Arial" w:hAnsi="Arial"/>
          <w:sz w:val="18"/>
          <w:szCs w:val="18"/>
          <w:color w:val="auto"/>
        </w:rPr>
        <w:t>– During fiscal 2015, we issued an aggregate of $75.0 million of 5.000% Senior Notes due 2018, or the 2018 Senior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institutional investors pursuant to the terms and conditions of an indenture and purchase agreements. The 2018 Senior Notes bear interest at a rate of 5.000% per annum payable on January 15 and July 15 of each year, beginning on January 15, 2015. We incurred $2.3 million of debt issuance costs related to the issuance of the 2018 Senior Notes. As discussed below, the 2018 Senior Notes were redeemed on March 8, 2018 with proceeds from the issuance of 5.000% Senior Notes due 2020. As part of the redemption, in fiscal 2018, we wrote off $226,000 of debt issuance costs related to the 2018 Senior Notes.</w:t>
      </w:r>
    </w:p>
    <w:p>
      <w:pPr>
        <w:spacing w:after="0" w:line="192"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i w:val="1"/>
          <w:iCs w:val="1"/>
          <w:color w:val="auto"/>
        </w:rPr>
        <w:t xml:space="preserve">2020 Senior Notes </w:t>
      </w:r>
      <w:r>
        <w:rPr>
          <w:rFonts w:ascii="Arial" w:cs="Arial" w:eastAsia="Arial" w:hAnsi="Arial"/>
          <w:sz w:val="16"/>
          <w:szCs w:val="16"/>
          <w:color w:val="auto"/>
        </w:rPr>
        <w:t>– On February 28, 2018, we issued an aggregate of $75.0 million of 5.000% Senior Notes due 2020, or the 2020 Senior Notes,</w:t>
      </w:r>
      <w:r>
        <w:rPr>
          <w:rFonts w:ascii="Arial" w:cs="Arial" w:eastAsia="Arial" w:hAnsi="Arial"/>
          <w:sz w:val="16"/>
          <w:szCs w:val="16"/>
          <w:i w:val="1"/>
          <w:iCs w:val="1"/>
          <w:color w:val="auto"/>
        </w:rPr>
        <w:t xml:space="preserve"> </w:t>
      </w:r>
      <w:r>
        <w:rPr>
          <w:rFonts w:ascii="Arial" w:cs="Arial" w:eastAsia="Arial" w:hAnsi="Arial"/>
          <w:sz w:val="16"/>
          <w:szCs w:val="16"/>
          <w:color w:val="auto"/>
        </w:rPr>
        <w:t>to various institutional investors pursuant to the terms and conditions of an indenture, or the 2020 Senior Notes Indenture, and purchase agreements. The 2020 Senior Notes bore interest at a rate of 5.000% per annum payable on February 28 and August 28 of each year, beginning on August 28, 2018. We incurred $158,000 of debt issuance costs related to the issuance of the 2020 Senior Notes. On January 6, 2020, or the Redemption Date, we redeemed 100% of the principal amount of the 2020 Senior Notes, plus accrued and unpaid interest to, but not including, the Redemption Date, with proceeds from the Revolving Line. As part of the redemption, we wrote off $42,000 of debt issuance costs related to the 2020 Senior Notes.</w:t>
      </w:r>
    </w:p>
    <w:p>
      <w:pPr>
        <w:spacing w:after="0" w:line="164"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i w:val="1"/>
          <w:iCs w:val="1"/>
          <w:color w:val="auto"/>
        </w:rPr>
        <w:t xml:space="preserve">Debt Issuance Costs </w:t>
      </w:r>
      <w:r>
        <w:rPr>
          <w:rFonts w:ascii="Arial" w:cs="Arial" w:eastAsia="Arial" w:hAnsi="Arial"/>
          <w:sz w:val="16"/>
          <w:szCs w:val="16"/>
          <w:color w:val="auto"/>
        </w:rPr>
        <w:t>— We recorded, in notes payable, $875,000 of debt issuance costs for the fiscal year ended April 30, 2020. We did not record</w:t>
      </w:r>
      <w:r>
        <w:rPr>
          <w:rFonts w:ascii="Arial" w:cs="Arial" w:eastAsia="Arial" w:hAnsi="Arial"/>
          <w:sz w:val="16"/>
          <w:szCs w:val="16"/>
          <w:i w:val="1"/>
          <w:iCs w:val="1"/>
          <w:color w:val="auto"/>
        </w:rPr>
        <w:t xml:space="preserve"> </w:t>
      </w:r>
      <w:r>
        <w:rPr>
          <w:rFonts w:ascii="Arial" w:cs="Arial" w:eastAsia="Arial" w:hAnsi="Arial"/>
          <w:sz w:val="16"/>
          <w:szCs w:val="16"/>
          <w:color w:val="auto"/>
        </w:rPr>
        <w:t>any debt issuance costs during the fiscal year ended April 30, 2019. We recorded, in notes payable, $158,000 of debt issuance costs for the fiscal years ended April 30, 2018. These costs are being amortized to expense over the life of the credit facility. In total, we amortized $687,000, $431,000, and $1.1 million to interest expense for all debt issuance costs in fiscal 2020, 2019, and 2018, respectively, including write-offs related to extinguishment.</w:t>
      </w:r>
    </w:p>
    <w:p>
      <w:pPr>
        <w:spacing w:after="0" w:line="15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Credit Agreement for our credit facility contains financial covenants relating to maintaining maximum leverage and minimum debt service coverage.</w:t>
      </w:r>
    </w:p>
    <w:p>
      <w:pPr>
        <w:spacing w:after="0" w:line="170"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At April 30, 2020, we had outstanding letters of credit aggregating $2.2 million, which included a $1.5 million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to collateralize our newly created captive insurance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Sales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breakdown of net sales for the fiscal years ended April 30, 2020, 2019, and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right"/>
              <w:ind w:right="187"/>
              <w:spacing w:after="0"/>
              <w:rPr>
                <w:sz w:val="20"/>
                <w:szCs w:val="20"/>
                <w:color w:val="auto"/>
              </w:rPr>
            </w:pPr>
            <w:r>
              <w:rPr>
                <w:rFonts w:ascii="Arial" w:cs="Arial" w:eastAsia="Arial" w:hAnsi="Arial"/>
                <w:sz w:val="14"/>
                <w:szCs w:val="14"/>
                <w:b w:val="1"/>
                <w:bCs w:val="1"/>
                <w:color w:val="auto"/>
              </w:rPr>
              <w:t>For the Years Ended April 30,</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Handguns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390,712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336,901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326,290</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Long Guns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90,222</w:t>
            </w:r>
          </w:p>
        </w:tc>
        <w:tc>
          <w:tcPr>
            <w:tcW w:w="10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Products &amp; Services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33,775</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33,859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32,474</w:t>
            </w:r>
          </w:p>
        </w:tc>
        <w:tc>
          <w:tcPr>
            <w:tcW w:w="100" w:type="dxa"/>
            <w:vAlign w:val="bottom"/>
            <w:shd w:val="clear" w:color="auto" w:fill="CFF0FC"/>
          </w:tcPr>
          <w:p>
            <w:pPr>
              <w:spacing w:after="0"/>
              <w:rPr>
                <w:sz w:val="19"/>
                <w:szCs w:val="19"/>
                <w:color w:val="auto"/>
              </w:rPr>
            </w:pPr>
          </w:p>
        </w:tc>
      </w:tr>
      <w:tr>
        <w:trPr>
          <w:trHeight w:val="223"/>
        </w:trPr>
        <w:tc>
          <w:tcPr>
            <w:tcW w:w="6520" w:type="dxa"/>
            <w:vAlign w:val="bottom"/>
          </w:tcPr>
          <w:p>
            <w:pPr>
              <w:ind w:left="260"/>
              <w:spacing w:after="0"/>
              <w:rPr>
                <w:sz w:val="20"/>
                <w:szCs w:val="20"/>
                <w:color w:val="auto"/>
              </w:rPr>
            </w:pPr>
            <w:r>
              <w:rPr>
                <w:rFonts w:ascii="Arial" w:cs="Arial" w:eastAsia="Arial" w:hAnsi="Arial"/>
                <w:sz w:val="18"/>
                <w:szCs w:val="18"/>
                <w:color w:val="auto"/>
              </w:rPr>
              <w:t>Firearms Segment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478,477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448,986</w:t>
            </w:r>
          </w:p>
        </w:tc>
        <w:tc>
          <w:tcPr>
            <w:tcW w:w="10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Outdoor Products &amp; Accessories Segment</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152,363</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157,864</w:t>
            </w:r>
          </w:p>
        </w:tc>
        <w:tc>
          <w:tcPr>
            <w:tcW w:w="100" w:type="dxa"/>
            <w:vAlign w:val="bottom"/>
            <w:shd w:val="clear" w:color="auto" w:fill="CFF0FC"/>
          </w:tcPr>
          <w:p>
            <w:pPr>
              <w:spacing w:after="0"/>
              <w:rPr>
                <w:sz w:val="19"/>
                <w:szCs w:val="19"/>
                <w:color w:val="auto"/>
              </w:rPr>
            </w:pPr>
          </w:p>
        </w:tc>
      </w:tr>
      <w:tr>
        <w:trPr>
          <w:trHeight w:val="223"/>
        </w:trPr>
        <w:tc>
          <w:tcPr>
            <w:tcW w:w="6520" w:type="dxa"/>
            <w:vAlign w:val="bottom"/>
          </w:tcPr>
          <w:p>
            <w:pPr>
              <w:ind w:left="26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638,277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606,850</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sell our products and services in our Firearms segment under our Smith &amp; Wesson, M&amp;P, Performance Center, Gemtech, Thompson/Center Arms, and Smith &amp; Wesson Precision Components brands. Depending upon the product or service, our firearm customers primarily include distributors; federal, state, and municipal law enforcement agencies and officers; government and military agencies; businesses; and retailers. We sell our outdoor products &amp; accessories products under our Caldwell, Wheeler, Tipton, Frankford Arsenal, Hooyman, BOG, MEAT!, Uncle Henry, Old Timer, Imperial, Crimson Trace, LaserLyte, Lockdown, UST, BUBBA, and Schrade, and we license from our Firearms segment for use in association with certain products that we sell, including M&amp;P, Smith &amp; Wesson, Performance Center by Smith &amp; Wesson, and Thompson/Center Arms. Our outdoor products and accessories customers include online retailers, sports specialty stores, sporting goods stores, dealers and distributors, mass market, home and auto retailers, and direct-to-consumers.</w:t>
      </w:r>
    </w:p>
    <w:p>
      <w:pPr>
        <w:spacing w:after="0" w:line="192"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We sell our products worldwide. The following table sets forth the breakdown of export net sales included in the above table. Our export net sales accounted for 4%, 5%, and 5% of total net sales for the fiscal years ended April 30, 2020, 2019, and 2018, respectively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Region</w:t>
            </w:r>
          </w:p>
        </w:tc>
        <w:tc>
          <w:tcPr>
            <w:tcW w:w="3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187"/>
              <w:spacing w:after="0"/>
              <w:rPr>
                <w:sz w:val="20"/>
                <w:szCs w:val="20"/>
                <w:color w:val="auto"/>
              </w:rPr>
            </w:pPr>
            <w:r>
              <w:rPr>
                <w:rFonts w:ascii="Arial" w:cs="Arial" w:eastAsia="Arial" w:hAnsi="Arial"/>
                <w:sz w:val="14"/>
                <w:szCs w:val="14"/>
                <w:b w:val="1"/>
                <w:bCs w:val="1"/>
                <w:color w:val="auto"/>
              </w:rPr>
              <w:t>For the Years Ended April 30,</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60" w:type="dxa"/>
            <w:vAlign w:val="bottom"/>
            <w:tcBorders>
              <w:bottom w:val="single" w:sz="8" w:color="CFF0FC"/>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Asia</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Latin America</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others international</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international net sales (a)</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26,187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33,024</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international sales were negatively impacted in our fourth fiscal quarter as a result of COVID-19 pandemic.</w:t>
      </w:r>
    </w:p>
    <w:p>
      <w:pPr>
        <w:spacing w:after="0" w:line="22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7"/>
          <w:szCs w:val="17"/>
          <w:color w:val="auto"/>
        </w:rPr>
        <w:t>Our Firearm and Outdoor Products &amp; Accessories segments own tooling that is located at various suppliers in Asia and North America.</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Advertising Costs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expense advertising costs, primarily consisting of magazine advertisements, printed materials, and television advertisements, either as incurred or upon the first occurrence of the advertising. Advertising expense, included in selling and marketing expenses for the fiscal years ended April 30, 2020, 2019, and 2018, amounted to $28.1 million, $24.3 million, and $25.8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property, plant, and equipment as of April 30, 2020 and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30, 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279,005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Software and hardware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50,671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47,587</w:t>
            </w: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Building and improvements</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34,584</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Land and improvements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46246</w:t>
            </w:r>
          </w:p>
        </w:tc>
        <w:tc>
          <w:tcPr>
            <w:tcW w:w="120" w:type="dxa"/>
            <w:vAlign w:val="bottom"/>
            <w:shd w:val="clear" w:color="auto" w:fill="CFF0FC"/>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410,635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403,019</w:t>
            </w:r>
          </w:p>
        </w:tc>
        <w:tc>
          <w:tcPr>
            <w:tcW w:w="12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(260,475)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(228,306)</w:t>
            </w:r>
          </w:p>
        </w:tc>
      </w:tr>
      <w:tr>
        <w:trPr>
          <w:trHeight w:val="223"/>
        </w:trPr>
        <w:tc>
          <w:tcPr>
            <w:tcW w:w="7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174,713</w:t>
            </w:r>
          </w:p>
        </w:tc>
        <w:tc>
          <w:tcPr>
            <w:tcW w:w="12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120" w:type="dxa"/>
            <w:vAlign w:val="bottom"/>
            <w:shd w:val="clear" w:color="auto" w:fill="CFF0FC"/>
          </w:tcPr>
          <w:p>
            <w:pPr>
              <w:spacing w:after="0"/>
              <w:rPr>
                <w:sz w:val="19"/>
                <w:szCs w:val="19"/>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183,268</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Depreciation of tangible assets and amortization of software expense amounted to $33.9 million, $31.4 million, and $30.0 million for the fiscal years ended April 30, 2020, 2019, and 2018, respectively.</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summarizes depreciation and amortization expense, which includes amortization of intangibles and debt financing costs, by line item for the fiscal years ended April 30, 2020, 2019, and 2018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187"/>
              <w:spacing w:after="0"/>
              <w:rPr>
                <w:sz w:val="20"/>
                <w:szCs w:val="20"/>
                <w:color w:val="auto"/>
              </w:rPr>
            </w:pPr>
            <w:r>
              <w:rPr>
                <w:rFonts w:ascii="Arial" w:cs="Arial" w:eastAsia="Arial" w:hAnsi="Arial"/>
                <w:sz w:val="14"/>
                <w:szCs w:val="14"/>
                <w:b w:val="1"/>
                <w:bCs w:val="1"/>
                <w:color w:val="auto"/>
              </w:rPr>
              <w:t>For the Years Ended April 30,</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24,217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24,582</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General and administrative (a)</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28,039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25,212</w:t>
            </w:r>
          </w:p>
        </w:tc>
        <w:tc>
          <w:tcPr>
            <w:tcW w:w="10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FF0FC"/>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depreciation and amortization</w:t>
            </w: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54,058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52,075</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and administrative expenses included $19.0 million, $21.8 million, and $20.8 million of amortization for the fiscal years ended April 30, 2020, 2019, and 2018, respectively, which were recorded as a result of our acquisitions.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Inventories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table sets forth a summary of inventories, net of reserves, stated at lower of cost or market, as of April 30, 2020 and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4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111,169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Finished parts</w:t>
            </w: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36,181</w:t>
            </w:r>
          </w:p>
        </w:tc>
        <w:tc>
          <w:tcPr>
            <w:tcW w:w="12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4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w:t>
            </w:r>
          </w:p>
        </w:tc>
        <w:tc>
          <w:tcPr>
            <w:tcW w:w="120" w:type="dxa"/>
            <w:vAlign w:val="bottom"/>
            <w:shd w:val="clear" w:color="auto" w:fill="CFF0FC"/>
          </w:tcPr>
          <w:p>
            <w:pPr>
              <w:spacing w:after="0"/>
              <w:rPr>
                <w:sz w:val="19"/>
                <w:szCs w:val="19"/>
                <w:color w:val="auto"/>
              </w:rPr>
            </w:pPr>
          </w:p>
        </w:tc>
      </w:tr>
      <w:tr>
        <w:trPr>
          <w:trHeight w:val="230"/>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w:t>
            </w:r>
          </w:p>
        </w:tc>
        <w:tc>
          <w:tcPr>
            <w:tcW w:w="4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11,766</w:t>
            </w:r>
          </w:p>
        </w:tc>
        <w:tc>
          <w:tcPr>
            <w:tcW w:w="120" w:type="dxa"/>
            <w:vAlign w:val="bottom"/>
            <w:tcBorders>
              <w:bottom w:val="single" w:sz="8" w:color="CFF0FC"/>
            </w:tcBorders>
          </w:tcPr>
          <w:p>
            <w:pPr>
              <w:spacing w:after="0"/>
              <w:rPr>
                <w:sz w:val="19"/>
                <w:szCs w:val="19"/>
                <w:color w:val="auto"/>
              </w:rPr>
            </w:pPr>
          </w:p>
        </w:tc>
      </w:tr>
      <w:tr>
        <w:trPr>
          <w:trHeight w:val="223"/>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4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164,191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3340" w:type="dxa"/>
            <w:vAlign w:val="bottom"/>
          </w:tcPr>
          <w:p>
            <w:pPr>
              <w:spacing w:after="0"/>
              <w:rPr>
                <w:sz w:val="24"/>
                <w:szCs w:val="24"/>
                <w:color w:val="auto"/>
              </w:rPr>
            </w:pPr>
          </w:p>
        </w:tc>
        <w:tc>
          <w:tcPr>
            <w:tcW w:w="4600" w:type="dxa"/>
            <w:vAlign w:val="bottom"/>
            <w:gridSpan w:val="2"/>
          </w:tcPr>
          <w:p>
            <w:pPr>
              <w:jc w:val="right"/>
              <w:ind w:right="2050"/>
              <w:spacing w:after="0"/>
              <w:rPr>
                <w:sz w:val="20"/>
                <w:szCs w:val="20"/>
                <w:color w:val="auto"/>
              </w:rPr>
            </w:pPr>
            <w:r>
              <w:rPr>
                <w:rFonts w:ascii="Arial" w:cs="Arial" w:eastAsia="Arial" w:hAnsi="Arial"/>
                <w:sz w:val="18"/>
                <w:szCs w:val="18"/>
                <w:color w:val="auto"/>
              </w:rPr>
              <w:t>F-22</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 and Deferred 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other accrued expenses as of April 30, 2020 and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taxes other than income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21,461</w:t>
            </w:r>
          </w:p>
        </w:tc>
        <w:tc>
          <w:tcPr>
            <w:tcW w:w="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14,744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Accrued rebates and promotions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Right-of-use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Accrued distributor incentives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Accrued commissions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portion of capital lease obligation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w:t>
            </w:r>
          </w:p>
        </w:tc>
        <w:tc>
          <w:tcPr>
            <w:tcW w:w="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10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accrued expenses and deferred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64,602</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39,322</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in accrued taxes other than income is due to the deferral of federal excise tax payments allowed by the Tax and Trade Bureau as a result of the COVID-19 pandemic</w:t>
      </w:r>
      <w:r>
        <w:rPr>
          <w:rFonts w:ascii="Arial" w:cs="Arial" w:eastAsia="Arial" w:hAnsi="Arial"/>
          <w:sz w:val="18"/>
          <w:szCs w:val="18"/>
          <w:i w:val="1"/>
          <w:i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9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Financial assets and liabilities recorded on the accompanying consolidated balance sheets are categorized based on the inputs to the valuation techniques as follows: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 at the measurement date (examples include active exchange-traded equity securities, listed derivatives, and most U.S. Government and agency securities).</w:t>
      </w:r>
    </w:p>
    <w:p>
      <w:pPr>
        <w:spacing w:after="0" w:line="18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Our cash and cash equivalents, which are measured at fair value on a recurring basis, totaled $125.4 million and $41.0 million as of April 30, 2020 and 2019, respectively. We utilized Level 1 of the value hierarchy to determine the fair values of these assets.</w:t>
      </w:r>
    </w:p>
    <w:p>
      <w:pPr>
        <w:spacing w:after="0" w:line="170"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are based on quoted prices of instruments with similar attributes in active markets. Level 2 inputs include the following:</w:t>
      </w:r>
    </w:p>
    <w:p>
      <w:pPr>
        <w:spacing w:after="0" w:line="62" w:lineRule="exact"/>
        <w:rPr>
          <w:sz w:val="20"/>
          <w:szCs w:val="20"/>
          <w:color w:val="auto"/>
        </w:rPr>
      </w:pPr>
    </w:p>
    <w:p>
      <w:pPr>
        <w:ind w:left="1020" w:hanging="43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(such as corporate and municipal bonds which trade infrequently);</w:t>
      </w:r>
    </w:p>
    <w:p>
      <w:pPr>
        <w:spacing w:after="0" w:line="62" w:lineRule="exact"/>
        <w:rPr>
          <w:rFonts w:ascii="Arial" w:cs="Arial" w:eastAsia="Arial" w:hAnsi="Arial"/>
          <w:sz w:val="18"/>
          <w:szCs w:val="18"/>
          <w:color w:val="auto"/>
        </w:rPr>
      </w:pPr>
    </w:p>
    <w:p>
      <w:pPr>
        <w:ind w:left="1020" w:hanging="43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rFonts w:ascii="Arial" w:cs="Arial" w:eastAsia="Arial" w:hAnsi="Arial"/>
          <w:sz w:val="18"/>
          <w:szCs w:val="18"/>
          <w:color w:val="auto"/>
        </w:rPr>
      </w:pPr>
    </w:p>
    <w:p>
      <w:pPr>
        <w:ind w:left="1020" w:right="20" w:hanging="43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significant to the overall fair value measurement. These inputs reflect our assumptions about the assumptions a market participant would use in pricing the asset or liability.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currently do not have any Level 2 or Level 3 financial assets or liabilities.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Self-Insurance Reserves</w:t>
      </w:r>
    </w:p>
    <w:p>
      <w:pPr>
        <w:spacing w:after="0" w:line="121"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As of April 30, 2020 and 2019, we had reserves for workers’ compensation, product liability, municipal liability, and medical/dental costs totaling $9.4 million and $8.9 million, respectively, of which $4.6 million and $4.8 million was classified as other non-current liabilities, respectively. As of April 30, 2020 and 2019, $3.7 million and $3.6 million, respectively, were included in accrued expenses on the accompanying consolidated balance sheets. In addition, as of April 30, 2020 and 2019, 620,000 of workers’ compensation recoverable was classified as other assets. While we believe these reserves to be adequate, it is possible that the ultimate liabilities will exceed such estimates.</w:t>
      </w:r>
    </w:p>
    <w:p>
      <w:pPr>
        <w:spacing w:after="0" w:line="176"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following table summarizes the activity in the workers’ compensation, product liability, municipal liability, and medical/dental reserves in the fiscal years ended April 30, 2020, 2019, and 2018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For the Year Ended April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Additional provision charged to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22,802</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(20,763)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(21,916)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(22,292)</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It is our policy to provide an estimate for loss as a result of expected adverse findings or legal settlements on product liability, municipal liability, workers’ compensation, and other matters when such losses are probable and are reasonably estimable. It is also our policy to accrue for reasonable estimable legal costs associated with defending such litigation. While such estimates involve a range of possible costs, we determine, in consultation with counsel, the most likely cost within such range on a case-by-case basis. We also record receivables from insurance carriers relating to these matters when their collection is probable. As of April 30, 2020 and 2019, we had accrued reserves for product and municipal litigation liabilities of $3.6 million and $3.3 million, respectively (of which $2.6 million and $2.8 million was non-current, respectively), consisting entirely of expected legal defense costs. In addition, as of April 30, 2020 and 2019, we had recorded receivables from insurance carriers related to these liabilities of $1.9 million, nearly all of which has been classified as other assets.</w:t>
      </w:r>
    </w:p>
    <w:p>
      <w:pPr>
        <w:spacing w:after="0" w:line="336" w:lineRule="exact"/>
        <w:rPr>
          <w:sz w:val="20"/>
          <w:szCs w:val="20"/>
          <w:color w:val="auto"/>
        </w:rPr>
      </w:pPr>
    </w:p>
    <w:p>
      <w:pPr>
        <w:ind w:left="300" w:right="9340" w:hanging="292"/>
        <w:spacing w:after="0" w:line="425" w:lineRule="auto"/>
        <w:tabs>
          <w:tab w:leader="none" w:pos="27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Treasury Stock</w:t>
      </w:r>
    </w:p>
    <w:p>
      <w:pPr>
        <w:jc w:val="both"/>
        <w:ind w:right="20" w:firstLine="589"/>
        <w:spacing w:after="0" w:line="277" w:lineRule="auto"/>
        <w:rPr>
          <w:sz w:val="20"/>
          <w:szCs w:val="20"/>
          <w:color w:val="auto"/>
        </w:rPr>
      </w:pPr>
      <w:r>
        <w:rPr>
          <w:rFonts w:ascii="Arial" w:cs="Arial" w:eastAsia="Arial" w:hAnsi="Arial"/>
          <w:sz w:val="18"/>
          <w:szCs w:val="18"/>
          <w:color w:val="auto"/>
        </w:rPr>
        <w:t>We did not repurchase any shares of our common stock during fiscal 2020, 2019, or 2018, and we do not have an authorized repurchase program as of April 30, 2020.</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Stock and Employee Stock Purchase Plans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two stock incentive plans, or SPs: the 2004 Incentive Stock Plan and the 2013 Incentive Stock Plan. New grants under the 2004 Incentive Stock Plan have not been made since the approval of the 2013 Incentive Stock Plan at our September 23, 2013 annual meeting of stockholders. All new grants covering all participants are issued under the 2013 Incentive Stock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The 2013 Incentive Stock Plan authorizes the issuance of 3,000,000 shares, plus any shares that were reserved and remained available for grant and delivery under the 2004 Incentive Stock Plan as of September 23, 2013, the effective date of the 2013 Incentive Stock Plan. The plan permits the grant of options to acquire common stock, restricted stock awards, RSUs, stock appreciation rights, bonus stock and awards in lieu of obligations, performance awards, and dividend equivalents. Our board of directors, or a committee established by our board, administers the SPs, selects recipients to whom awards are granted, and determines the grants to be awarded. Options granted under the SPs are exercisable at a price determined by our board or committee at the time of grant, but in no event, less than fair market value of our common stock on the date granted. Grants of options may be made to employees and directors without regard to any performance measures. All options issued pursuant to the SPs are generally nontransferable and subject to forfeiture.</w:t>
      </w:r>
    </w:p>
    <w:p>
      <w:pPr>
        <w:spacing w:after="0" w:line="16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Unless terminated earlier by our board of directors, the 2013 Incentive Stock Plan will terminate at the earliest of (1) the tenth anniversary of the effective date of the 2013 Stock Plan, or (2) such time as no shares of common stock remain available for issuance under the plan and we have no further rights or obligations with respect to outstanding awards under the plan. The date of grant of an award is deemed to be the date upon which our board of directors or board committee authorizes the granting of such award.</w:t>
      </w:r>
    </w:p>
    <w:p>
      <w:pPr>
        <w:spacing w:after="0" w:line="18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Except in specific circumstances, grants vest over a period of four years and grants of stock options are exercisable for a period of 10 years. The plan also permits the grant of awards to non-employees, which our board of directors or committee has authorized in the past.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number of shares and weighted average exercise prices of options for the fiscal years ended April 30, 2020, 2019, and 2018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5"/>
              </w:rPr>
              <w:t>For the Year Ended April 30,</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15"/>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beginning of year</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316,160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335,160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(67,094)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(48,399)</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end of period</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FF0FC"/>
            </w:tcBorders>
            <w:vMerge w:val="continue"/>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 years</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760" w:type="dxa"/>
            <w:vAlign w:val="bottom"/>
            <w:tcBorders>
              <w:top w:val="single" w:sz="8" w:color="auto"/>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 years</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780" w:type="dxa"/>
            <w:vAlign w:val="bottom"/>
            <w:tcBorders>
              <w:top w:val="single" w:sz="8" w:color="auto"/>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 years</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80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end of period</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200,667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316,160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w:t>
            </w: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 years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 years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 years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As of April 30, 2020, there were 4,137,967 shares available for grant under the 2013 Incentive Stock Plan. We use our unissued share pool for all shares issued for options, restricted stock awards, RSUs, performance share units, performance-based restricted stock units, or PSUs, and shares issued under our Employee Stock Purchase Plan, or ESPP.</w:t>
      </w:r>
    </w:p>
    <w:p>
      <w:pPr>
        <w:spacing w:after="0" w:line="184"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 aggregate intrinsic value of outstanding and exercisable stock options as of April 30, 2020, 2019, and 2018 was $356,000, $826,000, and $1.4 million, respectively. The aggregate intrinsic value of the options exercised for the years ended April 30, 2020, 2019, and 2018 was $260,000, $285,000, and $116,000, respectively. At April 30, 2020, there was no unrecognized compensation cost of outstanding options.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stock compensation expense by line item for the fiscal years ended April 30, 2020, 2019, and 2018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Years Ended April 30,</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5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1,756(a)</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9"/>
                <w:szCs w:val="19"/>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right="30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decrease in general and administrative stock-based compensation expense from fiscal 2019 was because of the separation of our former President and Chief Executive Officer.</w:t>
      </w:r>
    </w:p>
    <w:p>
      <w:pPr>
        <w:spacing w:after="0" w:line="19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grant service-based RSUs to employees, consultants, and directors. The awards are made at no cost to the recipient. An RSU represents the right to acquire one share of our common stock and does not carry voting or dividend rights. Except in specific circumstances, RSU grants to employees generally vest over a period of three or four years with one-third or one-fourth of the units vesting, respectively, on each anniversary date of the grant date. The aggregate fair value of our RSU grants is amortized to compensation expense over the applicable vesting period.</w:t>
      </w:r>
    </w:p>
    <w:p>
      <w:pPr>
        <w:spacing w:after="0" w:line="17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grant PSUs to our executive officers and certain management employees who are not executive officers. At the time of grant, we calculate the fair value of our PSUs using the Monte-Carlo simulation. We incorporate the following variables into the valuation model: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6"/>
              </w:rPr>
              <w:t>For the Years Ended April 30,</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54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Grant date fair market value</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Smith &amp; Wesson Brands, Inc.</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9"/>
                <w:szCs w:val="19"/>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Russell 2000 Index</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1,138.78</w:t>
            </w:r>
          </w:p>
        </w:tc>
        <w:tc>
          <w:tcPr>
            <w:tcW w:w="2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1,591.21</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1,557.89</w:t>
            </w:r>
          </w:p>
        </w:tc>
        <w:tc>
          <w:tcPr>
            <w:tcW w:w="1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Volatility (a)</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Smith &amp; Wesson Brands, Inc.</w:t>
            </w:r>
          </w:p>
        </w:tc>
        <w:tc>
          <w:tcPr>
            <w:tcW w:w="4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54.02%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45.19%</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42.27%</w:t>
            </w: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Russell 2000 Index</w:t>
            </w:r>
          </w:p>
        </w:tc>
        <w:tc>
          <w:tcPr>
            <w:tcW w:w="4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24.65%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15.65%</w:t>
            </w:r>
          </w:p>
        </w:tc>
        <w:tc>
          <w:tcPr>
            <w:tcW w:w="3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16.26%</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Correlation coefficient (b)</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Risk-free interest rate (c)</w:t>
            </w:r>
          </w:p>
        </w:tc>
        <w:tc>
          <w:tcPr>
            <w:tcW w:w="4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 (d)</w:t>
            </w:r>
          </w:p>
        </w:tc>
        <w:tc>
          <w:tcPr>
            <w:tcW w:w="4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972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5" w:lineRule="exact"/>
        <w:rPr>
          <w:sz w:val="20"/>
          <w:szCs w:val="20"/>
          <w:color w:val="auto"/>
        </w:rPr>
      </w:pPr>
    </w:p>
    <w:p>
      <w:pPr>
        <w:ind w:left="580" w:hanging="572"/>
        <w:spacing w:after="0" w:line="258"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volatility is calculated over the most recent period that represents the remaining term of the performance period as of the valuation date, or three years.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correlation coefficient utilizes the same historical price data used to develop the volatility assumptions.</w:t>
      </w:r>
    </w:p>
    <w:p>
      <w:pPr>
        <w:spacing w:after="0" w:line="22" w:lineRule="exact"/>
        <w:rPr>
          <w:rFonts w:ascii="Arial" w:cs="Arial" w:eastAsia="Arial" w:hAnsi="Arial"/>
          <w:sz w:val="18"/>
          <w:szCs w:val="18"/>
          <w:color w:val="auto"/>
        </w:rPr>
      </w:pPr>
    </w:p>
    <w:p>
      <w:pPr>
        <w:ind w:left="580" w:hanging="57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risk-free interest rate is based on the yield of a zero-coupon U.S. Treasury bill, commensurate with the three-year performance period.</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did not pay dividends in fiscal 2020, 2019, and 2018.</w:t>
      </w:r>
    </w:p>
    <w:p>
      <w:pPr>
        <w:spacing w:after="0" w:line="21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PSUs vest, and the fair value of such PSUs will be recognized, over the corresponding three-year performance period. Our PSUs have a maximum aggregate award equal to 200% of the target amount granted. Generally, the number of PSUs that may be earned depends upon the total stockholder return, or TSR, of our common stock compared with the TSR of the Russell 2000 Index, or RUT, over the three-year performance period. For PSUs, our stock must outperform the RUT by 5% in order for the target award to vest. In addition, there is a cap on the number of shares that can be earned under our PSUs, which is equal to six times the grant-date value of each award.</w:t>
      </w:r>
    </w:p>
    <w:p>
      <w:pPr>
        <w:spacing w:after="0" w:line="188"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In certain circumstances, the vested awards will be delivered on the first anniversary of the applicable vesting date. We have applied a discount to the grant date fair value when determining the amount of compensation expense to be recorded for these RSUs and PSUs.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During the fiscal year ended April 30, 2020, we granted 105,767 PSUs to certain of our executive officers and 32,050 PSUs to non-executive officer employees. We also granted 440,483 service-based RSUs during the year ended April 30, 2020, including 113,770 RSUs to certain of our executive officers, 115,600 RSUs to our directors, and 211,073 RSUs to non-executive officer employees. Compensation expense recognized related to grants of RSUs and PSUs was $2.3 million for the fiscal year ended April 30, 2020.</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During the fiscal year ended April 30, 2020, we canceled 232,793 service-based RSUs as a result of the service period condition not being met and 367,025 PSUs as the three year stock performance targets were not achieved. We delivered 296,139 shares of common stock to current employees under vested RSUs with a total market value of $2.6 million.</w:t>
      </w:r>
    </w:p>
    <w:p>
      <w:pPr>
        <w:spacing w:after="0" w:line="1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During the fiscal year ended April 30, 2019, we granted 181,600 PSUs to certain of our executive officers. We also granted 360,185 service-based RSUs during the year ended April 30, 2019, including 167,818 RSUs to certain of our executive officers, 49,509 RSUs to our directors, and 142,858 RSUs to non-executive officer employees. Compensation expense recognized related to grants of RSUs and PSUs was $7.3 million for the fiscal year ended April 30, 2019.</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During the fiscal year ended April 30, 2019, we canceled 33,899 service-based RSUs as a result of the service period condition not being met and 112,000 PSUs as the three year stock performance targets were not achieved. We delivered 206,572 shares of common stock to current employees under vested RSUs with a total market value of $2.5 million.</w:t>
      </w:r>
    </w:p>
    <w:p>
      <w:pPr>
        <w:spacing w:after="0" w:line="184"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During the year ended April 30, 2018, we granted 157,700 PSUs to certain of our executive officers. We also granted 388,186 service-based RSUs during the year ended April 30, 2018, including 159,167 RSUs to certain of our executive officers, 52,826 RSUs to our directors, and 176,193 RSUs to non-executive officer employees. In addition, in connection with a 2014 grant of 105,000 PSUs (i.e., the target amount granted), which achieved 115.2% of the targeted award, we vested and delivered awards totaling 121,504 shares to certain of our executive officers. Compensation expense recognized related to grants of RSUs and PSUs was $7.1 million for the fiscal year ended April 30, 2018.</w:t>
      </w:r>
    </w:p>
    <w:p>
      <w:pPr>
        <w:spacing w:after="0" w:line="176"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During the fiscal year ended April 30, 2018, we canceled 208,496 service-based RSUs and 39,429 PSUs as a result of the service period condition not being met and delivered 300,496 shares of common stock to current employees under vested RSUs and PSUs with a total market value of $6.2 million.</w:t>
      </w:r>
    </w:p>
    <w:p>
      <w:pPr>
        <w:spacing w:after="0" w:line="12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grant date fair value of RSUs and PSUs that vested in fiscal 2020, 2019, and 2018 was $5.0 million, $3.9 million, and $5.0 million, respectively.</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activity for unvested RSUs and PSUs for fiscal years 2020, 2019, and 2018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For the Year Ended April 30,</w:t>
            </w: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620" w:type="dxa"/>
            <w:vAlign w:val="bottom"/>
          </w:tcPr>
          <w:p>
            <w:pPr>
              <w:spacing w:after="0"/>
              <w:rPr>
                <w:sz w:val="13"/>
                <w:szCs w:val="13"/>
                <w:color w:val="auto"/>
              </w:rPr>
            </w:pPr>
          </w:p>
        </w:tc>
        <w:tc>
          <w:tcPr>
            <w:tcW w:w="1260" w:type="dxa"/>
            <w:vAlign w:val="bottom"/>
            <w:tcBorders>
              <w:bottom w:val="single" w:sz="8" w:color="auto"/>
            </w:tcBorders>
            <w:gridSpan w:val="4"/>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7"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86"/>
        </w:trPr>
        <w:tc>
          <w:tcPr>
            <w:tcW w:w="46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Total # of</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r>
      <w:tr>
        <w:trPr>
          <w:trHeight w:val="192"/>
        </w:trPr>
        <w:tc>
          <w:tcPr>
            <w:tcW w:w="46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6"/>
                <w:szCs w:val="16"/>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Restricted</w:t>
            </w:r>
          </w:p>
        </w:tc>
        <w:tc>
          <w:tcPr>
            <w:tcW w:w="8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Restricted</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46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Stock Units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beginning of period</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1,631,631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1,442,317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1,428,848</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Awarded</w:t>
            </w:r>
          </w:p>
        </w:tc>
        <w:tc>
          <w:tcPr>
            <w:tcW w:w="900" w:type="dxa"/>
            <w:vAlign w:val="bottom"/>
          </w:tcPr>
          <w:p>
            <w:pPr>
              <w:jc w:val="right"/>
              <w:spacing w:after="0"/>
              <w:rPr>
                <w:sz w:val="20"/>
                <w:szCs w:val="20"/>
                <w:color w:val="auto"/>
              </w:rPr>
            </w:pPr>
            <w:r>
              <w:rPr>
                <w:rFonts w:ascii="Arial" w:cs="Arial" w:eastAsia="Arial" w:hAnsi="Arial"/>
                <w:sz w:val="18"/>
                <w:szCs w:val="18"/>
                <w:color w:val="auto"/>
              </w:rPr>
              <w:t>578,300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541,785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561,890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(296,139)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(206,572)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(300,496)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(599,818)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(145,899)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(247,925)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end of period</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1,313,974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1,631,631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1,442,317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April 30, 2020, there was $3.3 million of unrecognized compensation cost related to unvested RSUs and PSUs. This cost is expected to be recognized over a weighted average remaining contractual term of 1.7 years.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6"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On September 26, 2011, our stockholders approved our 2011 ESPP, which authorizes the sale of up to 6,000,000 shares of our common stock to employees. All options and rights to participate in our ESPP are nontransferable and subject to forfeiture in accordance with our ESPP guidelines. Our current ESPP will be implemented in a series of successive offering periods, each with a maximum duration of 12 months. If the fair market value, or FMV, per share of our common stock on any purchase date is less than the FMV per share on the start date of a 12-month offering period, then that offering period will automatically terminate, and a new 12-month offering period will begin on the next business day. Each offering period will begin on April 1 or October 1, as applicable, immediately following the end of the previous offering period. Payroll deductions will be on an after-tax basis, in an amount of not less than 1% and not more than 20% (or such greater percentage as the committee appointed to administer our ESPP may establish from time to time before the first day of an offering period) of a participant’s compensation on each payroll date. The option exercise price per share will equal 85% of the lower of the FMV on the first day of the offering period or the FMV on the exercise date. The maximum number of shares that a participant may purchase during any purchase period is 12,500 shares, or a total of $25,000 in shares, based on the FMV on the first day of the offering period. Our ESPP will remain in effect until the earliest of (a) the exercise date that participants become entitled to purchase a number of shares greater than the number of reserved shares available for purchase under our ESPP, (b) such date as is determined by our board of directors in its discretion, or (c) March 31, 2022. In the event of certain corporate transactions, each option outstanding under our ESPP will be assumed or an equivalent option will be substituted by the successor corporation or a parent or subsidiary of such successor corporation. During fiscal 2020, 2019, and 2018, 380,209, 230,282, and 203,002 shares, respectively, were purchased by our employees under our ESPP.</w:t>
      </w:r>
    </w:p>
    <w:p>
      <w:pPr>
        <w:spacing w:after="0" w:line="18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measure the cost of employee services received in exchange for an award of an equity instrument based on the grant-date fair value of the award. We calculate the fair value of our stock options issued to employees using the Black-Scholes model at the time the options were granted. That amount is then amortized over the vesting period of the option. With our ESPP, fair value is determined at the beginning of the purchase period and amortized over the term of each exercise period.</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assumptions were used in valuing our ESPP purchases during the years ended April 30, 2020,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For the Years Ended April 30,</w:t>
            </w:r>
          </w:p>
        </w:tc>
        <w:tc>
          <w:tcPr>
            <w:tcW w:w="1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65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r>
      <w:tr>
        <w:trPr>
          <w:trHeight w:val="223"/>
        </w:trPr>
        <w:tc>
          <w:tcPr>
            <w:tcW w:w="6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1.24%</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w:t>
            </w: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Expected term (a)</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4 months</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6 months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 months</w:t>
            </w:r>
          </w:p>
        </w:tc>
      </w:tr>
      <w:tr>
        <w:trPr>
          <w:trHeight w:val="229"/>
        </w:trPr>
        <w:tc>
          <w:tcPr>
            <w:tcW w:w="6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Expected volatility (b)</w:t>
            </w:r>
          </w:p>
        </w:tc>
        <w:tc>
          <w:tcPr>
            <w:tcW w:w="15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63.6%</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45.3%</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42.3%</w:t>
            </w: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Dividend yield</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left="1040" w:hanging="600"/>
        <w:spacing w:after="0" w:line="258"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expect to have an abbreviated purchase period for the first half of fiscal 2021 because of our expected spin-off of our outdoor products and accessories business.</w:t>
      </w:r>
    </w:p>
    <w:p>
      <w:pPr>
        <w:spacing w:after="0" w:line="1" w:lineRule="exact"/>
        <w:rPr>
          <w:rFonts w:ascii="Arial" w:cs="Arial" w:eastAsia="Arial" w:hAnsi="Arial"/>
          <w:sz w:val="18"/>
          <w:szCs w:val="18"/>
          <w:color w:val="auto"/>
        </w:rPr>
      </w:pPr>
    </w:p>
    <w:p>
      <w:pPr>
        <w:ind w:left="1040" w:hanging="600"/>
        <w:spacing w:after="0" w:line="260"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believe our expected volatility increased in fiscal 2020 primarily due to market and stock price fluctuations as a result of the COVID-19 pandemic.</w:t>
      </w:r>
    </w:p>
    <w:p>
      <w:pPr>
        <w:spacing w:after="0" w:line="185"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estimate expected volatility using historical volatility for the expected term. The fair value of each stock option or ESPP purchase was estimated on the date of the grant using the Black-Scholes option pricing model (using the risk-free interest rate, expected term, expected volatility, and dividend yield variables, as noted in the above table). The total stock-based compensation expense, including stock options, purchases under our ESPP, and RSU and PSU awards, was $2.9 million, $8.0 million, and $7.8 million, for fiscal years 2020, 2019, and 2018,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Employer Sponsored Benefit Plans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i w:val="1"/>
          <w:iCs w:val="1"/>
          <w:color w:val="auto"/>
        </w:rPr>
        <w:t xml:space="preserve">Contributory Defined Investment Plan </w:t>
      </w:r>
      <w:r>
        <w:rPr>
          <w:rFonts w:ascii="Arial" w:cs="Arial" w:eastAsia="Arial" w:hAnsi="Arial"/>
          <w:sz w:val="18"/>
          <w:szCs w:val="18"/>
          <w:color w:val="auto"/>
        </w:rPr>
        <w:t>— We offer two contributory defined investment plans covering substantially all employees,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requirements. Employees may contribute up to 100% of their annual pay, depending on the plan. We generally make discretionary matching contributions of up to 50% of the first 6% of employee contributions to the plan. We contributed $2.5 million, $2.9 million, and $3.0 million for the fiscal years ended April 30, 2020, 2019, and 2018, respectively.</w:t>
      </w:r>
    </w:p>
    <w:p>
      <w:pPr>
        <w:spacing w:after="0" w:line="18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i w:val="1"/>
          <w:iCs w:val="1"/>
          <w:color w:val="auto"/>
        </w:rPr>
        <w:t xml:space="preserve">Non-Contributory Profit Sharing Plan </w:t>
      </w:r>
      <w:r>
        <w:rPr>
          <w:rFonts w:ascii="Arial" w:cs="Arial" w:eastAsia="Arial" w:hAnsi="Arial"/>
          <w:sz w:val="16"/>
          <w:szCs w:val="16"/>
          <w:color w:val="auto"/>
        </w:rPr>
        <w:t>— We have a non-contributory profit sharing plan covering substantially all of our employees.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eligible on May 1 following the completion of a full fiscal year of continuous service. Our contributions to the plan are discretionary. For fiscal 2020, we plan to contribute approximately $2.4 million, which has been recorded in general and administrative costs. We contributed $2.8 million and $1.3 million for the fiscal years ended April 30, 2019 and 2018, respectively. Contributions are funded after the fiscal year-end.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Income tax expense/(benefit) from continuing operations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For the Year Ended April 30,</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Federal</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11,690</w:t>
            </w:r>
          </w:p>
        </w:tc>
        <w:tc>
          <w:tcPr>
            <w:tcW w:w="2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8,999</w:t>
            </w:r>
          </w:p>
        </w:tc>
        <w:tc>
          <w:tcPr>
            <w:tcW w:w="2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FF0FC"/>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Foreign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current</w:t>
            </w:r>
          </w:p>
        </w:tc>
        <w:tc>
          <w:tcPr>
            <w:tcW w:w="19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Deferred:</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federal</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(10,877)</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(9,081)</w:t>
            </w: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Deferred state</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(1,132)</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r>
      <w:tr>
        <w:trPr>
          <w:trHeight w:val="223"/>
        </w:trPr>
        <w:tc>
          <w:tcPr>
            <w:tcW w:w="45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deferred</w:t>
            </w:r>
          </w:p>
        </w:tc>
        <w:tc>
          <w:tcPr>
            <w:tcW w:w="19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(12,009)</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580" w:type="dxa"/>
            <w:vAlign w:val="bottom"/>
          </w:tcPr>
          <w:p>
            <w:pPr>
              <w:ind w:left="140"/>
              <w:spacing w:after="0"/>
              <w:rPr>
                <w:sz w:val="20"/>
                <w:szCs w:val="20"/>
                <w:color w:val="auto"/>
              </w:rPr>
            </w:pPr>
            <w:r>
              <w:rPr>
                <w:rFonts w:ascii="Arial" w:cs="Arial" w:eastAsia="Arial" w:hAnsi="Arial"/>
                <w:sz w:val="18"/>
                <w:szCs w:val="18"/>
                <w:color w:val="auto"/>
              </w:rPr>
              <w:t>Total income tax expense/(benefit)</w:t>
            </w:r>
          </w:p>
        </w:tc>
        <w:tc>
          <w:tcPr>
            <w:tcW w:w="19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presents a reconciliation of the provision for income taxes from continuing operations at statutory rates to the provision (benefit) in the consolidated financial statements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For the Year Ended April 30,</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5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Federal income taxes expected at the statutory rate (a)</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5,355</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State income taxes, less federal income tax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w:t>
            </w: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Business meals and entertainment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Domestic production activity deduction</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(335)</w:t>
            </w: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9"/>
                <w:szCs w:val="19"/>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r>
      <w:tr>
        <w:trPr>
          <w:trHeight w:val="229"/>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Non-deductible Separation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30"/>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(403)</w:t>
            </w: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Federal tax rate change on deferred taxes</w:t>
            </w:r>
          </w:p>
        </w:tc>
        <w:tc>
          <w:tcPr>
            <w:tcW w:w="320" w:type="dxa"/>
            <w:vAlign w:val="bottom"/>
          </w:tcPr>
          <w:p>
            <w:pPr>
              <w:spacing w:after="0"/>
              <w:rPr>
                <w:sz w:val="19"/>
                <w:szCs w:val="19"/>
                <w:color w:val="auto"/>
              </w:rPr>
            </w:pPr>
          </w:p>
        </w:tc>
        <w:tc>
          <w:tcPr>
            <w:tcW w:w="130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(70)</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(8,142)</w:t>
            </w:r>
          </w:p>
        </w:tc>
      </w:tr>
      <w:tr>
        <w:trPr>
          <w:trHeight w:val="223"/>
        </w:trPr>
        <w:tc>
          <w:tcPr>
            <w:tcW w:w="65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income tax expense/(benefit)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60" w:right="1180" w:hanging="5452"/>
        <w:spacing w:after="0" w:line="527" w:lineRule="auto"/>
        <w:tabs>
          <w:tab w:leader="none" w:pos="5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had a statutory rate of 21% in fiscal 2020 and 2019 and a blended statutory rate of 30.4% in fiscal 2018 because of Tax Reform. 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Deferred tax assets (liabilities) related to temporary differences are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For the Years Ended April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Non-current tax assets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operating loss carryforwards and tax credits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3,158</w:t>
            </w:r>
          </w:p>
        </w:tc>
        <w:tc>
          <w:tcPr>
            <w:tcW w:w="28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expenses, including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reserves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Product liability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promotions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Workers'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 reserve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State bonus depreciation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taxes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(185)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(17,512)</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(20,392)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Intangible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(10,006)</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(2,086)</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Right-of-use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Pension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(3,186)</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(3,576)</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deferred tax asset/(liability) — total</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had no federal net operating loss carryforwards in fiscal 2020.</w:t>
      </w:r>
    </w:p>
    <w:p>
      <w:pPr>
        <w:spacing w:after="0" w:line="225"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There were $17.7 million and $17.9 million in state net operating loss carryforwards as of April 30, 2020 and 2019, respectively. The state net operating loss carryforwards will expire between April 30, 2025 and April 30, 2038. There were $2.9 million of state tax credit carryforwards as of April 30, 2020 and 2019. The state tax credit carryforwards will expire between April 30, 2023 and April 30, 2025 or have no expiration date.</w:t>
      </w:r>
    </w:p>
    <w:p>
      <w:pPr>
        <w:spacing w:after="0" w:line="16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As of April 30, 2020, valuation allowances of $904,000 and $2.3 million were provided on our deferred tax assets for those state net operating loss carryforwards, and state tax credits, respectively, that we do not anticipate using prior to their expiration. As of April 30, 2019, valuation allowances of $911,000 and $2.3 million were provided on our deferred tax assets for those state net operating loss carryforwards and state tax credits, respectively, that we do not anticipate using prior to their expiration. Additional valuation allowances of $29,000 were provided on our deferred income tax assets as of April 30, 2020, as we believe that it is more likely than not that all such assets will not be realized. These allowances related to IRC Section 162(m) limitations on the deductibility of certain executive compensation. Recording a valuation allowance or reversing a valuation allowance could have an effect on our future results of operations and financial position.</w:t>
      </w:r>
    </w:p>
    <w:p>
      <w:pPr>
        <w:spacing w:after="0" w:line="19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On December 22, 2017, the SEC issued Staff Accounting Bulletin 118, or SAB118, that provided additional guidance allowing companies to use a measurement period, similar to that used in business combinations, to account for the impacts of Tax Reform in their financial statements. This measurement period was not permitted to extend beyond one year from the Tax reform enactment date. In accordance with SAB 118, to the extent that a company’s accounting for certain income tax effects of the Tax Reform is incomplete, but the company was able to determine a reasonably estimating the effects, we were permitted to record a provisional estimate in our financial statements. All provisional estimates related to Tax Reform were finalized within the measurement period.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income tax provisions represent effective tax rates of (2.1%) and 35.9% for the fiscal year ended April 30, 2020 and 2019,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U.S. income taxes have not been provided on $84,000 of undistributed earnings of our foreign subsidiary since it is our intention to permanently reinvest such earnings offshore. If the earnings were distributed in the form of dividends, we would not be subject to U.S. tax as a result of the Tax Act but could be subject to foreign income and withholding taxes. Determination of the amount of this unrecognized deferred income tax liability is not practical.</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April 30, 2020 and 2019, we did not have any gross tax-effected unrecognized tax benefits.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With limited exception, we are subject to U.S. federal, state, and local, or non-U.S. income tax audits by tax authorities for fiscal years subsequent to April 30,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In January 2018, Gemini Technologies, Incorporated, or Gemini, commenced an action against us and Smith &amp; Wesson Corp. in the United States District Court for the District of Idaho, or District Court. The complaint alleges, among other things, that the defendants breached the earn-out and other provisions of the Asset Purchase Agreement and ancillary agreements between the parties in connection with Smith &amp; Wesson Corp.’s acquisition of the Gemtech business from Gemini. The complaint seeks a declaratory judgment interpreting various terms of the Asset Purchase Agreement and damages in the sum of $18.6 million. In May 2018, the District Court dismissed the complaint on the grounds of forum non conveniens</w:t>
      </w:r>
      <w:r>
        <w:rPr>
          <w:rFonts w:ascii="Arial" w:cs="Arial" w:eastAsia="Arial" w:hAnsi="Arial"/>
          <w:sz w:val="17"/>
          <w:szCs w:val="17"/>
          <w:i w:val="1"/>
          <w:iCs w:val="1"/>
          <w:color w:val="auto"/>
        </w:rPr>
        <w:t>.</w:t>
      </w:r>
      <w:r>
        <w:rPr>
          <w:rFonts w:ascii="Arial" w:cs="Arial" w:eastAsia="Arial" w:hAnsi="Arial"/>
          <w:sz w:val="17"/>
          <w:szCs w:val="17"/>
          <w:color w:val="auto"/>
        </w:rPr>
        <w:t xml:space="preserve"> In June 2018, Gemini appealed the decision dismissing its complaint to the U.S. Court of Appeals for the Ninth Circuit. On July 24, 2019, the Ninth Circuit reversed the dismissal and remanded the case to the District Court to perform a traditional forum non conveniens analysis. On September 6, 2019, the parties stipulated that they do not contest that the venue is proper in the District of Idaho. On November 4, 2019, we filed an answer to plaintiff’s complaint and a counterclaim against Gemini and its stockholders at the time of the signing of the Asset Purchase Agreement. We believe the claims asserted in the complaint have no merit, and we intend to aggressively defend this action.</w:t>
      </w:r>
    </w:p>
    <w:p>
      <w:pPr>
        <w:spacing w:after="0" w:line="185"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We are a defendant in seven product liability cases and are aware of five other product liability claims, primarily alleging defective product design, defective manufacturing, or failure to provide adequate warnings. In addition, we are a co-defendant in a case filed on August 27, 1999 by the city of Gary, Indiana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Briefing was completed in the Indiana Supreme Court on August 5, 2019. On November 26, 2019, the Indiana Supreme Court denied our petition to transfer. The case was returned to the trial court.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On November 21, 2019, the court granted defendants’ motion to dismiss plaintiffs’ second amended complaint, with prejudice.</w:t>
      </w:r>
    </w:p>
    <w:p>
      <w:pPr>
        <w:spacing w:after="0" w:line="204"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In August 2019, Primus Group, LLC filed an action in the U.S. District Court for the Southern District of Ohio Eastern Division against us and other firearms manufacturers, alleging Racketeer Influenced Corrupt Organizations Act (RICO) violations, racketeering enterprise, and intentional misrepresentation. Plaintiff, which operates as an “entertainment venue” in Columbus, Ohio, purports to bring this action on behalf of “all persons entitled to freely attend schools, shopping locations, churches, entertainment venues, and workplaces in the United States without the intrusion of individuals armed with assault weapons.” In addition to compensatory and punitive damages, plaintiff seeks preliminary and permanent injunctive relief enjoining the distribution and sale of “assault weapons.” On August 20, 2019, the court denied without prejudice plaintiff’s Motion for Temporary Restraining Order. On September 3, 2019, defendants moved to dismiss plaintiff’s complaint. On September 16, 2019, plaintiff filed an amended complaint, adding claims of public nuisance, negligent design, and failure to warn. On October 9, 2019, the U.S. District Court granted defendants’ motion, dismissing the case in its entirety. On October 11, 2019, plaintiff filed a notice of appeal with the U.S. Court of Appeals for the Sixth Circuit. On November 1, 2019, the Sixth Circuit dismissed plaintiff’s appeal for failure to pay the required fee. On November 4, 2019, plaintiff-appellant filed, and the Sixth Circuit granted, a motion to reinstate the case. However, on March 13, 2020, at the request of the Appellant and based on the death of co-counsel, the Sixth Circuit held the case in abeyance and ordered that the Appellant file a status report every 30 days. On April 14, 2020, the Appellant filed a Status Report stating that it intended to reactivate the case or dismiss the appeal within 60 days. The Appellant has filed no further Status Reports.</w:t>
      </w:r>
    </w:p>
    <w:p>
      <w:pPr>
        <w:spacing w:after="0" w:line="21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are a defendant in a putative class proceeding before the Ontario Superior Court of Justice in Toronto, Canada. The action was filed on December 16, 2019. The action claims CAD$50 million in aggregate general damages, CAD$100 million in aggregate punitive damages, special damages in an unspecified amount, together with interest and legal costs. The named plaintiffs are two victims of a shooting that took place in Toronto on July 22, 2018, and their family members. One victim was shot and injured during the shooting. The other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We intend to vigorously oppose the proceedings.</w:t>
      </w:r>
    </w:p>
    <w:p>
      <w:pPr>
        <w:spacing w:after="0" w:line="195" w:lineRule="exact"/>
        <w:rPr>
          <w:sz w:val="20"/>
          <w:szCs w:val="20"/>
          <w:color w:val="auto"/>
        </w:rPr>
      </w:pPr>
    </w:p>
    <w:p>
      <w:pPr>
        <w:ind w:right="240" w:firstLine="864"/>
        <w:spacing w:after="0" w:line="257" w:lineRule="auto"/>
        <w:rPr>
          <w:sz w:val="20"/>
          <w:szCs w:val="20"/>
          <w:color w:val="auto"/>
        </w:rPr>
      </w:pPr>
      <w:r>
        <w:rPr>
          <w:rFonts w:ascii="Arial" w:cs="Arial" w:eastAsia="Arial" w:hAnsi="Arial"/>
          <w:sz w:val="18"/>
          <w:szCs w:val="18"/>
          <w:color w:val="auto"/>
        </w:rPr>
        <w:t>In May 2020, we were named in an action related to the Chabad of Poway synagogue shooting that took place on April 27,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We have not yet been served in the litigation.</w:t>
      </w:r>
    </w:p>
    <w:p>
      <w:pPr>
        <w:spacing w:after="0" w:line="18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July 31, 2019, our competitor, Sturm, Ruger &amp; Co., Inc., filed a complaint and motion for preliminary injunction against us in the U.S. District Court, District of New Hampshire, seeking injunctive relief and damages. Plaintiff alleges trade dress infringement, involving our Thompson/Center brand T/CR22 rifle, as well as violation of the New Hampshire Consumer Protection Act. A hearing on plaintiff’s motion for preliminary injunction was held in November 2019. On December 2, 2019, plaintiff withdrew its motion for preliminary injunction.</w:t>
      </w:r>
    </w:p>
    <w:p>
      <w:pPr>
        <w:spacing w:after="0" w:line="21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John Pidcock, as trustee of the ASPC Creditor Trust (appointed under the plan of reorganization of AcuSport Corp., or AcuSport, as debtor in possession under chapter 11 of the U.S. Bankruptcy Code), is the plaintiff in three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separate actions against us in the U.S. Bankruptcy Court for the Southern District of Ohio. Two seek recovery of alleged preferential transfers received by us from AcuSport in the aggregate amount of $4.2 million. The third seeks turnover of goods allegedly owed to AcuSport by us under one or more of our promotional programs in the amount of $1.5 million. We deny all material allegations and have asserted affirmative defenses. We believe we have strong defenses to these actions and intend to continue to vigorously defend them.</w:t>
      </w:r>
    </w:p>
    <w:p>
      <w:pPr>
        <w:spacing w:after="0" w:line="22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We believe that the various allegations as described above are unfounded, and that any incident and any results from them or any injuries were due to negligence or misuse of the firearm by the claimant or a third party.</w:t>
      </w:r>
    </w:p>
    <w:p>
      <w:pPr>
        <w:spacing w:after="0" w:line="19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In addition, from time to time, we are involved in lawsuits, claims, investigations, and proceedings, including commercial, environmental, and employment matters, which arise in the ordinary course of business. The relief sought in individual cases primarily includes compensatory and, sometimes, punitive damages. Certain of the cases and claims seek unspecified compensatory or punitive damages. In others, compensatory damages sought may range from less than $75,000 to approximately $50.0million, with punitive damages up to approximately $100.0 million. In our experience, initial demands do not generally bear a reasonable relationship to the facts and circumstances of a particular matter. We believe that our accruals for product liability cases and claims, as described below, are a reasonable quantitative measure of the cost to us of product liability cases and claims.</w:t>
      </w:r>
    </w:p>
    <w:p>
      <w:pPr>
        <w:spacing w:after="0" w:line="164"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70"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For the fiscal years ended April 30, 2020, 2019, and 2018, we paid $584,000, $322,000, and $473,000, respectively, in defense and administrative costs relative to product liability and municipal litigation. In addition, we spent an aggregate of $3,000, $180,000, and $129,000, respectively, in those fiscal years in settlement fees related to product liability cases.</w:t>
      </w:r>
    </w:p>
    <w:p>
      <w:pPr>
        <w:spacing w:after="0" w:line="184" w:lineRule="exact"/>
        <w:rPr>
          <w:sz w:val="20"/>
          <w:szCs w:val="20"/>
          <w:color w:val="auto"/>
        </w:rPr>
      </w:pPr>
    </w:p>
    <w:p>
      <w:pPr>
        <w:jc w:val="both"/>
        <w:ind w:right="20" w:firstLine="589"/>
        <w:spacing w:after="0" w:line="308" w:lineRule="auto"/>
        <w:rPr>
          <w:sz w:val="20"/>
          <w:szCs w:val="20"/>
          <w:color w:val="auto"/>
        </w:rPr>
      </w:pPr>
      <w:r>
        <w:rPr>
          <w:rFonts w:ascii="Arial" w:cs="Arial" w:eastAsia="Arial" w:hAnsi="Arial"/>
          <w:sz w:val="17"/>
          <w:szCs w:val="17"/>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46"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recognize gains and expenses for changes in our product liability provisions and municipal litigation liabilities. In fiscal 2020, we recorded expense of $892,000; in fiscal 2019, we recorded expense of $293,000; and in fiscal 2018, we recorded expense of $540,000.</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are subject to numerous federal, state, and local laws and regulations that regulate the health and safety of our workforce, including, but not limited to,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2"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are also subject to numerous federal, state and local environmental laws and regulations concerning, among other things, emissions in the air, discharges to land, surface, subsurface strata and water and the generation, handling, storage, transportation, treatment and disposal of hazardous wastes and other materials. These laws have required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w:t>
      </w:r>
    </w:p>
    <w:p>
      <w:pPr>
        <w:spacing w:after="0" w:line="16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have in place programs and personnel to monitor compliance with various federal, state, and local environmental regulations. In the normal course of our manufacturing operations, we are subject to governmental proceedings and orders pertaining to waste disposal, air emissions, and water discharges into the environment. We fund our environmental costs through cash flows from operations. We believe that we are in compliance with applicable environmental regulations in all material respects.</w:t>
      </w:r>
    </w:p>
    <w:p>
      <w:pPr>
        <w:spacing w:after="0" w:line="18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6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April 30, 2020, we do not have an open environmental reserve recorded in our consolidated balance sheet. As of April 30, 2019, we recorded approximately $725,000 of environmental reserve in non-current liabilities.</w:t>
      </w:r>
    </w:p>
    <w:p>
      <w:pPr>
        <w:spacing w:after="0" w:line="17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When the available information is sufficient to estimate the amount of liability, that estimate has been used. When the information is only sufficient to establish a range of probable liability and no point within the range is more likely than any other, the lower end of the range has been used. We may not have insurance coverage for our environmental remediation costs. We have not recognized any gains from probable recoveries or other gain contingencies. The environmental reserve in fiscal 2019 was calculated using undiscounted amounts based on environmental remediation reports obtained from independent third-parties.</w:t>
      </w:r>
    </w:p>
    <w:p>
      <w:pPr>
        <w:spacing w:after="0" w:line="18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the cost of resolving of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There can be no assurance that additional or changing environmental regulation will not become more burdensome in the future and that any such development would not have a material adverse effect on our company.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Employment Agreements </w:t>
      </w:r>
      <w:r>
        <w:rPr>
          <w:rFonts w:ascii="Arial" w:cs="Arial" w:eastAsia="Arial" w:hAnsi="Arial"/>
          <w:sz w:val="17"/>
          <w:szCs w:val="17"/>
          <w:color w:val="auto"/>
        </w:rPr>
        <w:t>— We have employment, severance, and change of control agreements with certain officers and managers.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Other Agreements </w:t>
      </w:r>
      <w:r>
        <w:rPr>
          <w:rFonts w:ascii="Arial" w:cs="Arial" w:eastAsia="Arial" w:hAnsi="Arial"/>
          <w:sz w:val="18"/>
          <w:szCs w:val="18"/>
          <w:color w:val="auto"/>
        </w:rPr>
        <w:t>— We have distribution agreements with various third parties in the ordinary course of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9240" w:type="dxa"/>
            <w:vAlign w:val="bottom"/>
            <w:gridSpan w:val="2"/>
          </w:tcPr>
          <w:p>
            <w:pPr>
              <w:ind w:left="3320"/>
              <w:spacing w:after="0"/>
              <w:rPr>
                <w:sz w:val="20"/>
                <w:szCs w:val="20"/>
                <w:color w:val="auto"/>
              </w:rPr>
            </w:pPr>
            <w:r>
              <w:rPr>
                <w:rFonts w:ascii="Arial" w:cs="Arial" w:eastAsia="Arial" w:hAnsi="Arial"/>
                <w:sz w:val="18"/>
                <w:szCs w:val="18"/>
                <w:b w:val="1"/>
                <w:bCs w:val="1"/>
                <w:color w:val="auto"/>
              </w:rPr>
              <w:t>SMITH &amp; WESSON BRANDS, INC. AND SUBSIDIARIES</w:t>
            </w:r>
          </w:p>
        </w:tc>
        <w:tc>
          <w:tcPr>
            <w:tcW w:w="2000" w:type="dxa"/>
            <w:vAlign w:val="bottom"/>
          </w:tcPr>
          <w:p>
            <w:pPr>
              <w:spacing w:after="0"/>
              <w:rPr>
                <w:sz w:val="18"/>
                <w:szCs w:val="18"/>
                <w:color w:val="auto"/>
              </w:rPr>
            </w:pPr>
          </w:p>
        </w:tc>
      </w:tr>
      <w:tr>
        <w:trPr>
          <w:trHeight w:val="234"/>
        </w:trPr>
        <w:tc>
          <w:tcPr>
            <w:tcW w:w="9240" w:type="dxa"/>
            <w:vAlign w:val="bottom"/>
            <w:gridSpan w:val="2"/>
          </w:tcPr>
          <w:p>
            <w:pPr>
              <w:ind w:left="26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00" w:type="dxa"/>
            <w:vAlign w:val="bottom"/>
          </w:tcPr>
          <w:p>
            <w:pPr>
              <w:spacing w:after="0"/>
              <w:rPr>
                <w:sz w:val="20"/>
                <w:szCs w:val="20"/>
                <w:color w:val="auto"/>
              </w:rPr>
            </w:pPr>
          </w:p>
        </w:tc>
      </w:tr>
      <w:tr>
        <w:trPr>
          <w:trHeight w:val="662"/>
        </w:trPr>
        <w:tc>
          <w:tcPr>
            <w:tcW w:w="9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Leases</w:t>
            </w:r>
          </w:p>
        </w:tc>
        <w:tc>
          <w:tcPr>
            <w:tcW w:w="2000" w:type="dxa"/>
            <w:vAlign w:val="bottom"/>
          </w:tcPr>
          <w:p>
            <w:pPr>
              <w:spacing w:after="0"/>
              <w:rPr>
                <w:sz w:val="24"/>
                <w:szCs w:val="24"/>
                <w:color w:val="auto"/>
              </w:rPr>
            </w:pPr>
          </w:p>
        </w:tc>
      </w:tr>
      <w:tr>
        <w:trPr>
          <w:trHeight w:val="324"/>
        </w:trPr>
        <w:tc>
          <w:tcPr>
            <w:tcW w:w="9240" w:type="dxa"/>
            <w:vAlign w:val="bottom"/>
            <w:gridSpan w:val="2"/>
          </w:tcPr>
          <w:p>
            <w:pPr>
              <w:ind w:left="600"/>
              <w:spacing w:after="0"/>
              <w:rPr>
                <w:sz w:val="20"/>
                <w:szCs w:val="20"/>
                <w:color w:val="auto"/>
              </w:rPr>
            </w:pPr>
            <w:r>
              <w:rPr>
                <w:rFonts w:ascii="Arial" w:cs="Arial" w:eastAsia="Arial" w:hAnsi="Arial"/>
                <w:sz w:val="18"/>
                <w:szCs w:val="18"/>
                <w:color w:val="auto"/>
              </w:rPr>
              <w:t>The following summarizes our operating leases for office and/or manufacturing space:</w:t>
            </w:r>
          </w:p>
        </w:tc>
        <w:tc>
          <w:tcPr>
            <w:tcW w:w="2000" w:type="dxa"/>
            <w:vAlign w:val="bottom"/>
          </w:tcPr>
          <w:p>
            <w:pPr>
              <w:spacing w:after="0"/>
              <w:rPr>
                <w:sz w:val="24"/>
                <w:szCs w:val="24"/>
                <w:color w:val="auto"/>
              </w:rPr>
            </w:pPr>
          </w:p>
        </w:tc>
      </w:tr>
      <w:tr>
        <w:trPr>
          <w:trHeight w:val="445"/>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Location of Lease</w:t>
            </w:r>
          </w:p>
        </w:tc>
        <w:tc>
          <w:tcPr>
            <w:tcW w:w="2000" w:type="dxa"/>
            <w:vAlign w:val="bottom"/>
          </w:tcPr>
          <w:p>
            <w:pPr>
              <w:jc w:val="right"/>
              <w:ind w:right="431"/>
              <w:spacing w:after="0"/>
              <w:rPr>
                <w:sz w:val="20"/>
                <w:szCs w:val="20"/>
                <w:color w:val="auto"/>
              </w:rPr>
            </w:pPr>
            <w:r>
              <w:rPr>
                <w:rFonts w:ascii="Arial" w:cs="Arial" w:eastAsia="Arial" w:hAnsi="Arial"/>
                <w:sz w:val="14"/>
                <w:szCs w:val="14"/>
                <w:b w:val="1"/>
                <w:bCs w:val="1"/>
                <w:color w:val="auto"/>
              </w:rPr>
              <w:t>Expiration Date</w:t>
            </w:r>
          </w:p>
        </w:tc>
      </w:tr>
      <w:tr>
        <w:trPr>
          <w:trHeight w:val="223"/>
        </w:trPr>
        <w:tc>
          <w:tcPr>
            <w:tcW w:w="9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Springfield, Massachusetts</w:t>
            </w:r>
          </w:p>
        </w:tc>
        <w:tc>
          <w:tcPr>
            <w:tcW w:w="22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November 30, 2020</w:t>
            </w:r>
          </w:p>
        </w:tc>
      </w:tr>
      <w:tr>
        <w:trPr>
          <w:trHeight w:val="229"/>
        </w:trPr>
        <w:tc>
          <w:tcPr>
            <w:tcW w:w="9240" w:type="dxa"/>
            <w:vAlign w:val="bottom"/>
            <w:gridSpan w:val="2"/>
          </w:tcPr>
          <w:p>
            <w:pPr>
              <w:spacing w:after="0"/>
              <w:rPr>
                <w:sz w:val="20"/>
                <w:szCs w:val="20"/>
                <w:color w:val="auto"/>
              </w:rPr>
            </w:pPr>
            <w:r>
              <w:rPr>
                <w:rFonts w:ascii="Arial" w:cs="Arial" w:eastAsia="Arial" w:hAnsi="Arial"/>
                <w:sz w:val="18"/>
                <w:szCs w:val="18"/>
                <w:color w:val="auto"/>
              </w:rPr>
              <w:t>Scottsdale, Arizona</w:t>
            </w:r>
          </w:p>
        </w:tc>
        <w:tc>
          <w:tcPr>
            <w:tcW w:w="2000" w:type="dxa"/>
            <w:vAlign w:val="bottom"/>
          </w:tcPr>
          <w:p>
            <w:pPr>
              <w:jc w:val="right"/>
              <w:spacing w:after="0"/>
              <w:rPr>
                <w:sz w:val="20"/>
                <w:szCs w:val="20"/>
                <w:color w:val="auto"/>
              </w:rPr>
            </w:pPr>
            <w:r>
              <w:rPr>
                <w:rFonts w:ascii="Arial" w:cs="Arial" w:eastAsia="Arial" w:hAnsi="Arial"/>
                <w:sz w:val="18"/>
                <w:szCs w:val="18"/>
                <w:color w:val="auto"/>
              </w:rPr>
              <w:t>April 30, 2021</w:t>
            </w:r>
          </w:p>
        </w:tc>
      </w:tr>
      <w:tr>
        <w:trPr>
          <w:trHeight w:val="22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Somersworth, New Hampshire</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30, 2021</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Shenzhen, China</w:t>
            </w:r>
          </w:p>
        </w:tc>
        <w:tc>
          <w:tcPr>
            <w:tcW w:w="2000" w:type="dxa"/>
            <w:vAlign w:val="bottom"/>
          </w:tcPr>
          <w:p>
            <w:pPr>
              <w:jc w:val="right"/>
              <w:spacing w:after="0"/>
              <w:rPr>
                <w:sz w:val="20"/>
                <w:szCs w:val="20"/>
                <w:color w:val="auto"/>
              </w:rPr>
            </w:pPr>
            <w:r>
              <w:rPr>
                <w:rFonts w:ascii="Arial" w:cs="Arial" w:eastAsia="Arial" w:hAnsi="Arial"/>
                <w:sz w:val="18"/>
                <w:szCs w:val="18"/>
                <w:color w:val="auto"/>
              </w:rPr>
              <w:t>August 31, 2021</w:t>
            </w:r>
          </w:p>
        </w:tc>
      </w:tr>
      <w:tr>
        <w:trPr>
          <w:trHeight w:val="22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Houlton, Maine</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January 31, 2022</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Wilsonville, Oregon</w:t>
            </w:r>
          </w:p>
        </w:tc>
        <w:tc>
          <w:tcPr>
            <w:tcW w:w="2000" w:type="dxa"/>
            <w:vAlign w:val="bottom"/>
          </w:tcPr>
          <w:p>
            <w:pPr>
              <w:jc w:val="right"/>
              <w:spacing w:after="0"/>
              <w:rPr>
                <w:sz w:val="20"/>
                <w:szCs w:val="20"/>
                <w:color w:val="auto"/>
              </w:rPr>
            </w:pPr>
            <w:r>
              <w:rPr>
                <w:rFonts w:ascii="Arial" w:cs="Arial" w:eastAsia="Arial" w:hAnsi="Arial"/>
                <w:sz w:val="18"/>
                <w:szCs w:val="18"/>
                <w:color w:val="auto"/>
              </w:rPr>
              <w:t>October 31, 2022</w:t>
            </w:r>
          </w:p>
        </w:tc>
      </w:tr>
      <w:tr>
        <w:trPr>
          <w:trHeight w:val="22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Columbia, Missouri (1)</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2023</w:t>
            </w:r>
          </w:p>
        </w:tc>
      </w:tr>
      <w:tr>
        <w:trPr>
          <w:trHeight w:val="229"/>
        </w:trPr>
        <w:tc>
          <w:tcPr>
            <w:tcW w:w="9240" w:type="dxa"/>
            <w:vAlign w:val="bottom"/>
            <w:gridSpan w:val="2"/>
          </w:tcPr>
          <w:p>
            <w:pPr>
              <w:spacing w:after="0"/>
              <w:rPr>
                <w:sz w:val="20"/>
                <w:szCs w:val="20"/>
                <w:color w:val="auto"/>
              </w:rPr>
            </w:pPr>
            <w:r>
              <w:rPr>
                <w:rFonts w:ascii="Arial" w:cs="Arial" w:eastAsia="Arial" w:hAnsi="Arial"/>
                <w:sz w:val="18"/>
                <w:szCs w:val="18"/>
                <w:color w:val="auto"/>
              </w:rPr>
              <w:t>Bentonville, Arkansas</w:t>
            </w:r>
          </w:p>
        </w:tc>
        <w:tc>
          <w:tcPr>
            <w:tcW w:w="2000" w:type="dxa"/>
            <w:vAlign w:val="bottom"/>
          </w:tcPr>
          <w:p>
            <w:pPr>
              <w:jc w:val="right"/>
              <w:spacing w:after="0"/>
              <w:rPr>
                <w:sz w:val="20"/>
                <w:szCs w:val="20"/>
                <w:color w:val="auto"/>
              </w:rPr>
            </w:pPr>
            <w:r>
              <w:rPr>
                <w:rFonts w:ascii="Arial" w:cs="Arial" w:eastAsia="Arial" w:hAnsi="Arial"/>
                <w:sz w:val="18"/>
                <w:szCs w:val="18"/>
                <w:color w:val="auto"/>
              </w:rPr>
              <w:t>December 31, 2023</w:t>
            </w:r>
          </w:p>
        </w:tc>
      </w:tr>
      <w:tr>
        <w:trPr>
          <w:trHeight w:val="230"/>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Deep River, Connecticut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May 4, 2024</w:t>
            </w:r>
          </w:p>
        </w:tc>
      </w:tr>
      <w:tr>
        <w:trPr>
          <w:trHeight w:val="229"/>
        </w:trPr>
        <w:tc>
          <w:tcPr>
            <w:tcW w:w="9240" w:type="dxa"/>
            <w:vAlign w:val="bottom"/>
            <w:gridSpan w:val="2"/>
          </w:tcPr>
          <w:p>
            <w:pPr>
              <w:spacing w:after="0"/>
              <w:rPr>
                <w:sz w:val="20"/>
                <w:szCs w:val="20"/>
                <w:color w:val="auto"/>
              </w:rPr>
            </w:pPr>
            <w:r>
              <w:rPr>
                <w:rFonts w:ascii="Arial" w:cs="Arial" w:eastAsia="Arial" w:hAnsi="Arial"/>
                <w:sz w:val="18"/>
                <w:szCs w:val="18"/>
                <w:color w:val="auto"/>
              </w:rPr>
              <w:t>Park City , Utah</w:t>
            </w:r>
          </w:p>
        </w:tc>
        <w:tc>
          <w:tcPr>
            <w:tcW w:w="2000" w:type="dxa"/>
            <w:vAlign w:val="bottom"/>
          </w:tcPr>
          <w:p>
            <w:pPr>
              <w:jc w:val="right"/>
              <w:spacing w:after="0"/>
              <w:rPr>
                <w:sz w:val="20"/>
                <w:szCs w:val="20"/>
                <w:color w:val="auto"/>
              </w:rPr>
            </w:pPr>
            <w:r>
              <w:rPr>
                <w:rFonts w:ascii="Arial" w:cs="Arial" w:eastAsia="Arial" w:hAnsi="Arial"/>
                <w:sz w:val="18"/>
                <w:szCs w:val="18"/>
                <w:color w:val="auto"/>
              </w:rPr>
              <w:t>August 31, 2024</w:t>
            </w:r>
          </w:p>
        </w:tc>
      </w:tr>
      <w:tr>
        <w:trPr>
          <w:trHeight w:val="230"/>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Herstal, Belgium</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January 21, 2027</w:t>
            </w:r>
          </w:p>
        </w:tc>
      </w:tr>
      <w:tr>
        <w:trPr>
          <w:trHeight w:val="229"/>
        </w:trPr>
        <w:tc>
          <w:tcPr>
            <w:tcW w:w="9240" w:type="dxa"/>
            <w:vAlign w:val="bottom"/>
            <w:gridSpan w:val="2"/>
          </w:tcPr>
          <w:p>
            <w:pPr>
              <w:spacing w:after="0"/>
              <w:rPr>
                <w:sz w:val="20"/>
                <w:szCs w:val="20"/>
                <w:color w:val="auto"/>
              </w:rPr>
            </w:pPr>
            <w:r>
              <w:rPr>
                <w:rFonts w:ascii="Arial" w:cs="Arial" w:eastAsia="Arial" w:hAnsi="Arial"/>
                <w:sz w:val="18"/>
                <w:szCs w:val="18"/>
                <w:color w:val="auto"/>
              </w:rPr>
              <w:t>Meridian, Idaho (1)</w:t>
            </w:r>
          </w:p>
        </w:tc>
        <w:tc>
          <w:tcPr>
            <w:tcW w:w="2000" w:type="dxa"/>
            <w:vAlign w:val="bottom"/>
          </w:tcPr>
          <w:p>
            <w:pPr>
              <w:jc w:val="right"/>
              <w:spacing w:after="0"/>
              <w:rPr>
                <w:sz w:val="20"/>
                <w:szCs w:val="20"/>
                <w:color w:val="auto"/>
              </w:rPr>
            </w:pPr>
            <w:r>
              <w:rPr>
                <w:rFonts w:ascii="Arial" w:cs="Arial" w:eastAsia="Arial" w:hAnsi="Arial"/>
                <w:sz w:val="18"/>
                <w:szCs w:val="18"/>
                <w:color w:val="auto"/>
              </w:rPr>
              <w:t>October 14, 2027</w:t>
            </w:r>
          </w:p>
        </w:tc>
      </w:tr>
      <w:tr>
        <w:trPr>
          <w:trHeight w:val="22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Columbia, Missouri</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25, 2038</w:t>
            </w:r>
          </w:p>
        </w:tc>
      </w:tr>
    </w:tbl>
    <w:p>
      <w:pPr>
        <w:spacing w:after="0" w:line="269"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Properties are subleased.</w:t>
      </w:r>
    </w:p>
    <w:p>
      <w:pPr>
        <w:spacing w:after="0" w:line="26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We also lease machinery, photocopiers, and vehicles for our national sales force with various expiration dates.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following table summarizes quarterly financial results in fiscal 2020 and 2019. In our opinion, all adjustments necessary to present fairly the information for such quarters have been reflected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b w:val="1"/>
                <w:bCs w:val="1"/>
                <w:color w:val="auto"/>
              </w:rPr>
              <w:t>For the Year Ended April 30, 2020</w:t>
            </w: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920"/>
              <w:spacing w:after="0" w:line="147"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1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right"/>
              <w:ind w:right="860"/>
              <w:spacing w:after="0" w:line="147" w:lineRule="exact"/>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2"/>
                <w:szCs w:val="12"/>
                <w:color w:val="auto"/>
              </w:rPr>
            </w:pPr>
          </w:p>
        </w:tc>
        <w:tc>
          <w:tcPr>
            <w:tcW w:w="10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Full</w:t>
            </w:r>
          </w:p>
        </w:tc>
        <w:tc>
          <w:tcPr>
            <w:tcW w:w="120" w:type="dxa"/>
            <w:vAlign w:val="bottom"/>
          </w:tcPr>
          <w:p>
            <w:pPr>
              <w:spacing w:after="0"/>
              <w:rPr>
                <w:sz w:val="12"/>
                <w:szCs w:val="12"/>
                <w:color w:val="auto"/>
              </w:rPr>
            </w:pPr>
          </w:p>
        </w:tc>
      </w:tr>
      <w:tr>
        <w:trPr>
          <w:trHeight w:val="171"/>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w:t>
            </w:r>
          </w:p>
        </w:tc>
      </w:tr>
      <w:tr>
        <w:trPr>
          <w:trHeight w:val="155"/>
        </w:trPr>
        <w:tc>
          <w:tcPr>
            <w:tcW w:w="20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8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123,665</w:t>
            </w:r>
          </w:p>
        </w:tc>
        <w:tc>
          <w:tcPr>
            <w:tcW w:w="4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154,388</w:t>
            </w:r>
          </w:p>
        </w:tc>
        <w:tc>
          <w:tcPr>
            <w:tcW w:w="3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166,695</w:t>
            </w:r>
          </w:p>
        </w:tc>
        <w:tc>
          <w:tcPr>
            <w:tcW w:w="4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233,642</w:t>
            </w:r>
          </w:p>
        </w:tc>
        <w:tc>
          <w:tcPr>
            <w:tcW w:w="4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678,390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Gross profit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47,854</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50,306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55,203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81,342</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234,705</w:t>
            </w:r>
          </w:p>
        </w:tc>
        <w:tc>
          <w:tcPr>
            <w:tcW w:w="120" w:type="dxa"/>
            <w:vAlign w:val="bottom"/>
          </w:tcPr>
          <w:p>
            <w:pPr>
              <w:spacing w:after="0"/>
              <w:rPr>
                <w:sz w:val="14"/>
                <w:szCs w:val="14"/>
                <w:color w:val="auto"/>
              </w:rPr>
            </w:pPr>
          </w:p>
        </w:tc>
      </w:tr>
      <w:tr>
        <w:trPr>
          <w:trHeight w:val="162"/>
        </w:trPr>
        <w:tc>
          <w:tcPr>
            <w:tcW w:w="2060" w:type="dxa"/>
            <w:vAlign w:val="bottom"/>
            <w:shd w:val="clear" w:color="auto" w:fill="CFF0FC"/>
          </w:tcPr>
          <w:p>
            <w:pPr>
              <w:spacing w:after="0"/>
              <w:rPr>
                <w:sz w:val="20"/>
                <w:szCs w:val="20"/>
                <w:color w:val="auto"/>
              </w:rPr>
            </w:pPr>
            <w:r>
              <w:rPr>
                <w:rFonts w:ascii="Arial" w:cs="Arial" w:eastAsia="Arial" w:hAnsi="Arial"/>
                <w:sz w:val="14"/>
                <w:szCs w:val="14"/>
                <w:color w:val="auto"/>
              </w:rPr>
              <w:t>Net (loss)/income</w:t>
            </w:r>
          </w:p>
        </w:tc>
        <w:tc>
          <w:tcPr>
            <w:tcW w:w="104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(2,108)</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1,293</w:t>
            </w:r>
          </w:p>
        </w:tc>
        <w:tc>
          <w:tcPr>
            <w:tcW w:w="6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5,731</w:t>
            </w:r>
          </w:p>
        </w:tc>
        <w:tc>
          <w:tcPr>
            <w:tcW w:w="68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(66,146) (b)</w:t>
            </w: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(61,230)</w:t>
            </w: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Per common share (a)</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Basic - total</w:t>
            </w:r>
          </w:p>
        </w:tc>
        <w:tc>
          <w:tcPr>
            <w:tcW w:w="104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(0.04)</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6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0.10</w:t>
            </w:r>
          </w:p>
        </w:tc>
        <w:tc>
          <w:tcPr>
            <w:tcW w:w="680" w:type="dxa"/>
            <w:vAlign w:val="bottom"/>
            <w:gridSpan w:val="2"/>
            <w:shd w:val="clear" w:color="auto" w:fill="CFF0FC"/>
          </w:tcPr>
          <w:p>
            <w:pPr>
              <w:jc w:val="right"/>
              <w:ind w:right="169"/>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(1.19)</w:t>
            </w: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(1.11)</w:t>
            </w:r>
          </w:p>
        </w:tc>
      </w:tr>
      <w:tr>
        <w:trPr>
          <w:trHeight w:val="182"/>
        </w:trPr>
        <w:tc>
          <w:tcPr>
            <w:tcW w:w="2060" w:type="dxa"/>
            <w:vAlign w:val="bottom"/>
          </w:tcPr>
          <w:p>
            <w:pPr>
              <w:ind w:left="260"/>
              <w:spacing w:after="0"/>
              <w:rPr>
                <w:sz w:val="20"/>
                <w:szCs w:val="20"/>
                <w:color w:val="auto"/>
              </w:rPr>
            </w:pPr>
            <w:r>
              <w:rPr>
                <w:rFonts w:ascii="Arial" w:cs="Arial" w:eastAsia="Arial" w:hAnsi="Arial"/>
                <w:sz w:val="14"/>
                <w:szCs w:val="14"/>
                <w:color w:val="auto"/>
              </w:rPr>
              <w:t>Diluted - total</w:t>
            </w:r>
          </w:p>
        </w:tc>
        <w:tc>
          <w:tcPr>
            <w:tcW w:w="10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360"/>
              <w:spacing w:after="0"/>
              <w:rPr>
                <w:sz w:val="20"/>
                <w:szCs w:val="20"/>
                <w:color w:val="auto"/>
              </w:rPr>
            </w:pPr>
            <w:r>
              <w:rPr>
                <w:rFonts w:ascii="Arial" w:cs="Arial" w:eastAsia="Arial" w:hAnsi="Arial"/>
                <w:sz w:val="14"/>
                <w:szCs w:val="14"/>
                <w:color w:val="auto"/>
              </w:rPr>
              <w:t>(0.04)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0.02</w:t>
            </w:r>
          </w:p>
        </w:tc>
        <w:tc>
          <w:tcPr>
            <w:tcW w:w="6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0.10</w:t>
            </w:r>
          </w:p>
        </w:tc>
        <w:tc>
          <w:tcPr>
            <w:tcW w:w="68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4"/>
                <w:szCs w:val="14"/>
                <w:color w:val="auto"/>
              </w:rPr>
              <w:t>(1.19)</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(1.11)</w:t>
            </w: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169"/>
              <w:spacing w:after="0"/>
              <w:rPr>
                <w:sz w:val="20"/>
                <w:szCs w:val="20"/>
                <w:color w:val="auto"/>
              </w:rPr>
            </w:pPr>
            <w:r>
              <w:rPr>
                <w:rFonts w:ascii="Arial" w:cs="Arial" w:eastAsia="Arial" w:hAnsi="Arial"/>
                <w:sz w:val="14"/>
                <w:szCs w:val="14"/>
                <w:b w:val="1"/>
                <w:bCs w:val="1"/>
                <w:color w:val="auto"/>
                <w:w w:val="95"/>
              </w:rPr>
              <w:t>For the Year Ended April 30, 2019</w:t>
            </w: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2"/>
                <w:szCs w:val="12"/>
                <w:color w:val="auto"/>
              </w:rPr>
            </w:pPr>
          </w:p>
        </w:tc>
        <w:tc>
          <w:tcPr>
            <w:tcW w:w="11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840"/>
              <w:spacing w:after="0" w:line="147" w:lineRule="exact"/>
              <w:rPr>
                <w:sz w:val="20"/>
                <w:szCs w:val="20"/>
                <w:color w:val="auto"/>
              </w:rPr>
            </w:pPr>
            <w:r>
              <w:rPr>
                <w:rFonts w:ascii="Arial" w:cs="Arial" w:eastAsia="Arial" w:hAnsi="Arial"/>
                <w:sz w:val="14"/>
                <w:szCs w:val="14"/>
                <w:b w:val="1"/>
                <w:bCs w:val="1"/>
                <w:color w:val="auto"/>
              </w:rPr>
              <w:t>Third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660"/>
              <w:spacing w:after="0" w:line="147" w:lineRule="exact"/>
              <w:rPr>
                <w:sz w:val="20"/>
                <w:szCs w:val="20"/>
                <w:color w:val="auto"/>
              </w:rPr>
            </w:pPr>
            <w:r>
              <w:rPr>
                <w:rFonts w:ascii="Arial" w:cs="Arial" w:eastAsia="Arial" w:hAnsi="Arial"/>
                <w:sz w:val="14"/>
                <w:szCs w:val="14"/>
                <w:b w:val="1"/>
                <w:bCs w:val="1"/>
                <w:color w:val="auto"/>
                <w:w w:val="99"/>
              </w:rPr>
              <w:t>Fourth</w:t>
            </w:r>
          </w:p>
        </w:tc>
        <w:tc>
          <w:tcPr>
            <w:tcW w:w="300" w:type="dxa"/>
            <w:vAlign w:val="bottom"/>
          </w:tcPr>
          <w:p>
            <w:pPr>
              <w:spacing w:after="0"/>
              <w:rPr>
                <w:sz w:val="12"/>
                <w:szCs w:val="12"/>
                <w:color w:val="auto"/>
              </w:rPr>
            </w:pPr>
          </w:p>
        </w:tc>
        <w:tc>
          <w:tcPr>
            <w:tcW w:w="1060" w:type="dxa"/>
            <w:vAlign w:val="bottom"/>
          </w:tcPr>
          <w:p>
            <w:pPr>
              <w:jc w:val="center"/>
              <w:ind w:right="248"/>
              <w:spacing w:after="0" w:line="147" w:lineRule="exact"/>
              <w:rPr>
                <w:sz w:val="20"/>
                <w:szCs w:val="20"/>
                <w:color w:val="auto"/>
              </w:rPr>
            </w:pPr>
            <w:r>
              <w:rPr>
                <w:rFonts w:ascii="Arial" w:cs="Arial" w:eastAsia="Arial" w:hAnsi="Arial"/>
                <w:sz w:val="14"/>
                <w:szCs w:val="14"/>
                <w:b w:val="1"/>
                <w:bCs w:val="1"/>
                <w:color w:val="auto"/>
              </w:rPr>
              <w:t>Full</w:t>
            </w:r>
          </w:p>
        </w:tc>
        <w:tc>
          <w:tcPr>
            <w:tcW w:w="120" w:type="dxa"/>
            <w:vAlign w:val="bottom"/>
          </w:tcPr>
          <w:p>
            <w:pPr>
              <w:spacing w:after="0"/>
              <w:rPr>
                <w:sz w:val="12"/>
                <w:szCs w:val="12"/>
                <w:color w:val="auto"/>
              </w:rPr>
            </w:pPr>
          </w:p>
        </w:tc>
      </w:tr>
      <w:tr>
        <w:trPr>
          <w:trHeight w:val="171"/>
        </w:trPr>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Year</w:t>
            </w:r>
          </w:p>
        </w:tc>
      </w:tr>
      <w:tr>
        <w:trPr>
          <w:trHeight w:val="155"/>
        </w:trPr>
        <w:tc>
          <w:tcPr>
            <w:tcW w:w="20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8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138,833</w:t>
            </w:r>
          </w:p>
        </w:tc>
        <w:tc>
          <w:tcPr>
            <w:tcW w:w="4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161,703</w:t>
            </w:r>
          </w:p>
        </w:tc>
        <w:tc>
          <w:tcPr>
            <w:tcW w:w="3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162,008</w:t>
            </w:r>
          </w:p>
        </w:tc>
        <w:tc>
          <w:tcPr>
            <w:tcW w:w="3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175,733</w:t>
            </w:r>
          </w:p>
        </w:tc>
        <w:tc>
          <w:tcPr>
            <w:tcW w:w="4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638,277</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Gross profit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52,422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56,386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54,059</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63,364</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226,231</w:t>
            </w:r>
          </w:p>
        </w:tc>
        <w:tc>
          <w:tcPr>
            <w:tcW w:w="120" w:type="dxa"/>
            <w:vAlign w:val="bottom"/>
          </w:tcPr>
          <w:p>
            <w:pPr>
              <w:spacing w:after="0"/>
              <w:rPr>
                <w:sz w:val="14"/>
                <w:szCs w:val="14"/>
                <w:color w:val="auto"/>
              </w:rPr>
            </w:pPr>
          </w:p>
        </w:tc>
      </w:tr>
      <w:tr>
        <w:trPr>
          <w:trHeight w:val="162"/>
        </w:trPr>
        <w:tc>
          <w:tcPr>
            <w:tcW w:w="2060" w:type="dxa"/>
            <w:vAlign w:val="bottom"/>
            <w:shd w:val="clear" w:color="auto" w:fill="CFF0FC"/>
          </w:tcPr>
          <w:p>
            <w:pPr>
              <w:spacing w:after="0"/>
              <w:rPr>
                <w:sz w:val="20"/>
                <w:szCs w:val="20"/>
                <w:color w:val="auto"/>
              </w:rPr>
            </w:pPr>
            <w:r>
              <w:rPr>
                <w:rFonts w:ascii="Arial" w:cs="Arial" w:eastAsia="Arial" w:hAnsi="Arial"/>
                <w:sz w:val="14"/>
                <w:szCs w:val="14"/>
                <w:color w:val="auto"/>
              </w:rPr>
              <w:t>Net income/(loss)</w:t>
            </w:r>
          </w:p>
        </w:tc>
        <w:tc>
          <w:tcPr>
            <w:tcW w:w="104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7,645</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6,665</w:t>
            </w:r>
          </w:p>
        </w:tc>
        <w:tc>
          <w:tcPr>
            <w:tcW w:w="6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(5,725) (c)</w:t>
            </w:r>
          </w:p>
        </w:tc>
        <w:tc>
          <w:tcPr>
            <w:tcW w:w="30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9,825</w:t>
            </w:r>
          </w:p>
        </w:tc>
        <w:tc>
          <w:tcPr>
            <w:tcW w:w="4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18,410</w:t>
            </w:r>
          </w:p>
        </w:tc>
        <w:tc>
          <w:tcPr>
            <w:tcW w:w="120" w:type="dxa"/>
            <w:vAlign w:val="bottom"/>
            <w:shd w:val="clear" w:color="auto" w:fill="CFF0FC"/>
          </w:tcPr>
          <w:p>
            <w:pPr>
              <w:spacing w:after="0"/>
              <w:rPr>
                <w:sz w:val="14"/>
                <w:szCs w:val="14"/>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Per common share (a)</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Basic – total</w:t>
            </w:r>
          </w:p>
        </w:tc>
        <w:tc>
          <w:tcPr>
            <w:tcW w:w="104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0.14</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0.12</w:t>
            </w:r>
          </w:p>
        </w:tc>
        <w:tc>
          <w:tcPr>
            <w:tcW w:w="6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(0.10)</w:t>
            </w:r>
          </w:p>
        </w:tc>
        <w:tc>
          <w:tcPr>
            <w:tcW w:w="30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0.18</w:t>
            </w:r>
          </w:p>
        </w:tc>
        <w:tc>
          <w:tcPr>
            <w:tcW w:w="4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FF0FC"/>
          </w:tcPr>
          <w:p>
            <w:pPr>
              <w:spacing w:after="0"/>
              <w:rPr>
                <w:sz w:val="14"/>
                <w:szCs w:val="14"/>
                <w:color w:val="auto"/>
              </w:rPr>
            </w:pPr>
          </w:p>
        </w:tc>
      </w:tr>
      <w:tr>
        <w:trPr>
          <w:trHeight w:val="182"/>
        </w:trPr>
        <w:tc>
          <w:tcPr>
            <w:tcW w:w="2060" w:type="dxa"/>
            <w:vAlign w:val="bottom"/>
          </w:tcPr>
          <w:p>
            <w:pPr>
              <w:ind w:left="260"/>
              <w:spacing w:after="0"/>
              <w:rPr>
                <w:sz w:val="20"/>
                <w:szCs w:val="20"/>
                <w:color w:val="auto"/>
              </w:rPr>
            </w:pPr>
            <w:r>
              <w:rPr>
                <w:rFonts w:ascii="Arial" w:cs="Arial" w:eastAsia="Arial" w:hAnsi="Arial"/>
                <w:sz w:val="14"/>
                <w:szCs w:val="14"/>
                <w:color w:val="auto"/>
              </w:rPr>
              <w:t>Diluted – total</w:t>
            </w:r>
          </w:p>
        </w:tc>
        <w:tc>
          <w:tcPr>
            <w:tcW w:w="10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0.14</w:t>
            </w:r>
          </w:p>
        </w:tc>
        <w:tc>
          <w:tcPr>
            <w:tcW w:w="400" w:type="dxa"/>
            <w:vAlign w:val="bottom"/>
          </w:tcPr>
          <w:p>
            <w:pPr>
              <w:spacing w:after="0"/>
              <w:rPr>
                <w:sz w:val="15"/>
                <w:szCs w:val="15"/>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0.12</w:t>
            </w:r>
          </w:p>
        </w:tc>
        <w:tc>
          <w:tcPr>
            <w:tcW w:w="6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(0.10)</w:t>
            </w:r>
          </w:p>
        </w:tc>
        <w:tc>
          <w:tcPr>
            <w:tcW w:w="3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0.18</w:t>
            </w:r>
          </w:p>
        </w:tc>
        <w:tc>
          <w:tcPr>
            <w:tcW w:w="420" w:type="dxa"/>
            <w:vAlign w:val="bottom"/>
          </w:tcPr>
          <w:p>
            <w:pPr>
              <w:spacing w:after="0"/>
              <w:rPr>
                <w:sz w:val="15"/>
                <w:szCs w:val="15"/>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944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34"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Basic and diluted earnings per share may not equal the sum of the quarterly basic and diluted earnings per share due to rounding.</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includes a $98.7 million non-cash goodwill impairment relating to our Outdoor Products &amp; Accessories segment.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includes a $10.4 million non-cash goodwill impairment relating to our Outdoor Products &amp; Accessories segment.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Reporting</w:t>
      </w:r>
    </w:p>
    <w:p>
      <w:pPr>
        <w:spacing w:after="0" w:line="121"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report our results of operations in two segments: (1) Firearms (which includes Firearms and Manufacturing Services divisions) and (2) Outdoor Products &amp; Accessories. Our two segments are defined based on the reporting and review process used by the chief operating decision makers, our co-Chief Executive Officers. The Firearms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Firearms segment. The Outdoor Products &amp; Accessories segment has been determined to be a single operating segment and reporting segment based on our measurement of incoming orders per day and sales and gross margin by customer and brand.</w:t>
      </w:r>
    </w:p>
    <w:p>
      <w:pPr>
        <w:spacing w:after="0" w:line="205"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Firearms segment includes our firearms, services, and other components, which we manufacture or provide at our facilities in Springfield, Massachusetts, Houlton, Maine,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our electro-optics products, which we develop, market, and assemble in our Wilsonville, Oregon facility. We report operating costs based on the activities performed within each segment.</w:t>
      </w:r>
    </w:p>
    <w:p>
      <w:pPr>
        <w:spacing w:after="0" w:line="188"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Segment assets are those directly used in or clearly allocable to a reportable segment’s operations. Assets by business segment are presented in the following table as of April 30, 2020 and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As of April 30, 2020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As of April 30, 2019</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Outdoor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Outdoor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Firearms</w:t>
            </w: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7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Firearms</w:t>
            </w:r>
          </w:p>
        </w:tc>
        <w:tc>
          <w:tcPr>
            <w:tcW w:w="2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8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Accessories</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Accessories</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467,978</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260,983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728,961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389,719</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377,070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766,789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147,642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157,417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170,549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Intangibles, net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68,772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87,179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Goodwill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19,024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64,581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163,245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Results by business segment are presented in the following table for the years ended April 30, 2020, 2019, and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4"/>
                <w:szCs w:val="14"/>
                <w:b w:val="1"/>
                <w:bCs w:val="1"/>
                <w:color w:val="auto"/>
              </w:rPr>
              <w:t>For the Year Ended April 30, 2020 (a)</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Outdoor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Intersegment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Firearms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Products &amp;</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Corporate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Accessories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3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526,027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152,363</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678,390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Intersegment revenue</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(18,697)</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3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529,614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167,473</w:t>
            </w: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678,390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363,924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98,143</w:t>
            </w: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165,690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69,330</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Operating income/(loss)</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58,911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(111,337) (b)</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(43,780)</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(48,819)</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13,497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(4,326)</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4"/>
                <w:szCs w:val="14"/>
                <w:b w:val="1"/>
                <w:bCs w:val="1"/>
                <w:color w:val="auto"/>
              </w:rPr>
              <w:t>For the Year Ended April 30, 2019 (a)</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7"/>
              </w:rPr>
              <w:t>Outdoor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Intersegment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Firearms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Corporate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Accessories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478,477</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159,800</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Intersegment revenue</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17,469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(20,327)</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revenue</w:t>
            </w:r>
          </w:p>
        </w:tc>
        <w:tc>
          <w:tcPr>
            <w:tcW w:w="13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481,335</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177,269</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335,051</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97,143</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146,284</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80,126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Operating income/(loss)</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59,663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(18,414) (c)</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(44,831)</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F-36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0"/>
          </w:tcPr>
          <w:p>
            <w:pPr>
              <w:jc w:val="right"/>
              <w:ind w:right="1007"/>
              <w:spacing w:after="0"/>
              <w:rPr>
                <w:sz w:val="20"/>
                <w:szCs w:val="20"/>
                <w:color w:val="auto"/>
              </w:rPr>
            </w:pPr>
            <w:r>
              <w:rPr>
                <w:rFonts w:ascii="Arial" w:cs="Arial" w:eastAsia="Arial" w:hAnsi="Arial"/>
                <w:sz w:val="14"/>
                <w:szCs w:val="14"/>
                <w:b w:val="1"/>
                <w:bCs w:val="1"/>
                <w:color w:val="auto"/>
              </w:rPr>
              <w:t>For the Year Ended April 30, 2018 (a)</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Intersegment</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Firearms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Products &amp;</w:t>
            </w:r>
          </w:p>
        </w:tc>
        <w:tc>
          <w:tcPr>
            <w:tcW w:w="14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Accessories</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external customers</w:t>
            </w:r>
          </w:p>
        </w:tc>
        <w:tc>
          <w:tcPr>
            <w:tcW w:w="1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448,986</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157,864</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606,850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Intersegment revenue</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13,816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(17,623)</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452,793</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171,680</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606,850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332,889</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(d)</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93,822</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119,903</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77,859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Operating income/(loss)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(5,508)</w:t>
            </w: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(44,128)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16,729</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(8,059)</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(11,181)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9944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95" w:lineRule="exact"/>
        <w:rPr>
          <w:sz w:val="20"/>
          <w:szCs w:val="20"/>
          <w:color w:val="auto"/>
        </w:rPr>
      </w:pPr>
    </w:p>
    <w:p>
      <w:pPr>
        <w:ind w:left="580" w:hanging="572"/>
        <w:spacing w:after="0" w:line="291"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years ended April 30, 2020, 2019, and 2018, we allocated all of corporate overhead expenses except for interest and income taxes, such as general and administrative expenses and other corporate-level expenses, to both our Firearms and Outdoor Products &amp; Accessories segments.</w:t>
      </w: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includes a non-cash goodwill charge of $98.7 million.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includes a non-cash goodwill charge of $10.4 million.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includes $500,000 of additional cost of goods sold from the fair value inventory step-up related to our 2018 Acquisitions.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SMITH &amp; WESSON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April 30, 2020, 2019, and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Additions</w:t>
            </w:r>
          </w:p>
        </w:tc>
        <w:tc>
          <w:tcPr>
            <w:tcW w:w="10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07"/>
              <w:spacing w:after="0" w:line="147" w:lineRule="exact"/>
              <w:rPr>
                <w:sz w:val="20"/>
                <w:szCs w:val="20"/>
                <w:color w:val="auto"/>
              </w:rPr>
            </w:pPr>
            <w:r>
              <w:rPr>
                <w:rFonts w:ascii="Arial" w:cs="Arial" w:eastAsia="Arial" w:hAnsi="Arial"/>
                <w:sz w:val="14"/>
                <w:szCs w:val="14"/>
                <w:b w:val="1"/>
                <w:bCs w:val="1"/>
                <w:color w:val="auto"/>
                <w:w w:val="94"/>
              </w:rPr>
              <w:t>Charged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Costs and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27"/>
              <w:spacing w:after="0"/>
              <w:rPr>
                <w:sz w:val="20"/>
                <w:szCs w:val="20"/>
                <w:color w:val="auto"/>
              </w:rPr>
            </w:pPr>
            <w:r>
              <w:rPr>
                <w:rFonts w:ascii="Arial" w:cs="Arial" w:eastAsia="Arial" w:hAnsi="Arial"/>
                <w:sz w:val="14"/>
                <w:szCs w:val="14"/>
                <w:b w:val="1"/>
                <w:bCs w:val="1"/>
                <w:color w:val="auto"/>
                <w:w w:val="96"/>
              </w:rPr>
              <w:t>Other</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r>
      <w:tr>
        <w:trPr>
          <w:trHeight w:val="17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May 1,</w:t>
            </w:r>
          </w:p>
        </w:tc>
        <w:tc>
          <w:tcPr>
            <w:tcW w:w="18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27"/>
              <w:spacing w:after="0"/>
              <w:rPr>
                <w:sz w:val="20"/>
                <w:szCs w:val="20"/>
                <w:color w:val="auto"/>
              </w:rPr>
            </w:pPr>
            <w:r>
              <w:rPr>
                <w:rFonts w:ascii="Arial" w:cs="Arial" w:eastAsia="Arial" w:hAnsi="Arial"/>
                <w:sz w:val="14"/>
                <w:szCs w:val="14"/>
                <w:b w:val="1"/>
                <w:bCs w:val="1"/>
                <w:color w:val="auto"/>
                <w:w w:val="87"/>
              </w:rPr>
              <w:t>Accounts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April 30,</w:t>
            </w:r>
          </w:p>
        </w:tc>
      </w:tr>
      <w:tr>
        <w:trPr>
          <w:trHeight w:val="156"/>
        </w:trPr>
        <w:tc>
          <w:tcPr>
            <w:tcW w:w="29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4"/>
                <w:szCs w:val="14"/>
                <w:color w:val="auto"/>
              </w:rPr>
              <w:t>Allowance for doubtful accounts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1,899</w:t>
            </w:r>
          </w:p>
        </w:tc>
        <w:tc>
          <w:tcPr>
            <w:tcW w:w="3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color w:val="auto"/>
              </w:rPr>
              <w:t>(742)</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8"/>
                <w:szCs w:val="18"/>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Deferred tax valuation allowance</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(390)</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3,186</w:t>
            </w:r>
          </w:p>
        </w:tc>
        <w:tc>
          <w:tcPr>
            <w:tcW w:w="100" w:type="dxa"/>
            <w:vAlign w:val="bottom"/>
            <w:shd w:val="clear" w:color="auto" w:fill="CFF0FC"/>
          </w:tcPr>
          <w:p>
            <w:pPr>
              <w:spacing w:after="0"/>
              <w:rPr>
                <w:sz w:val="14"/>
                <w:szCs w:val="14"/>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Allowance for doubtful accounts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(556)</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FF0FC"/>
          </w:tcPr>
          <w:p>
            <w:pPr>
              <w:spacing w:after="0"/>
              <w:rPr>
                <w:sz w:val="18"/>
                <w:szCs w:val="18"/>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Deferred tax valuation allowance</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3,336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3,576</w:t>
            </w:r>
          </w:p>
        </w:tc>
        <w:tc>
          <w:tcPr>
            <w:tcW w:w="100" w:type="dxa"/>
            <w:vAlign w:val="bottom"/>
          </w:tcPr>
          <w:p>
            <w:pPr>
              <w:spacing w:after="0"/>
              <w:rPr>
                <w:sz w:val="14"/>
                <w:szCs w:val="14"/>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2018</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Allowance for doubtful accounts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598</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401</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4"/>
                <w:szCs w:val="14"/>
                <w:color w:val="auto"/>
              </w:rPr>
              <w:t>(175) (3)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14"/>
                <w:szCs w:val="14"/>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Deferred tax valuation allowance</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3,336</w:t>
            </w:r>
          </w:p>
        </w:tc>
        <w:tc>
          <w:tcPr>
            <w:tcW w:w="100" w:type="dxa"/>
            <w:vAlign w:val="bottom"/>
            <w:shd w:val="clear" w:color="auto" w:fill="CFF0FC"/>
          </w:tcPr>
          <w:p>
            <w:pPr>
              <w:spacing w:after="0"/>
              <w:rPr>
                <w:sz w:val="14"/>
                <w:szCs w:val="14"/>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21" w:right="339" w:bottom="1440" w:gutter="0" w:footer="0" w:header="0"/>
        </w:sectPr>
      </w:pPr>
    </w:p>
    <w:bookmarkStart w:id="119" w:name="page120"/>
    <w:bookmarkEnd w:id="119"/>
    <w:p>
      <w:pPr>
        <w:ind w:left="9240"/>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119380</wp:posOffset>
            </wp:positionV>
            <wp:extent cx="6086475" cy="4740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6086475" cy="474027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7540" w:type="dxa"/>
            <w:vAlign w:val="bottom"/>
            <w:gridSpan w:val="3"/>
          </w:tcPr>
          <w:p>
            <w:pPr>
              <w:jc w:val="right"/>
              <w:ind w:right="4895"/>
              <w:spacing w:after="0"/>
              <w:rPr>
                <w:sz w:val="20"/>
                <w:szCs w:val="20"/>
                <w:color w:val="auto"/>
              </w:rPr>
            </w:pPr>
            <w:r>
              <w:rPr>
                <w:rFonts w:ascii="Arial" w:cs="Arial" w:eastAsia="Arial" w:hAnsi="Arial"/>
                <w:sz w:val="18"/>
                <w:szCs w:val="18"/>
                <w:b w:val="1"/>
                <w:bCs w:val="1"/>
                <w:color w:val="auto"/>
              </w:rPr>
              <w:t>SUBSIDIARIES</w:t>
            </w:r>
          </w:p>
        </w:tc>
        <w:tc>
          <w:tcPr>
            <w:tcW w:w="0" w:type="dxa"/>
            <w:vAlign w:val="bottom"/>
          </w:tcPr>
          <w:p>
            <w:pPr>
              <w:spacing w:after="0"/>
              <w:rPr>
                <w:sz w:val="1"/>
                <w:szCs w:val="1"/>
                <w:color w:val="auto"/>
              </w:rPr>
            </w:pPr>
          </w:p>
        </w:tc>
      </w:tr>
      <w:tr>
        <w:trPr>
          <w:trHeight w:val="34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right"/>
              <w:ind w:right="135"/>
              <w:spacing w:after="0"/>
              <w:rPr>
                <w:sz w:val="20"/>
                <w:szCs w:val="20"/>
                <w:color w:val="auto"/>
              </w:rPr>
            </w:pPr>
            <w:r>
              <w:rPr>
                <w:rFonts w:ascii="Arial" w:cs="Arial" w:eastAsia="Arial" w:hAnsi="Arial"/>
                <w:sz w:val="14"/>
                <w:szCs w:val="14"/>
                <w:b w:val="1"/>
                <w:bCs w:val="1"/>
                <w:color w:val="auto"/>
              </w:rPr>
              <w:t>State or Jurisdiction</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57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of Organization</w:t>
            </w: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Smith &amp; Wesson Inc.</w:t>
            </w:r>
          </w:p>
        </w:tc>
        <w:tc>
          <w:tcPr>
            <w:tcW w:w="5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Smith &amp; Wesson Sales Company</w:t>
            </w: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AOB Products Company</w:t>
            </w:r>
          </w:p>
        </w:tc>
        <w:tc>
          <w:tcPr>
            <w:tcW w:w="5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Crimson Trace Corporation</w:t>
            </w:r>
          </w:p>
        </w:tc>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333-180057, 333-193001, 333-193003 on Form S-8, of our reports dated June 19, 2020, relating to the consolidated financial statements and financial statement schedule of Smith &amp; Wesson Brands, Inc. and subsidiaries, and the effectiveness of Smith &amp; Wesson Brands, Inc. and subsidiaries’ internal control over financial reporting, appearing in this Annual Report on Form 10-K of Smith &amp; Wesson Brands, Inc. for the year ended April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2020</w:t>
      </w:r>
    </w:p>
    <w:p>
      <w:pPr>
        <w:sectPr>
          <w:pgSz w:w="11900" w:h="16838" w:orient="portrait"/>
          <w:cols w:equalWidth="0" w:num="1">
            <w:col w:w="11240"/>
          </w:cols>
          <w:pgMar w:left="320" w:top="135" w:right="339" w:bottom="1440" w:gutter="0" w:footer="0" w:header="0"/>
        </w:sectPr>
      </w:pPr>
    </w:p>
    <w:bookmarkStart w:id="122" w:name="page123"/>
    <w:bookmarkEnd w:id="12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P. Smith, certify that:</w:t>
      </w:r>
    </w:p>
    <w:p>
      <w:pPr>
        <w:spacing w:after="0" w:line="117" w:lineRule="exact"/>
        <w:rPr>
          <w:sz w:val="20"/>
          <w:szCs w:val="20"/>
          <w:color w:val="auto"/>
        </w:rPr>
      </w:pPr>
    </w:p>
    <w:p>
      <w:pPr>
        <w:ind w:left="780" w:hanging="18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Smith &amp; Wesson Brands, Inc.;</w:t>
      </w:r>
    </w:p>
    <w:p>
      <w:pPr>
        <w:spacing w:after="0" w:line="117" w:lineRule="exact"/>
        <w:rPr>
          <w:rFonts w:ascii="Arial" w:cs="Arial" w:eastAsia="Arial" w:hAnsi="Arial"/>
          <w:sz w:val="18"/>
          <w:szCs w:val="18"/>
          <w:color w:val="auto"/>
        </w:rPr>
      </w:pPr>
    </w:p>
    <w:p>
      <w:pPr>
        <w:ind w:firstLine="597"/>
        <w:spacing w:after="0" w:line="342" w:lineRule="auto"/>
        <w:tabs>
          <w:tab w:leader="none" w:pos="76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20" w:firstLine="597"/>
        <w:spacing w:after="0" w:line="308" w:lineRule="auto"/>
        <w:tabs>
          <w:tab w:leader="none" w:pos="768"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firstLine="597"/>
        <w:spacing w:after="0" w:line="263" w:lineRule="auto"/>
        <w:tabs>
          <w:tab w:leader="none" w:pos="7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1183"/>
        <w:spacing w:after="0" w:line="263" w:lineRule="auto"/>
        <w:tabs>
          <w:tab w:leader="none" w:pos="13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40" w:firstLine="1183"/>
        <w:spacing w:after="0" w:line="263" w:lineRule="auto"/>
        <w:tabs>
          <w:tab w:leader="none" w:pos="13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80" w:firstLine="1183"/>
        <w:spacing w:after="0" w:line="308" w:lineRule="auto"/>
        <w:tabs>
          <w:tab w:leader="none" w:pos="1359"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140" w:firstLine="1183"/>
        <w:spacing w:after="0" w:line="263" w:lineRule="auto"/>
        <w:tabs>
          <w:tab w:leader="none" w:pos="13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40" w:firstLine="597"/>
        <w:spacing w:after="0" w:line="308" w:lineRule="auto"/>
        <w:tabs>
          <w:tab w:leader="none" w:pos="7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80" w:firstLine="1183"/>
        <w:spacing w:after="0" w:line="308" w:lineRule="auto"/>
        <w:tabs>
          <w:tab w:leader="none" w:pos="1359"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60" w:firstLine="1183"/>
        <w:spacing w:after="0" w:line="277" w:lineRule="auto"/>
        <w:tabs>
          <w:tab w:leader="none" w:pos="13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P. Smith</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Mark P. Smith</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Co-President and Co-Chief Executive Officer</w:t>
            </w:r>
          </w:p>
        </w:tc>
      </w:tr>
    </w:tbl>
    <w:p>
      <w:pPr>
        <w:sectPr>
          <w:pgSz w:w="11900" w:h="16838" w:orient="portrait"/>
          <w:cols w:equalWidth="0" w:num="1">
            <w:col w:w="11240"/>
          </w:cols>
          <w:pgMar w:left="320" w:top="121" w:right="339" w:bottom="1440" w:gutter="0" w:footer="0" w:header="0"/>
        </w:sectPr>
      </w:pPr>
    </w:p>
    <w:bookmarkStart w:id="123" w:name="page124"/>
    <w:bookmarkEnd w:id="12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D. Murphy, certify that:</w:t>
      </w:r>
    </w:p>
    <w:p>
      <w:pPr>
        <w:spacing w:after="0" w:line="117" w:lineRule="exact"/>
        <w:rPr>
          <w:sz w:val="20"/>
          <w:szCs w:val="20"/>
          <w:color w:val="auto"/>
        </w:rPr>
      </w:pPr>
    </w:p>
    <w:p>
      <w:pPr>
        <w:ind w:left="780" w:hanging="18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Smith &amp; Wesson Brands, Inc.;</w:t>
      </w:r>
    </w:p>
    <w:p>
      <w:pPr>
        <w:spacing w:after="0" w:line="117" w:lineRule="exact"/>
        <w:rPr>
          <w:rFonts w:ascii="Arial" w:cs="Arial" w:eastAsia="Arial" w:hAnsi="Arial"/>
          <w:sz w:val="18"/>
          <w:szCs w:val="18"/>
          <w:color w:val="auto"/>
        </w:rPr>
      </w:pPr>
    </w:p>
    <w:p>
      <w:pPr>
        <w:ind w:firstLine="597"/>
        <w:spacing w:after="0" w:line="342" w:lineRule="auto"/>
        <w:tabs>
          <w:tab w:leader="none" w:pos="76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20" w:firstLine="597"/>
        <w:spacing w:after="0" w:line="308" w:lineRule="auto"/>
        <w:tabs>
          <w:tab w:leader="none" w:pos="768"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firstLine="597"/>
        <w:spacing w:after="0" w:line="263" w:lineRule="auto"/>
        <w:tabs>
          <w:tab w:leader="none" w:pos="7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1183"/>
        <w:spacing w:after="0" w:line="263" w:lineRule="auto"/>
        <w:tabs>
          <w:tab w:leader="none" w:pos="1359"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40" w:firstLine="1183"/>
        <w:spacing w:after="0" w:line="263" w:lineRule="auto"/>
        <w:tabs>
          <w:tab w:leader="none" w:pos="13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80" w:firstLine="1183"/>
        <w:spacing w:after="0" w:line="308" w:lineRule="auto"/>
        <w:tabs>
          <w:tab w:leader="none" w:pos="1359"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140" w:firstLine="1183"/>
        <w:spacing w:after="0" w:line="263" w:lineRule="auto"/>
        <w:tabs>
          <w:tab w:leader="none" w:pos="13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40" w:firstLine="597"/>
        <w:spacing w:after="0" w:line="308" w:lineRule="auto"/>
        <w:tabs>
          <w:tab w:leader="none" w:pos="76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80" w:firstLine="1183"/>
        <w:spacing w:after="0" w:line="308" w:lineRule="auto"/>
        <w:tabs>
          <w:tab w:leader="none" w:pos="1359"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60" w:firstLine="1183"/>
        <w:spacing w:after="0" w:line="277" w:lineRule="auto"/>
        <w:tabs>
          <w:tab w:leader="none" w:pos="13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Brian D. Murphy</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Brian D. Murphy</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Co-President and Co-Chief Executive Officer</w:t>
            </w:r>
          </w:p>
        </w:tc>
      </w:tr>
    </w:tbl>
    <w:p>
      <w:pPr>
        <w:sectPr>
          <w:pgSz w:w="11900" w:h="16838" w:orient="portrait"/>
          <w:cols w:equalWidth="0" w:num="1">
            <w:col w:w="11240"/>
          </w:cols>
          <w:pgMar w:left="320" w:top="121" w:right="339" w:bottom="1440" w:gutter="0" w:footer="0" w:header="0"/>
        </w:sectPr>
      </w:pPr>
    </w:p>
    <w:bookmarkStart w:id="124" w:name="page125"/>
    <w:bookmarkEnd w:id="124"/>
    <w:p>
      <w:pPr>
        <w:ind w:left="10320"/>
        <w:spacing w:after="0"/>
        <w:rPr>
          <w:sz w:val="20"/>
          <w:szCs w:val="20"/>
          <w:color w:val="auto"/>
        </w:rPr>
      </w:pPr>
      <w:r>
        <w:rPr>
          <w:rFonts w:ascii="Arial" w:cs="Arial" w:eastAsia="Arial" w:hAnsi="Arial"/>
          <w:sz w:val="16"/>
          <w:szCs w:val="16"/>
          <w:b w:val="1"/>
          <w:bCs w:val="1"/>
          <w:color w:val="auto"/>
        </w:rPr>
        <w:t>Exhibit 31.3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Buchanan, certify that:</w:t>
      </w:r>
    </w:p>
    <w:p>
      <w:pPr>
        <w:spacing w:after="0" w:line="117" w:lineRule="exact"/>
        <w:rPr>
          <w:sz w:val="20"/>
          <w:szCs w:val="20"/>
          <w:color w:val="auto"/>
        </w:rPr>
      </w:pPr>
    </w:p>
    <w:p>
      <w:pPr>
        <w:ind w:left="780" w:hanging="183"/>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Smith &amp; Wesson Brands, Inc.;</w:t>
      </w:r>
    </w:p>
    <w:p>
      <w:pPr>
        <w:spacing w:after="0" w:line="117" w:lineRule="exact"/>
        <w:rPr>
          <w:rFonts w:ascii="Arial" w:cs="Arial" w:eastAsia="Arial" w:hAnsi="Arial"/>
          <w:sz w:val="18"/>
          <w:szCs w:val="18"/>
          <w:color w:val="auto"/>
        </w:rPr>
      </w:pPr>
    </w:p>
    <w:p>
      <w:pPr>
        <w:ind w:firstLine="597"/>
        <w:spacing w:after="0" w:line="342" w:lineRule="auto"/>
        <w:tabs>
          <w:tab w:leader="none" w:pos="7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20" w:firstLine="597"/>
        <w:spacing w:after="0" w:line="308" w:lineRule="auto"/>
        <w:tabs>
          <w:tab w:leader="none" w:pos="768"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firstLine="597"/>
        <w:spacing w:after="0" w:line="263" w:lineRule="auto"/>
        <w:tabs>
          <w:tab w:leader="none" w:pos="7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1183"/>
        <w:spacing w:after="0" w:line="263" w:lineRule="auto"/>
        <w:tabs>
          <w:tab w:leader="none" w:pos="135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40" w:firstLine="1183"/>
        <w:spacing w:after="0" w:line="263" w:lineRule="auto"/>
        <w:tabs>
          <w:tab w:leader="none" w:pos="13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80" w:firstLine="1183"/>
        <w:spacing w:after="0" w:line="308" w:lineRule="auto"/>
        <w:tabs>
          <w:tab w:leader="none" w:pos="1359"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140" w:firstLine="1183"/>
        <w:spacing w:after="0" w:line="263" w:lineRule="auto"/>
        <w:tabs>
          <w:tab w:leader="none" w:pos="13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40" w:firstLine="597"/>
        <w:spacing w:after="0" w:line="308" w:lineRule="auto"/>
        <w:tabs>
          <w:tab w:leader="none" w:pos="7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80" w:firstLine="1183"/>
        <w:spacing w:after="0" w:line="308" w:lineRule="auto"/>
        <w:tabs>
          <w:tab w:leader="none" w:pos="1359"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60" w:firstLine="1183"/>
        <w:spacing w:after="0" w:line="277" w:lineRule="auto"/>
        <w:tabs>
          <w:tab w:leader="none" w:pos="13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Jeffrey D. Buchanan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Executive Vice President, Chief Financial Officer, Chief</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Administrative Officer, and Treasurer</w:t>
            </w:r>
          </w:p>
        </w:tc>
      </w:tr>
    </w:tbl>
    <w:p>
      <w:pPr>
        <w:sectPr>
          <w:pgSz w:w="11900" w:h="16838" w:orient="portrait"/>
          <w:cols w:equalWidth="0" w:num="1">
            <w:col w:w="11240"/>
          </w:cols>
          <w:pgMar w:left="320" w:top="121" w:right="339" w:bottom="1440" w:gutter="0" w:footer="0" w:header="0"/>
        </w:sectPr>
      </w:pPr>
    </w:p>
    <w:bookmarkStart w:id="125" w:name="page126"/>
    <w:bookmarkEnd w:id="125"/>
    <w:p>
      <w:pPr>
        <w:ind w:left="10320"/>
        <w:spacing w:after="0"/>
        <w:rPr>
          <w:sz w:val="20"/>
          <w:szCs w:val="20"/>
          <w:color w:val="auto"/>
        </w:rPr>
      </w:pPr>
      <w:r>
        <w:rPr>
          <w:rFonts w:ascii="Arial" w:cs="Arial" w:eastAsia="Arial" w:hAnsi="Arial"/>
          <w:sz w:val="16"/>
          <w:szCs w:val="16"/>
          <w:b w:val="1"/>
          <w:bCs w:val="1"/>
          <w:color w:val="auto"/>
        </w:rPr>
        <w:t>Exhibit 31.4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Deana L. McPherson, certify that:</w:t>
      </w:r>
    </w:p>
    <w:p>
      <w:pPr>
        <w:spacing w:after="0" w:line="117" w:lineRule="exact"/>
        <w:rPr>
          <w:sz w:val="20"/>
          <w:szCs w:val="20"/>
          <w:color w:val="auto"/>
        </w:rPr>
      </w:pPr>
    </w:p>
    <w:p>
      <w:pPr>
        <w:ind w:left="780" w:hanging="183"/>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Smith &amp; Wesson Brands, Inc.;</w:t>
      </w:r>
    </w:p>
    <w:p>
      <w:pPr>
        <w:spacing w:after="0" w:line="117" w:lineRule="exact"/>
        <w:rPr>
          <w:rFonts w:ascii="Arial" w:cs="Arial" w:eastAsia="Arial" w:hAnsi="Arial"/>
          <w:sz w:val="18"/>
          <w:szCs w:val="18"/>
          <w:color w:val="auto"/>
        </w:rPr>
      </w:pPr>
    </w:p>
    <w:p>
      <w:pPr>
        <w:ind w:firstLine="597"/>
        <w:spacing w:after="0" w:line="342" w:lineRule="auto"/>
        <w:tabs>
          <w:tab w:leader="none" w:pos="7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20" w:firstLine="597"/>
        <w:spacing w:after="0" w:line="308" w:lineRule="auto"/>
        <w:tabs>
          <w:tab w:leader="none" w:pos="768"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firstLine="597"/>
        <w:spacing w:after="0" w:line="263" w:lineRule="auto"/>
        <w:tabs>
          <w:tab w:leader="none" w:pos="7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firstLine="1183"/>
        <w:spacing w:after="0" w:line="263" w:lineRule="auto"/>
        <w:tabs>
          <w:tab w:leader="none" w:pos="135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40" w:firstLine="1183"/>
        <w:spacing w:after="0" w:line="263" w:lineRule="auto"/>
        <w:tabs>
          <w:tab w:leader="none" w:pos="13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80" w:firstLine="1183"/>
        <w:spacing w:after="0" w:line="308" w:lineRule="auto"/>
        <w:tabs>
          <w:tab w:leader="none" w:pos="1359"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right="140" w:firstLine="1183"/>
        <w:spacing w:after="0" w:line="263" w:lineRule="auto"/>
        <w:tabs>
          <w:tab w:leader="none" w:pos="13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40" w:firstLine="597"/>
        <w:spacing w:after="0" w:line="308" w:lineRule="auto"/>
        <w:tabs>
          <w:tab w:leader="none" w:pos="7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80" w:firstLine="1183"/>
        <w:spacing w:after="0" w:line="308" w:lineRule="auto"/>
        <w:tabs>
          <w:tab w:leader="none" w:pos="1359"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60" w:firstLine="1183"/>
        <w:spacing w:after="0" w:line="277" w:lineRule="auto"/>
        <w:tabs>
          <w:tab w:leader="none" w:pos="13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Deana L. McPherson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Deana L. McPherson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Vice President, Chief Accounting Officer, Corporate</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Controller, and Assistant Treasurer</w:t>
            </w:r>
          </w:p>
        </w:tc>
      </w:tr>
    </w:tbl>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In connection with the Annual Report on Form 10-K of Smith &amp; Wesson Brands, Inc. (the “Company”) for the year ended April 30, 2020, as filed with the Securities and Exchange Commission on the date hereof (the “Report”), I, Mark P. Smith, Co-President and Co-Chief Executive Officer of the Company, certify, to my best knowledge and belief, pursuant to 18 U.S.C. § 1350, as adopted pursuant to § 906 of the Sarbanes-Oxley Act of 2002, that:</w:t>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P. Smith</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Mark P. Smith</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Co-President and Co-Chief Executive Officer</w:t>
            </w:r>
          </w:p>
        </w:tc>
      </w:tr>
    </w:tbl>
    <w:p>
      <w:pPr>
        <w:sectPr>
          <w:pgSz w:w="11900" w:h="16838" w:orient="portrait"/>
          <w:cols w:equalWidth="0" w:num="1">
            <w:col w:w="11240"/>
          </w:cols>
          <w:pgMar w:left="320" w:top="337"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89"/>
        <w:spacing w:after="0" w:line="311" w:lineRule="auto"/>
        <w:rPr>
          <w:sz w:val="20"/>
          <w:szCs w:val="20"/>
          <w:color w:val="auto"/>
        </w:rPr>
      </w:pPr>
      <w:r>
        <w:rPr>
          <w:rFonts w:ascii="Arial" w:cs="Arial" w:eastAsia="Arial" w:hAnsi="Arial"/>
          <w:sz w:val="16"/>
          <w:szCs w:val="16"/>
          <w:color w:val="auto"/>
        </w:rPr>
        <w:t>In connection with the Annual Report on Form 10-K of Smith &amp; Wesson Brands, Inc. (the “Company”) for the year ended April 30, 2020, as filed with the Securities and Exchange Commission on the date hereof (the “Report”), I, Brian D. Murphy, Co-President and Co-Chief Executive Officer of the Company, certify, to my best knowledge and belief, pursuant to 18 U.S.C. § 1350, as adopted pursuant to § 906 of the Sarbanes-Oxley Act of 2002, that:</w:t>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Brian D. Murphy</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Brian D. Murphy</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Co-President and Co-Chief Executive Officer</w:t>
            </w:r>
          </w:p>
        </w:tc>
      </w:tr>
    </w:tbl>
    <w:p>
      <w:pPr>
        <w:sectPr>
          <w:pgSz w:w="11900" w:h="16838" w:orient="portrait"/>
          <w:cols w:equalWidth="0" w:num="1">
            <w:col w:w="11240"/>
          </w:cols>
          <w:pgMar w:left="320" w:top="337"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In connection with the Annual Report on Form 10-K of Smith &amp; Wesson Brands, Inc. (the “Company”) for the year ended April 30, 2020, as filed with the Securities and Exchange Commission on the date hereof (the “Report”), I, Jeffrey D. Buchanan, Executive Vice President, Chief Financial Officer, Chief Administrative Officer, and Treasurer of the Company, certify, to my best knowledge and belief, pursuant to 18 U.S.C. § 1350, as adopted pursuant to</w:t>
      </w:r>
    </w:p>
    <w:p>
      <w:pPr>
        <w:spacing w:after="0" w:line="2"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906 of the Sarbanes-Oxley Act of 2002, that:</w:t>
      </w:r>
    </w:p>
    <w:p>
      <w:pPr>
        <w:spacing w:after="0" w:line="102" w:lineRule="exact"/>
        <w:rPr>
          <w:rFonts w:ascii="Arial" w:cs="Arial" w:eastAsia="Arial" w:hAnsi="Arial"/>
          <w:sz w:val="18"/>
          <w:szCs w:val="18"/>
          <w:color w:val="auto"/>
        </w:rPr>
      </w:pPr>
    </w:p>
    <w:p>
      <w:pPr>
        <w:ind w:left="1440" w:hanging="257"/>
        <w:spacing w:after="0"/>
        <w:tabs>
          <w:tab w:leader="none" w:pos="14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78o(d)); and</w:t>
      </w:r>
    </w:p>
    <w:p>
      <w:pPr>
        <w:spacing w:after="0" w:line="102" w:lineRule="exact"/>
        <w:rPr>
          <w:rFonts w:ascii="Arial" w:cs="Arial" w:eastAsia="Arial" w:hAnsi="Arial"/>
          <w:sz w:val="16"/>
          <w:szCs w:val="16"/>
          <w:color w:val="auto"/>
        </w:rPr>
      </w:pPr>
    </w:p>
    <w:p>
      <w:pPr>
        <w:ind w:left="1440" w:hanging="257"/>
        <w:spacing w:after="0"/>
        <w:tabs>
          <w:tab w:leader="none" w:pos="14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Jeffrey D. Buchanan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Executive Vice President, Chief Financial Officer, Chief</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Administrative Officer, and Treasurer</w:t>
            </w:r>
          </w:p>
        </w:tc>
      </w:tr>
    </w:tbl>
    <w:p>
      <w:pPr>
        <w:sectPr>
          <w:pgSz w:w="11900" w:h="16838" w:orient="portrait"/>
          <w:cols w:equalWidth="0" w:num="1">
            <w:col w:w="11240"/>
          </w:cols>
          <w:pgMar w:left="320" w:top="337"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connection with the Annual Report on Form 10-K of Smith &amp; Wesson Brands, Inc. (the “Company”) for the year ended April 30, 2020, as filed with the Securities and Exchange Commission on the date hereof (the “Report”), I, Deana L. McPherson, Vice President, Chief Accounting Officer, Corporate Controller, and Assistant Treasurer of the Company, certify, to my best knowledge and belief, pursuant to 18 U.S.C. § 1350, as adopted pursuant to § 906 of the Sarbanes-Oxley Act of 2002, that:</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78o(d)); and</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June 19,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Deana L. McPherson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Deana L. McPherson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Vice President, Chief Accounting Officer, Corporate</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Controller, and Assistant Treasurer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4"/>
    </w:lvl>
  </w:abstractNum>
  <w:abstractNum w:abstractNumId="30">
    <w:nsid w:val="2D517796"/>
    <w:multiLevelType w:val="hybridMultilevel"/>
    <w:lvl w:ilvl="0">
      <w:lvlJc w:val="left"/>
      <w:lvlText w:val="•"/>
      <w:numFmt w:val="bullet"/>
      <w:start w:val="1"/>
    </w:lvl>
    <w:lvl w:ilvl="1">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5"/>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jpeg"/><Relationship Id="rId97" Type="http://schemas.openxmlformats.org/officeDocument/2006/relationships/hyperlink" Target="http://www.sec.gov/Archives/edgar/data/1092796/000119312514427161/d828314dex29.htm" TargetMode="External"/><Relationship Id="rId98" Type="http://schemas.openxmlformats.org/officeDocument/2006/relationships/hyperlink" Target="http://www.sec.gov/Archives/edgar/data/1092796/000119312516649868/d201682dex210.htm" TargetMode="External"/><Relationship Id="rId99" Type="http://schemas.openxmlformats.org/officeDocument/2006/relationships/hyperlink" Target="http://www.sec.gov/Archives/edgar/data/1092796/000119312516657422/d408114dex211.htm" TargetMode="External"/><Relationship Id="rId100" Type="http://schemas.openxmlformats.org/officeDocument/2006/relationships/hyperlink" Target="http://www.sec.gov/Archives/edgar/data/1092796/000119312520157220/d830363dex212.htm" TargetMode="External"/><Relationship Id="rId101" Type="http://schemas.openxmlformats.org/officeDocument/2006/relationships/hyperlink" Target="http://www.sec.gov/Archives/edgar/data/1092796/000119312519105153/d723630dex31.htm" TargetMode="External"/><Relationship Id="rId102" Type="http://schemas.openxmlformats.org/officeDocument/2006/relationships/hyperlink" Target="http://www.sec.gov/Archives/edgar/data/1092796/000156459017003228/aobc-ex34_678.htm" TargetMode="External"/><Relationship Id="rId103" Type="http://schemas.openxmlformats.org/officeDocument/2006/relationships/hyperlink" Target="http://www.sec.gov/Archives/edgar/data/1092796/000119312513386287/d605017dex39a.htm" TargetMode="External"/><Relationship Id="rId104" Type="http://schemas.openxmlformats.org/officeDocument/2006/relationships/hyperlink" Target="http://www.sec.gov/Archives/edgar/data/1092796/000119312520157220/d830363dex310.htm" TargetMode="External"/><Relationship Id="rId105" Type="http://schemas.openxmlformats.org/officeDocument/2006/relationships/hyperlink" Target="http://www.sec.gov/Archives/edgar/data/1092796/000095012311087405/c22800exv10w24xay.htm" TargetMode="External"/><Relationship Id="rId106" Type="http://schemas.openxmlformats.org/officeDocument/2006/relationships/hyperlink" Target="http://www.sec.gov/Archives/edgar/data/1092796/000095015306002191/p72734def14a.htm" TargetMode="External"/><Relationship Id="rId107" Type="http://schemas.openxmlformats.org/officeDocument/2006/relationships/hyperlink" Target="http://www.sec.gov/Archives/edgar/data/1092796/000095012405001428/p70189exv10w51.txt" TargetMode="External"/><Relationship Id="rId108" Type="http://schemas.openxmlformats.org/officeDocument/2006/relationships/hyperlink" Target="http://www.sec.gov/Archives/edgar/data/1092796/000095012309019227/p15228exv10w72.htm" TargetMode="External"/><Relationship Id="rId109" Type="http://schemas.openxmlformats.org/officeDocument/2006/relationships/hyperlink" Target="http://www.sec.gov/Archives/edgar/data/1092796/000095012311102518/c25416exv10w83wa.htm" TargetMode="External"/><Relationship Id="rId110" Type="http://schemas.openxmlformats.org/officeDocument/2006/relationships/hyperlink" Target="http://www.sec.gov/Archives/edgar/data/1092796/000095012311102518/c25416exv10w91wa.htm" TargetMode="External"/><Relationship Id="rId111" Type="http://schemas.openxmlformats.org/officeDocument/2006/relationships/hyperlink" Target="http://www.sec.gov/Archives/edgar/data/1092796/000095012311102518/c25416exv10w95.htm" TargetMode="External"/><Relationship Id="rId114" Type="http://schemas.openxmlformats.org/officeDocument/2006/relationships/hyperlink" Target="http://www.sec.gov/Archives/edgar/data/1092796/000095012311102518/c25416exv10w96.htm" TargetMode="External"/><Relationship Id="rId115" Type="http://schemas.openxmlformats.org/officeDocument/2006/relationships/hyperlink" Target="http://www.sec.gov/Archives/edgar/data/1092796/000095012311102518/c25416exv10w98.htm" TargetMode="External"/><Relationship Id="rId116" Type="http://schemas.openxmlformats.org/officeDocument/2006/relationships/hyperlink" Target="http://www.sec.gov/Archives/edgar/data/1092796/000119312512287910/d364692dex10100.htm" TargetMode="External"/><Relationship Id="rId117" Type="http://schemas.openxmlformats.org/officeDocument/2006/relationships/hyperlink" Target="http://www.sec.gov/Archives/edgar/data/1092796/000119312520164633/d941186dex10107a.htm" TargetMode="External"/><Relationship Id="rId118" Type="http://schemas.openxmlformats.org/officeDocument/2006/relationships/hyperlink" Target="http://www.sec.gov/Archives/edgar/data/1092796/000119312513481079/d647439dex10107.htm" TargetMode="External"/><Relationship Id="rId119" Type="http://schemas.openxmlformats.org/officeDocument/2006/relationships/hyperlink" Target="http://www.sec.gov/Archives/edgar/data/1092796/000119312513481079/d647439dex10108.htm" TargetMode="External"/><Relationship Id="rId120" Type="http://schemas.openxmlformats.org/officeDocument/2006/relationships/hyperlink" Target="http://www.sec.gov/Archives/edgar/data/1092796/000119312513481100/d647355dex10109.htm" TargetMode="External"/><Relationship Id="rId121" Type="http://schemas.openxmlformats.org/officeDocument/2006/relationships/hyperlink" Target="http://www.sec.gov/Archives/edgar/data/1092796/000119312514242483/d704464dex10111.htm" TargetMode="External"/><Relationship Id="rId122" Type="http://schemas.openxmlformats.org/officeDocument/2006/relationships/hyperlink" Target="http://www.sec.gov/Archives/edgar/data/1092796/000156459015005183/swhc-ex10111a_201504301163.htm" TargetMode="External"/><Relationship Id="rId123" Type="http://schemas.openxmlformats.org/officeDocument/2006/relationships/hyperlink" Target="http://www.sec.gov/Archives/edgar/data/1092796/000156459015005183/swhc-ex10111b_201504301164.htm" TargetMode="External"/><Relationship Id="rId124" Type="http://schemas.openxmlformats.org/officeDocument/2006/relationships/hyperlink" Target="http://www.sec.gov/Archives/edgar/data/1092796/000119312514242483/d704464dex10112.htm" TargetMode="External"/><Relationship Id="rId125" Type="http://schemas.openxmlformats.org/officeDocument/2006/relationships/hyperlink" Target="http://www.sec.gov/Archives/edgar/data/1092796/000156459015005183/swhc-ex10112a_201504301165.htm" TargetMode="External"/><Relationship Id="rId126" Type="http://schemas.openxmlformats.org/officeDocument/2006/relationships/hyperlink" Target="http://www.sec.gov/Archives/edgar/data/1092796/000156459015005183/swhc-ex10113_201504301176.htm" TargetMode="External"/><Relationship Id="rId127" Type="http://schemas.openxmlformats.org/officeDocument/2006/relationships/hyperlink" Target="http://www.sec.gov/Archives/edgar/data/1092796/000119312516753472/d269909dex10113a.htm" TargetMode="External"/><Relationship Id="rId128" Type="http://schemas.openxmlformats.org/officeDocument/2006/relationships/hyperlink" Target="http://www.sec.gov/Archives/edgar/data/1092796/000119312519301161/d838214dex10113b.htm" TargetMode="External"/><Relationship Id="rId129" Type="http://schemas.openxmlformats.org/officeDocument/2006/relationships/hyperlink" Target="http://www.sec.gov/Archives/edgar/data/1092796/000119312517327150/d479247dex10114.htm" TargetMode="External"/><Relationship Id="rId130" Type="http://schemas.openxmlformats.org/officeDocument/2006/relationships/hyperlink" Target="http://www.sec.gov/Archives/edgar/data/1092796/000119312517327150/d479247dex10115.htm" TargetMode="External"/><Relationship Id="rId131" Type="http://schemas.openxmlformats.org/officeDocument/2006/relationships/hyperlink" Target="http://www.sec.gov/Archives/edgar/data/1092796/000119312520056239/d872074dex10117.htm" TargetMode="External"/><Relationship Id="rId134" Type="http://schemas.openxmlformats.org/officeDocument/2006/relationships/hyperlink" Target="http://www.sec.gov/Archives/edgar/data/1092796/000119312520102556/d915582dex10118.htm" TargetMode="External"/><Relationship Id="rId135" Type="http://schemas.openxmlformats.org/officeDocument/2006/relationships/hyperlink" Target="http://www.sec.gov/Archives/edgar/data/1092796/000119312520102556/d915582dex10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2020-06-19T15:50:51Z</dcterms:created>
  <dcterms:modified xsi:type="dcterms:W3CDTF">2020-06-19T15:50:51Z</dcterms:modified>
</cp:coreProperties>
</file>