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Smith &amp; Wesson Brands,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001-31552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87-0543688</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484"/>
        <w:spacing w:after="0"/>
        <w:rPr>
          <w:sz w:val="20"/>
          <w:szCs w:val="20"/>
          <w:color w:val="auto"/>
        </w:rPr>
      </w:pPr>
      <w:r>
        <w:rPr>
          <w:rFonts w:ascii="Times New Roman" w:cs="Times New Roman" w:eastAsia="Times New Roman" w:hAnsi="Times New Roman"/>
          <w:sz w:val="18"/>
          <w:szCs w:val="18"/>
          <w:b w:val="1"/>
          <w:bCs w:val="1"/>
          <w:color w:val="auto"/>
        </w:rPr>
        <w:t>1852 Proffitt Springs Road</w:t>
      </w:r>
    </w:p>
    <w:p>
      <w:pPr>
        <w:spacing w:after="0" w:line="31" w:lineRule="exact"/>
        <w:rPr>
          <w:sz w:val="24"/>
          <w:szCs w:val="24"/>
          <w:color w:val="auto"/>
        </w:rPr>
      </w:pPr>
    </w:p>
    <w:p>
      <w:pPr>
        <w:ind w:left="4464"/>
        <w:spacing w:after="0"/>
        <w:rPr>
          <w:sz w:val="20"/>
          <w:szCs w:val="20"/>
          <w:color w:val="auto"/>
        </w:rPr>
      </w:pPr>
      <w:r>
        <w:rPr>
          <w:rFonts w:ascii="Times New Roman" w:cs="Times New Roman" w:eastAsia="Times New Roman" w:hAnsi="Times New Roman"/>
          <w:sz w:val="18"/>
          <w:szCs w:val="18"/>
          <w:b w:val="1"/>
          <w:bCs w:val="1"/>
          <w:color w:val="auto"/>
        </w:rPr>
        <w:t>Maryville, Tennessee 37801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(800) 331-0852</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SWBI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We are furnishing the disclosure in this Item 2.02 in connection with the disclosure of information in the form of the textual information from a press release issued on June 17, 2026.</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Item 2.02 (including Exhibit 99.1) is furnished pursuant to Item 2.02 and shall not be deemed to be “filed” for the purpose of Section 18 of the Securities Exchange Act of 1934, as amended, or otherwise subject to the liabilities of that section.</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do not have, and expressly disclaim, any obligation to release publicly any updates or any changes in our expectations or any change in events, conditions, or circumstances on which any forward-looking statement is based.</w:t>
      </w:r>
    </w:p>
    <w:p>
      <w:pPr>
        <w:spacing w:after="0" w:line="160"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text included with this Current Report on Form 8-K is available on our website at </w:t>
      </w:r>
      <w:r>
        <w:rPr>
          <w:rFonts w:ascii="Times New Roman" w:cs="Times New Roman" w:eastAsia="Times New Roman" w:hAnsi="Times New Roman"/>
          <w:sz w:val="18"/>
          <w:szCs w:val="18"/>
          <w:i w:val="1"/>
          <w:iCs w:val="1"/>
          <w:color w:val="auto"/>
        </w:rPr>
        <w:t>www.smith-wesson.com</w:t>
      </w:r>
      <w:r>
        <w:rPr>
          <w:rFonts w:ascii="Times New Roman" w:cs="Times New Roman" w:eastAsia="Times New Roman" w:hAnsi="Times New Roman"/>
          <w:sz w:val="18"/>
          <w:szCs w:val="18"/>
          <w:color w:val="auto"/>
        </w:rPr>
        <w:t>, although we reserve the right to discontinue that availability at any time.</w:t>
      </w:r>
    </w:p>
    <w:p>
      <w:pPr>
        <w:spacing w:after="0" w:line="30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3"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jc w:val="center"/>
        <w:ind w:right="1058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jc w:val="center"/>
        <w:ind w:right="10580"/>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7" w:lineRule="exact"/>
        <w:rPr>
          <w:sz w:val="20"/>
          <w:szCs w:val="20"/>
          <w:color w:val="auto"/>
        </w:rPr>
      </w:pPr>
    </w:p>
    <w:p>
      <w:pPr>
        <w:ind w:left="840" w:right="200" w:hanging="849"/>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from Smith &amp; Wesson Brands, Inc., dated June 17, 2026, entitled “Smith &amp; Wesson Brands, Inc. Reports Fourth Quarter and Full Fiscal 2026 Financial Results</w:t>
      </w:r>
    </w:p>
    <w:p>
      <w:pPr>
        <w:spacing w:after="0" w:line="5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SMITH &amp; WESSON BRANDS,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Deana L. McPherson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Executive Vice President, Chief Financial Officer, Treasurer, and</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Assistant Secretary</w:t>
      </w:r>
    </w:p>
    <w:p>
      <w:pPr>
        <w:sectPr>
          <w:pgSz w:w="11900" w:h="16838" w:orient="portrait"/>
          <w:cols w:equalWidth="0" w:num="1">
            <w:col w:w="10740"/>
          </w:cols>
          <w:pgMar w:left="440" w:top="293" w:right="7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4977765</wp:posOffset>
            </wp:positionH>
            <wp:positionV relativeFrom="paragraph">
              <wp:posOffset>173990</wp:posOffset>
            </wp:positionV>
            <wp:extent cx="2014855"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148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 Reports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Quarter and Full Fiscal 2026 Financial Results</w:t>
      </w:r>
    </w:p>
    <w:p>
      <w:pPr>
        <w:spacing w:after="0" w:line="230" w:lineRule="exact"/>
        <w:rPr>
          <w:sz w:val="20"/>
          <w:szCs w:val="20"/>
          <w:color w:val="auto"/>
        </w:rPr>
      </w:pPr>
    </w:p>
    <w:p>
      <w:pPr>
        <w:ind w:left="2420" w:hanging="332"/>
        <w:spacing w:after="0"/>
        <w:tabs>
          <w:tab w:leader="none" w:pos="2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Q4 Net Sales of $178.4 Million</w:t>
      </w:r>
    </w:p>
    <w:p>
      <w:pPr>
        <w:spacing w:after="0" w:line="130" w:lineRule="exact"/>
        <w:rPr>
          <w:rFonts w:ascii="Times New Roman" w:cs="Times New Roman" w:eastAsia="Times New Roman" w:hAnsi="Times New Roman"/>
          <w:sz w:val="18"/>
          <w:szCs w:val="18"/>
          <w:color w:val="auto"/>
        </w:rPr>
      </w:pPr>
    </w:p>
    <w:p>
      <w:pPr>
        <w:ind w:left="2420" w:hanging="332"/>
        <w:spacing w:after="0"/>
        <w:tabs>
          <w:tab w:leader="none" w:pos="2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Q4 Gross Margin of 29.8%</w:t>
      </w:r>
    </w:p>
    <w:p>
      <w:pPr>
        <w:spacing w:after="0" w:line="130" w:lineRule="exact"/>
        <w:rPr>
          <w:rFonts w:ascii="Times New Roman" w:cs="Times New Roman" w:eastAsia="Times New Roman" w:hAnsi="Times New Roman"/>
          <w:sz w:val="18"/>
          <w:szCs w:val="18"/>
          <w:color w:val="auto"/>
        </w:rPr>
      </w:pPr>
    </w:p>
    <w:p>
      <w:pPr>
        <w:ind w:left="2420" w:hanging="332"/>
        <w:spacing w:after="0"/>
        <w:tabs>
          <w:tab w:leader="none" w:pos="2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Q4 EPS of $0.36/Share</w:t>
      </w:r>
    </w:p>
    <w:p>
      <w:pPr>
        <w:spacing w:after="0" w:line="130" w:lineRule="exact"/>
        <w:rPr>
          <w:rFonts w:ascii="Times New Roman" w:cs="Times New Roman" w:eastAsia="Times New Roman" w:hAnsi="Times New Roman"/>
          <w:sz w:val="18"/>
          <w:szCs w:val="18"/>
          <w:color w:val="auto"/>
        </w:rPr>
      </w:pPr>
    </w:p>
    <w:p>
      <w:pPr>
        <w:ind w:left="2420" w:hanging="332"/>
        <w:spacing w:after="0"/>
        <w:tabs>
          <w:tab w:leader="none" w:pos="2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Q4 Cash from Operations of $74.6 million</w:t>
      </w:r>
    </w:p>
    <w:p>
      <w:pPr>
        <w:spacing w:after="0" w:line="225"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MARYVILLE, Tenn., June 17, 2026 – Smith &amp; Wesson Brands, Inc. (NASDAQ Global Select: SWBI)</w:t>
      </w:r>
      <w:r>
        <w:rPr>
          <w:rFonts w:ascii="Times New Roman" w:cs="Times New Roman" w:eastAsia="Times New Roman" w:hAnsi="Times New Roman"/>
          <w:sz w:val="18"/>
          <w:szCs w:val="18"/>
          <w:color w:val="auto"/>
        </w:rPr>
        <w:t>, a U.S.-based leader in firearm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and design, today announced financial results for the fourth quarter and full fiscal year 2026, ended April 30, 2026.</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Fiscal 2026 Financial Highlights</w:t>
      </w:r>
    </w:p>
    <w:p>
      <w:pPr>
        <w:spacing w:after="0" w:line="135"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$178.4 million, an increase of $37.6 million, or 26.7%, over the comparable quarter last year.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29.8% compared with 28.8% in the comparable quarter last year.</w:t>
      </w:r>
    </w:p>
    <w:p>
      <w:pPr>
        <w:spacing w:after="0" w:line="130" w:lineRule="exact"/>
        <w:rPr>
          <w:rFonts w:ascii="Times New Roman" w:cs="Times New Roman" w:eastAsia="Times New Roman" w:hAnsi="Times New Roman"/>
          <w:sz w:val="18"/>
          <w:szCs w:val="18"/>
          <w:color w:val="auto"/>
        </w:rPr>
      </w:pPr>
    </w:p>
    <w:p>
      <w:pPr>
        <w:ind w:left="960" w:right="8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was $16.2 million, or $0.36 per diluted share, compared with $8.6 million, or $0.19 per diluted share, for the comparable quarter last year.</w:t>
      </w:r>
    </w:p>
    <w:p>
      <w:pPr>
        <w:spacing w:after="0" w:line="67" w:lineRule="exact"/>
        <w:rPr>
          <w:rFonts w:ascii="Times New Roman" w:cs="Times New Roman" w:eastAsia="Times New Roman" w:hAnsi="Times New Roman"/>
          <w:sz w:val="18"/>
          <w:szCs w:val="18"/>
          <w:color w:val="auto"/>
        </w:rPr>
      </w:pPr>
    </w:p>
    <w:p>
      <w:pPr>
        <w:ind w:left="960" w:right="22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was $16.2 million, or $0.36 per diluted share, compared with $9.0 million, or $0.20 per diluted share, for the comparable quarter last year. GAAP to non-GAAP adjustments for income exclude costs related to the relocation. See the schedules that follow in this release for a detailed reconciliation.</w:t>
      </w:r>
    </w:p>
    <w:p>
      <w:pPr>
        <w:spacing w:after="0" w:line="81"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EBITDAS was $30.9 million, or 17.3% of net sales, compared with $23.5 million, or 16.7% of net sales, for the comparable quarter last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Full Year Fiscal 2026 Financial Highlights</w:t>
      </w:r>
    </w:p>
    <w:p>
      <w:pPr>
        <w:spacing w:after="0" w:line="135"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$523.8 million, an increase of $49.2 million, or 10.4%, over the prior fiscal year.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26.9% compared with 26.8% in the prior fiscal year.</w:t>
      </w:r>
    </w:p>
    <w:p>
      <w:pPr>
        <w:spacing w:after="0" w:line="130"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was $18.5 million, or $0.41 per diluted share, compared with $13.4 million, or $0.30 per diluted share, for the prior fiscal year.</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was $18.4 million, or $0.41 per diluted share, compared with $14.6 million, or $0.33 per diluted share, for the prior fiscal year. GAAP to non-GAAP adjustments for income include costs related to the relocation, a gain on sale of certain real estate, and other costs. See the schedules that follow in this release for a detailed reconciliation.</w:t>
      </w:r>
    </w:p>
    <w:p>
      <w:pPr>
        <w:spacing w:after="0" w:line="81"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EBITDAS was $69.2 million, or 13.2% of net sales, compared with $64.7 million, or 13.7% of net sales, for the prior fiscal year.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$23.2 million in dividends compared with $23.1 million in the prior fiscal year.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repaid $60.0 million on our revolving credit facility.</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Mark Smith, President and Chief Executive Officer, commented, “Our excellent fourth quarter and full year fiscal 2026 results showcase our team’s remarkable execution on our strategic priorities and the enduring power of our iconic brand. We delivered strong results across every dimension of our business – from revenue to profitability, and from cash flow to debt reduction. We outperformed our competitors in our core categories and achieved meaningful progress in segments that we hadn’t historically competed in. The combined strength of our brand, our team, our disciplined strategic focus, and our strong balance sheet put us in an excellent position to continue creating long-term value for our stockholders.</w:t>
      </w:r>
    </w:p>
    <w:p>
      <w:pPr>
        <w:sectPr>
          <w:pgSz w:w="11900" w:h="16838" w:orient="portrait"/>
          <w:cols w:equalWidth="0" w:num="1">
            <w:col w:w="11020"/>
          </w:cols>
          <w:pgMar w:left="440" w:top="117" w:right="439" w:bottom="1440" w:gutter="0" w:footer="0" w:header="0"/>
        </w:sectPr>
      </w:pPr>
    </w:p>
    <w:bookmarkStart w:id="4" w:name="page5"/>
    <w:bookmarkEnd w:id="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Deana McPherson, Executive Vice President and Chief Financial Officer, commented, “Net sales for our fourth quarter of $178.4 million grew 26.7% above the prior year, with new products making up 37.5% of total revenue. Our outperformance was mostly driven by handgun shipments, which represented over 80% of our units shipped. Our handgun unit sales into the sporting goods channel increased 23.2% over the prior year, while NICS increased only 1.1%, with nearly no change in channel inventory, demonstrating strong consumer preference for our products. We expect firearm industry demand in fiscal 2027 to continue to be healthy and slightly higher than in fiscal 2026. Consistent with our capital allocation strategy, our board of directors has authorized a $0.13 per share quarterly dividend, which will be paid to stockholders of record on July 1, 2026, with payment to be made on July 15,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12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company will host a conference call and webcast on June 17, 2026 to discuss its fourth quarter and full fiscal 2026 financial and operational results. Speakers on the conference call will include Mark Smith, President and Chief Executive Officer, and Deana McPherson, Executive Vice President and Chief Financial Officer. The conference call may include forward-looking statements. The conference call and webcast will begin at 5:00 p.m. Eastern Time (2:00 p.m. Pacific Time). Interested parties in North America are invited to participate by dialing 1-877-704-4453. Interested parties from outside North America are invited to participate by dialing 1-201-389-0920. Participants should dial in at least 10 minutes prior to the start of the call. A live and archived webcast of the event will be available on the company’s website at www.smith-wesson.com under the Investor Relations section.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U.S. GAAP to Non-GAAP Financial Measures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this press release, certain non-GAAP financial measures, including “non-GAAP net sales,” “non-GAAP gross profit,” “non-GAAP gross margin,” “non-GAAP operating expenses,” “non-GAAP operating income,” “non-GAAP net income,” “Non-GAAP net income per share – diluted,” “Adjusted EBITDAS,” “Adjusted EBITDAS Margin,” and “free cash flow” are presented. We use these non-GAAP financial measures to facilitate a comparison of our operating performance on a consistent basis from period to period that, when viewed in combination with our results prepared in accordance with GAAP, provides a more complete understanding of factors and trends affecting our business than does GAAP measures alone. We believe these financial measures assist our board of directors, management, investors, and other users of the financial statements in comparing our results on a consistent basis from period to period because it removes certain non-cash items and other items that we do not consider to be indicative of our core and/or ongoing operations. We believe it is useful for us and the reader to review, as applicable, both (1) GAAP measures that include (i) interest, (ii) income tax expense, (iii) depreciation and amortization, (iv) stock-based compensation expense, (v) an accrued legal settlement, (vi) Smith &amp; Wesson Academy grand opening expenses, (vii) relocation expense, including non-recurring third-party wind-down net sales and cost of sales related to the closure of an immaterial manufacturing location that was shut down as a result of the relocation, (xiii) a gain on sale of certain real estate, and (ix) the tax effect of non-GAAP adjustments; and (2) the non-GAAP measures that exclude such information. We present these non-GAAP measures because we consider them an important supplemental measure of our performance. Our definition of these adjusted financial measures may differ from similarly named measures used by others. We believe these measures facilitate operating performance comparisons from period to period by eliminating potential differences caused by the existence and timing of certain expense items that would not otherwise be apparent on a GAAP basis. These non-GAAP measures have limitations as an analytical tool and should not be considered in isolation or as a substitute for our GAAP measures. The principal limitations of these measures are that they do not reflect our actual expenses and may thus have the effect of inflating our financial measures on a GAAP basis.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 in Non-GAAP Financial Measure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Prior to fiscal 2026, our calculation of Adjusted EBITDAS included an adjustment for interest expense. Beginning with the fiscal 2026 presentation for all periods presented herein, we also included an adjustment for interest income such that Adjusted EBITDAS is fully adjusted for the effect of Interest expense, net as presented on the Consolidated Statements of Income. We believe that adjusting for both interest expense and interest income assists users of the financial statements in understanding the results of our core operations and comparing those results on a consistent basis from period to period.</w:t>
      </w:r>
    </w:p>
    <w:p>
      <w:pPr>
        <w:sectPr>
          <w:pgSz w:w="11900" w:h="16838" w:orient="portrait"/>
          <w:cols w:equalWidth="0" w:num="1">
            <w:col w:w="11000"/>
          </w:cols>
          <w:pgMar w:left="440" w:top="270" w:right="459" w:bottom="1440" w:gutter="0" w:footer="0" w:header="0"/>
        </w:sectPr>
      </w:pPr>
    </w:p>
    <w:bookmarkStart w:id="5" w:name="page6"/>
    <w:bookmarkEnd w:id="5"/>
    <w:p>
      <w:pPr>
        <w:ind w:right="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three months and year ended April 30, 2026, this change resulted in a decrease of $593,000 and $2.4 million, respectively, in the amounts of Adjusted EBITDAS compared to the amounts that would have been reported using the previous methodology. For the three months and year</w:t>
      </w:r>
    </w:p>
    <w:p>
      <w:pPr>
        <w:spacing w:after="0" w:line="260" w:lineRule="auto"/>
        <w:rPr>
          <w:sz w:val="20"/>
          <w:szCs w:val="20"/>
          <w:color w:val="auto"/>
        </w:rPr>
      </w:pPr>
      <w:r>
        <w:rPr>
          <w:rFonts w:ascii="Times New Roman" w:cs="Times New Roman" w:eastAsia="Times New Roman" w:hAnsi="Times New Roman"/>
          <w:sz w:val="18"/>
          <w:szCs w:val="18"/>
          <w:color w:val="auto"/>
        </w:rPr>
        <w:t>ended April 30, 2025, the change also resulted in a decrease of $660,000 and $2.7 million, respectively, in the amounts of Adjusted EBITDAS compared to the amounts that were previously reported.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Smith &amp; Wesson Brands, Inc.</w:t>
      </w:r>
    </w:p>
    <w:p>
      <w:pPr>
        <w:spacing w:after="0" w:line="121" w:lineRule="exact"/>
        <w:rPr>
          <w:sz w:val="20"/>
          <w:szCs w:val="20"/>
          <w:color w:val="auto"/>
        </w:rPr>
      </w:pPr>
    </w:p>
    <w:p>
      <w:pPr>
        <w:ind w:right="40"/>
        <w:spacing w:after="0" w:line="201" w:lineRule="auto"/>
        <w:rPr>
          <w:sz w:val="20"/>
          <w:szCs w:val="20"/>
          <w:color w:val="auto"/>
        </w:rPr>
      </w:pPr>
      <w:r>
        <w:rPr>
          <w:rFonts w:ascii="Times New Roman" w:cs="Times New Roman" w:eastAsia="Times New Roman" w:hAnsi="Times New Roman"/>
          <w:sz w:val="18"/>
          <w:szCs w:val="18"/>
          <w:color w:val="auto"/>
        </w:rPr>
        <w:t>Smith &amp; Wesson Brands, Inc. (NASDAQ Global Select: SWBI) is a U.S.-based leader in firearm manufacturing and design, delivering a broad portfolio of quality handgun, long gun, and suppressor products to the global consumer and professional markets under the iconic Smith &amp; Wesson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Gemtech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brands. Additionally, the company provides manufacturing services such as forging and machining to third parties and offers world-class firearm training programs to Law Enforcement/Military departments and civilians at the Smith &amp; Wesson Academy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Maryville, TN. For more information call (844) 363-5386 or visit www.smith-wesson.com.</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may be deemed to be forward-looking statements under federal securities laws, and we intend that such forward-looking statements be subject to the safe-harbor created thereby. Such forward-looking statements include, among others, that (i) the combined strength of our brand, our team, our disciplined strategic focus, and our strong balance sheet put us in an excellent position to continue creating long-term value for our stockholders; and (ii) we expect firearm industry demand in fiscal 2027 to continue to be healthy and slightly higher than in fiscal 2026. We caution that these statements are qualified by important risks, uncertainties, and other factors that could cause actual results to differ materially from those reflected by such forward-looking statements. Such factors include, among others, economic, social, political, legislative, and regulatory factors; the impact of tariffs;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our anticipated growth and growth opportunities; our strategies; our ability to maintain and enhance brand recognition and reputation; our ability to effectively manage and execute the relocation; our ability to introduce new products and the success of new products; the potential for cancellation of orders from our backlog; and other risks detailed from time to time in our reports filed with the Securities and Exchange Commission, including our Annual Report on Form 10-K for the fiscal year ended April 30, 2026.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investorrelations@smith-wesson.com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(413) 747-3448</w:t>
      </w:r>
    </w:p>
    <w:p>
      <w:pPr>
        <w:sectPr>
          <w:pgSz w:w="11900" w:h="16838" w:orient="portrait"/>
          <w:cols w:equalWidth="0" w:num="1">
            <w:col w:w="11000"/>
          </w:cols>
          <w:pgMar w:left="440" w:top="270" w:right="4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SMITH &amp; WESSON BRANDS,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2026</w:t>
            </w: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80" w:type="dxa"/>
            <w:vAlign w:val="bottom"/>
            <w:gridSpan w:val="6"/>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(In thousands, except par value and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5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28,190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25,231</w:t>
            </w:r>
          </w:p>
        </w:tc>
        <w:tc>
          <w:tcPr>
            <w:tcW w:w="0" w:type="dxa"/>
            <w:vAlign w:val="bottom"/>
          </w:tcPr>
          <w:p>
            <w:pPr>
              <w:spacing w:after="0"/>
              <w:rPr>
                <w:sz w:val="1"/>
                <w:szCs w:val="1"/>
                <w:color w:val="auto"/>
              </w:rPr>
            </w:pPr>
          </w:p>
        </w:tc>
      </w:tr>
      <w:tr>
        <w:trPr>
          <w:trHeight w:val="216"/>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5,162</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77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for credit losses of $5 on April 30, 2026 and</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April 30, 2025</w:t>
            </w:r>
          </w:p>
        </w:tc>
        <w:tc>
          <w:tcPr>
            <w:tcW w:w="1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40,014</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55,868</w:t>
            </w:r>
          </w:p>
        </w:tc>
        <w:tc>
          <w:tcPr>
            <w:tcW w:w="0" w:type="dxa"/>
            <w:vAlign w:val="bottom"/>
          </w:tcPr>
          <w:p>
            <w:pPr>
              <w:spacing w:after="0"/>
              <w:rPr>
                <w:sz w:val="1"/>
                <w:szCs w:val="1"/>
                <w:color w:val="auto"/>
              </w:rPr>
            </w:pPr>
          </w:p>
        </w:tc>
      </w:tr>
      <w:tr>
        <w:trPr>
          <w:trHeight w:val="216"/>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156,250</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189,840</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7,170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6,260</w:t>
            </w:r>
          </w:p>
        </w:tc>
        <w:tc>
          <w:tcPr>
            <w:tcW w:w="0" w:type="dxa"/>
            <w:vAlign w:val="bottom"/>
          </w:tcPr>
          <w:p>
            <w:pPr>
              <w:spacing w:after="0"/>
              <w:rPr>
                <w:sz w:val="1"/>
                <w:szCs w:val="1"/>
                <w:color w:val="auto"/>
              </w:rPr>
            </w:pPr>
          </w:p>
        </w:tc>
      </w:tr>
      <w:tr>
        <w:trPr>
          <w:trHeight w:val="216"/>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receivable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241,403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277,265</w:t>
            </w:r>
          </w:p>
        </w:tc>
        <w:tc>
          <w:tcPr>
            <w:tcW w:w="0" w:type="dxa"/>
            <w:vAlign w:val="bottom"/>
          </w:tcPr>
          <w:p>
            <w:pPr>
              <w:spacing w:after="0"/>
              <w:rPr>
                <w:sz w:val="1"/>
                <w:szCs w:val="1"/>
                <w:color w:val="auto"/>
              </w:rPr>
            </w:pPr>
          </w:p>
        </w:tc>
      </w:tr>
      <w:tr>
        <w:trPr>
          <w:trHeight w:val="205"/>
        </w:trPr>
        <w:tc>
          <w:tcPr>
            <w:tcW w:w="7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and amortization of $397,668 on</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30, 2026 and $368,811 on April 30, 2025</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238,643</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242,648</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1,956</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19,024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19,024</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10,260</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512,766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559,612</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35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34,570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26,887</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19,146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24,678</w:t>
            </w:r>
          </w:p>
        </w:tc>
        <w:tc>
          <w:tcPr>
            <w:tcW w:w="0" w:type="dxa"/>
            <w:vAlign w:val="bottom"/>
          </w:tcPr>
          <w:p>
            <w:pPr>
              <w:spacing w:after="0"/>
              <w:rPr>
                <w:sz w:val="1"/>
                <w:szCs w:val="1"/>
                <w:color w:val="auto"/>
              </w:rPr>
            </w:pPr>
          </w:p>
        </w:tc>
      </w:tr>
      <w:tr>
        <w:trPr>
          <w:trHeight w:val="216"/>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14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15,196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9,060</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profit sharing</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4,636</w:t>
            </w:r>
          </w:p>
        </w:tc>
        <w:tc>
          <w:tcPr>
            <w:tcW w:w="0" w:type="dxa"/>
            <w:vAlign w:val="bottom"/>
          </w:tcPr>
          <w:p>
            <w:pPr>
              <w:spacing w:after="0"/>
              <w:rPr>
                <w:sz w:val="1"/>
                <w:szCs w:val="1"/>
                <w:color w:val="auto"/>
              </w:rPr>
            </w:pPr>
          </w:p>
        </w:tc>
      </w:tr>
      <w:tr>
        <w:trPr>
          <w:trHeight w:val="216"/>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warranty</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75,367</w:t>
            </w:r>
          </w:p>
        </w:tc>
        <w:tc>
          <w:tcPr>
            <w:tcW w:w="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66,640</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Notes and loans payable</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payable, net of current portion</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32,163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33,703</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7,719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187,158</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20,000,000 shares authorized, no shares issued or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outstanding</w:t>
            </w:r>
          </w:p>
        </w:tc>
        <w:tc>
          <w:tcPr>
            <w:tcW w:w="140" w:type="dxa"/>
            <w:vAlign w:val="bottom"/>
          </w:tcPr>
          <w:p>
            <w:pPr>
              <w:spacing w:after="0"/>
              <w:rPr>
                <w:sz w:val="20"/>
                <w:szCs w:val="20"/>
                <w:color w:val="auto"/>
              </w:rPr>
            </w:pPr>
          </w:p>
        </w:tc>
        <w:tc>
          <w:tcPr>
            <w:tcW w:w="11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77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44,605,993 shares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issued and outstanding on April 30, 2026 and 75,789,455 shares issued and 44,111,461</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shares outstanding on April 30, 2025</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2,776</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298,075</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373,738</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532,615</w:t>
            </w:r>
          </w:p>
        </w:tc>
        <w:tc>
          <w:tcPr>
            <w:tcW w:w="0" w:type="dxa"/>
            <w:vAlign w:val="bottom"/>
          </w:tcPr>
          <w:p>
            <w:pPr>
              <w:spacing w:after="0"/>
              <w:rPr>
                <w:sz w:val="1"/>
                <w:szCs w:val="1"/>
                <w:color w:val="auto"/>
              </w:rPr>
            </w:pPr>
          </w:p>
        </w:tc>
      </w:tr>
      <w:tr>
        <w:trPr>
          <w:trHeight w:val="198"/>
        </w:trPr>
        <w:tc>
          <w:tcPr>
            <w:tcW w:w="778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Treasury stock, at cost (no shares on April 30, 2026 and 31,677,994 shares on April 30,</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(458,312)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376,559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372,454</w:t>
            </w:r>
          </w:p>
        </w:tc>
        <w:tc>
          <w:tcPr>
            <w:tcW w:w="0" w:type="dxa"/>
            <w:vAlign w:val="bottom"/>
          </w:tcPr>
          <w:p>
            <w:pPr>
              <w:spacing w:after="0"/>
              <w:rPr>
                <w:sz w:val="1"/>
                <w:szCs w:val="1"/>
                <w:color w:val="auto"/>
              </w:rPr>
            </w:pPr>
          </w:p>
        </w:tc>
      </w:tr>
      <w:tr>
        <w:trPr>
          <w:trHeight w:val="22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512,766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SMITH &amp; WESSON BRANDS,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4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 April 30,</w:t>
            </w:r>
          </w:p>
        </w:tc>
        <w:tc>
          <w:tcPr>
            <w:tcW w:w="120" w:type="dxa"/>
            <w:vAlign w:val="bottom"/>
          </w:tcPr>
          <w:p>
            <w:pPr>
              <w:spacing w:after="0"/>
              <w:rPr>
                <w:sz w:val="15"/>
                <w:szCs w:val="15"/>
                <w:color w:val="auto"/>
              </w:rPr>
            </w:pPr>
          </w:p>
        </w:tc>
        <w:tc>
          <w:tcPr>
            <w:tcW w:w="202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gridSpan w:val="8"/>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(In thousands, except per share data)</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178,388</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140,762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523,845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474,661</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125,298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100,217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382,742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347,478</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53,090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141,103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127,183</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9,567</w:t>
            </w: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41,598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41,314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17,736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59,999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54,933</w:t>
            </w: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sale/disposition of assets, net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111,892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103,299</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income/(expense), net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30"/>
        </w:trPr>
        <w:tc>
          <w:tcPr>
            <w:tcW w:w="52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other (expense)/income, net</w:t>
            </w:r>
          </w:p>
        </w:tc>
        <w:tc>
          <w:tcPr>
            <w:tcW w:w="10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20,794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19,245</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5,820</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16,222</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8,634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18,481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13,425</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 - net income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0.36</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Diluted - net income</w:t>
            </w:r>
          </w:p>
        </w:tc>
        <w:tc>
          <w:tcPr>
            <w:tcW w:w="1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44,420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44,484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45,262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44,932</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SMITH &amp; WESSON BRANDS,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60" w:type="dxa"/>
            <w:vAlign w:val="bottom"/>
          </w:tcPr>
          <w:p>
            <w:pPr>
              <w:spacing w:after="0"/>
              <w:rPr>
                <w:sz w:val="15"/>
                <w:szCs w:val="15"/>
                <w:color w:val="auto"/>
              </w:rPr>
            </w:pPr>
          </w:p>
        </w:tc>
        <w:tc>
          <w:tcPr>
            <w:tcW w:w="19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r>
      <w:tr>
        <w:trPr>
          <w:trHeight w:val="142"/>
        </w:trPr>
        <w:tc>
          <w:tcPr>
            <w:tcW w:w="90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9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4"/>
          </w:tcPr>
          <w:p>
            <w:pPr>
              <w:jc w:val="right"/>
              <w:ind w:right="41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18,481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13,425</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by/(used in) operating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31,311</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31,845</w:t>
            </w:r>
          </w:p>
        </w:tc>
      </w:tr>
      <w:tr>
        <w:trPr>
          <w:trHeight w:val="216"/>
        </w:trPr>
        <w:tc>
          <w:tcPr>
            <w:tcW w:w="9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Gain on sale/disposition of assets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(2,515)</w:t>
            </w:r>
          </w:p>
        </w:tc>
      </w:tr>
      <w:tr>
        <w:trPr>
          <w:trHeight w:val="216"/>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5,913</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(3,032)</w:t>
            </w:r>
          </w:p>
        </w:tc>
      </w:tr>
      <w:tr>
        <w:trPr>
          <w:trHeight w:val="216"/>
        </w:trPr>
        <w:tc>
          <w:tcPr>
            <w:tcW w:w="9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8,350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7,609</w:t>
            </w:r>
          </w:p>
        </w:tc>
      </w:tr>
      <w:tr>
        <w:trPr>
          <w:trHeight w:val="216"/>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sublease income</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(1,797)</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(1,724)</w:t>
            </w:r>
          </w:p>
        </w:tc>
      </w:tr>
      <w:tr>
        <w:trPr>
          <w:trHeight w:val="216"/>
        </w:trPr>
        <w:tc>
          <w:tcPr>
            <w:tcW w:w="9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15,854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3,203</w:t>
            </w:r>
          </w:p>
        </w:tc>
      </w:tr>
      <w:tr>
        <w:trPr>
          <w:trHeight w:val="216"/>
        </w:trPr>
        <w:tc>
          <w:tcPr>
            <w:tcW w:w="9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33,590</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(29,340)</w:t>
            </w:r>
          </w:p>
        </w:tc>
      </w:tr>
      <w:tr>
        <w:trPr>
          <w:trHeight w:val="216"/>
        </w:trPr>
        <w:tc>
          <w:tcPr>
            <w:tcW w:w="90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(1,287)</w:t>
            </w:r>
          </w:p>
        </w:tc>
      </w:tr>
      <w:tr>
        <w:trPr>
          <w:trHeight w:val="216"/>
        </w:trPr>
        <w:tc>
          <w:tcPr>
            <w:tcW w:w="9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(4,551)</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1,882</w:t>
            </w:r>
          </w:p>
        </w:tc>
      </w:tr>
      <w:tr>
        <w:trPr>
          <w:trHeight w:val="216"/>
        </w:trPr>
        <w:tc>
          <w:tcPr>
            <w:tcW w:w="90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5,367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(14,771)</w:t>
            </w:r>
          </w:p>
        </w:tc>
      </w:tr>
      <w:tr>
        <w:trPr>
          <w:trHeight w:val="216"/>
        </w:trPr>
        <w:tc>
          <w:tcPr>
            <w:tcW w:w="9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6,136</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(8,087)</w:t>
            </w:r>
          </w:p>
        </w:tc>
      </w:tr>
      <w:tr>
        <w:trPr>
          <w:trHeight w:val="216"/>
        </w:trPr>
        <w:tc>
          <w:tcPr>
            <w:tcW w:w="90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Accrued profit sharing</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(4,462)</w:t>
            </w:r>
          </w:p>
        </w:tc>
      </w:tr>
      <w:tr>
        <w:trPr>
          <w:trHeight w:val="216"/>
        </w:trPr>
        <w:tc>
          <w:tcPr>
            <w:tcW w:w="9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(3,008)</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90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Accrued warranty</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9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938</w:t>
            </w:r>
          </w:p>
        </w:tc>
      </w:tr>
      <w:tr>
        <w:trPr>
          <w:trHeight w:val="216"/>
        </w:trPr>
        <w:tc>
          <w:tcPr>
            <w:tcW w:w="90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90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114,195</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20" w:type="dxa"/>
            <w:vAlign w:val="bottom"/>
          </w:tcPr>
          <w:p>
            <w:pPr>
              <w:spacing w:after="0"/>
              <w:rPr>
                <w:sz w:val="20"/>
                <w:szCs w:val="20"/>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(4,634)</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to acquire patents and software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intangible assets</w:t>
            </w: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2,619</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to acquire property and equipment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(23,748)</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(21,605)</w:t>
            </w: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(28,240)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(19,173)</w:t>
            </w: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loans and notes payable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on loans and notes payable</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(85,000)</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(941)</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on finance lease obligation</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to acquire treasury stock</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(25,468)</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distribution</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(23,229)</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(23,096)</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to acquire common stock from employee stock purchase plan</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1,598</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employee withholding tax related to restricted stock units</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(930)</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(1,126)</w:t>
            </w: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(82,996)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(9,212)</w:t>
            </w: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(35,608)</w:t>
            </w:r>
          </w:p>
        </w:tc>
        <w:tc>
          <w:tcPr>
            <w:tcW w:w="12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25,231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60,839</w:t>
            </w: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25,231</w:t>
            </w:r>
          </w:p>
        </w:tc>
        <w:tc>
          <w:tcPr>
            <w:tcW w:w="120" w:type="dxa"/>
            <w:vAlign w:val="bottom"/>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5,193</w:t>
            </w: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SMITH &amp; WESSON BRANDS,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GAAP FINANCIAL MEASURES TO NON-GAAP FINANCIAL MEASURES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Twelve Months Ended</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6"/>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2026</w:t>
            </w:r>
          </w:p>
        </w:tc>
        <w:tc>
          <w:tcPr>
            <w:tcW w:w="140" w:type="dxa"/>
            <w:vAlign w:val="bottom"/>
          </w:tcPr>
          <w:p>
            <w:pPr>
              <w:spacing w:after="0"/>
              <w:rPr>
                <w:sz w:val="12"/>
                <w:szCs w:val="12"/>
                <w:color w:val="auto"/>
              </w:rPr>
            </w:pPr>
          </w:p>
        </w:tc>
        <w:tc>
          <w:tcPr>
            <w:tcW w:w="1460" w:type="dxa"/>
            <w:vAlign w:val="bottom"/>
            <w:gridSpan w:val="3"/>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5"/>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2026</w:t>
            </w:r>
          </w:p>
        </w:tc>
        <w:tc>
          <w:tcPr>
            <w:tcW w:w="140" w:type="dxa"/>
            <w:vAlign w:val="bottom"/>
          </w:tcPr>
          <w:p>
            <w:pPr>
              <w:spacing w:after="0"/>
              <w:rPr>
                <w:sz w:val="12"/>
                <w:szCs w:val="12"/>
                <w:color w:val="auto"/>
              </w:rPr>
            </w:pPr>
          </w:p>
        </w:tc>
        <w:tc>
          <w:tcPr>
            <w:tcW w:w="1460" w:type="dxa"/>
            <w:vAlign w:val="bottom"/>
            <w:gridSpan w:val="3"/>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Sales</w:t>
            </w:r>
          </w:p>
        </w:tc>
        <w:tc>
          <w:tcPr>
            <w:tcW w:w="3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 of Sales</w:t>
            </w:r>
          </w:p>
        </w:tc>
        <w:tc>
          <w:tcPr>
            <w:tcW w:w="3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 of Sales</w:t>
            </w:r>
          </w:p>
        </w:tc>
        <w:tc>
          <w:tcPr>
            <w:tcW w:w="3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 of Sales</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sales</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$178,388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$140,762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$523,845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$474,661</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Relocation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(4,340)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sales</w:t>
            </w: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178,388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140,762</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523,845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470,321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line="20" w:lineRule="exact"/>
              <w:rPr>
                <w:sz w:val="1"/>
                <w:szCs w:val="1"/>
                <w:color w:val="auto"/>
              </w:rPr>
            </w:pPr>
          </w:p>
        </w:tc>
      </w:tr>
      <w:tr>
        <w:trPr>
          <w:trHeight w:val="210"/>
        </w:trPr>
        <w:tc>
          <w:tcPr>
            <w:tcW w:w="3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40,545</w:t>
            </w: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$141,103</w:t>
            </w:r>
          </w:p>
        </w:tc>
        <w:tc>
          <w:tcPr>
            <w:tcW w:w="12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$127,183</w:t>
            </w:r>
          </w:p>
        </w:tc>
        <w:tc>
          <w:tcPr>
            <w:tcW w:w="2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Relocation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516</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3,346</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53,085</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41,061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140,966</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130,599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GAAP operating expenses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line="20" w:lineRule="exact"/>
              <w:rPr>
                <w:sz w:val="1"/>
                <w:szCs w:val="1"/>
                <w:color w:val="auto"/>
              </w:rPr>
            </w:pPr>
          </w:p>
        </w:tc>
      </w:tr>
      <w:tr>
        <w:trPr>
          <w:trHeight w:val="210"/>
        </w:trPr>
        <w:tc>
          <w:tcPr>
            <w:tcW w:w="3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27,415</w:t>
            </w: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1"/>
              </w:rPr>
              <w:t>$ 111,892</w:t>
            </w:r>
          </w:p>
        </w:tc>
        <w:tc>
          <w:tcPr>
            <w:tcW w:w="12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$103,299</w:t>
            </w:r>
          </w:p>
        </w:tc>
        <w:tc>
          <w:tcPr>
            <w:tcW w:w="2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Relocation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(612)</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S&amp;W Academy grand opening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asset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2,257</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27,389</w:t>
            </w:r>
          </w:p>
        </w:tc>
        <w:tc>
          <w:tcPr>
            <w:tcW w:w="2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1"/>
              </w:rPr>
              <w:t>$ 111,884</w:t>
            </w:r>
          </w:p>
        </w:tc>
        <w:tc>
          <w:tcPr>
            <w:tcW w:w="12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104,944</w:t>
            </w: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income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21,341</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13,130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29,211</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23,884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Relocation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542</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3,958</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S&amp;W Academy grand opening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asset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(2,257)</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2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29,082</w:t>
            </w:r>
          </w:p>
        </w:tc>
        <w:tc>
          <w:tcPr>
            <w:tcW w:w="12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25,655</w:t>
            </w: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16,222</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8,634</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18,481</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13,425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Relocation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542</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3,958</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S&amp;W Academy grand opening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asset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(2,257)</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effect of non-GAAP adjustments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(551)</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16,165</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9,007</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18,386</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14,645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GAAP net income per share - diluted</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Relocation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0.09</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S&amp;W Academy grand opening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asset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 of non-GAAP adjustments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33</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SMITH &amp; WESSON BRANDS,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GAAP NET INCOME TO NON-GAAP ADJUSTED EBITDAS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5"/>
                <w:szCs w:val="15"/>
                <w:color w:val="auto"/>
              </w:rPr>
            </w:pPr>
          </w:p>
        </w:tc>
        <w:tc>
          <w:tcPr>
            <w:tcW w:w="234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Twelve Months Ended</w:t>
            </w:r>
          </w:p>
        </w:tc>
      </w:tr>
      <w:tr>
        <w:trPr>
          <w:trHeight w:val="142"/>
        </w:trPr>
        <w:tc>
          <w:tcPr>
            <w:tcW w:w="572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2026</w:t>
            </w:r>
          </w:p>
        </w:tc>
        <w:tc>
          <w:tcPr>
            <w:tcW w:w="8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2025</w:t>
            </w:r>
          </w:p>
        </w:tc>
        <w:tc>
          <w:tcPr>
            <w:tcW w:w="520" w:type="dxa"/>
            <w:vAlign w:val="bottom"/>
          </w:tcPr>
          <w:p>
            <w:pPr>
              <w:spacing w:after="0"/>
              <w:rPr>
                <w:sz w:val="12"/>
                <w:szCs w:val="12"/>
                <w:color w:val="auto"/>
              </w:rPr>
            </w:pPr>
          </w:p>
        </w:tc>
        <w:tc>
          <w:tcPr>
            <w:tcW w:w="142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2026</w:t>
            </w:r>
          </w:p>
        </w:tc>
        <w:tc>
          <w:tcPr>
            <w:tcW w:w="8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April 30, 2025</w:t>
            </w:r>
          </w:p>
        </w:tc>
        <w:tc>
          <w:tcPr>
            <w:tcW w:w="220" w:type="dxa"/>
            <w:vAlign w:val="bottom"/>
          </w:tcPr>
          <w:p>
            <w:pPr>
              <w:spacing w:after="0"/>
              <w:rPr>
                <w:sz w:val="12"/>
                <w:szCs w:val="12"/>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18,481</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693</w:t>
            </w:r>
          </w:p>
        </w:tc>
        <w:tc>
          <w:tcPr>
            <w:tcW w:w="24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4,810</w:t>
            </w: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4,622</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4,572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3,742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6,589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5,820</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7,540</w:t>
            </w:r>
          </w:p>
        </w:tc>
        <w:tc>
          <w:tcPr>
            <w:tcW w:w="24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7,934</w:t>
            </w: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31,067</w:t>
            </w: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31,688</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1,986</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1,885</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8,350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7,609</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S&amp;W Academy grand opening expense</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(2,257)</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Settlement</w:t>
            </w:r>
          </w:p>
        </w:tc>
        <w:tc>
          <w:tcPr>
            <w:tcW w:w="1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Relocation expense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3,681</w:t>
            </w:r>
          </w:p>
        </w:tc>
      </w:tr>
      <w:tr>
        <w:trPr>
          <w:trHeight w:val="223"/>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Non-GAAP Adjusted EBITDAS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30,936</w:t>
            </w:r>
          </w:p>
        </w:tc>
        <w:tc>
          <w:tcPr>
            <w:tcW w:w="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69,168</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64,658</w:t>
            </w:r>
          </w:p>
        </w:tc>
        <w:tc>
          <w:tcPr>
            <w:tcW w:w="22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EBITDAS Margin</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r>
    </w:tbl>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 (USED IN) OPERATING ACTIVITIES TO FREE CASH FLOW</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Twelve Months Ended</w:t>
            </w:r>
          </w:p>
        </w:tc>
      </w:tr>
      <w:tr>
        <w:trPr>
          <w:trHeight w:val="142"/>
        </w:trPr>
        <w:tc>
          <w:tcPr>
            <w:tcW w:w="4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2026</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April 30, 2025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2026</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April 30, 2025</w:t>
            </w:r>
          </w:p>
        </w:tc>
        <w:tc>
          <w:tcPr>
            <w:tcW w:w="120" w:type="dxa"/>
            <w:vAlign w:val="bottom"/>
          </w:tcPr>
          <w:p>
            <w:pPr>
              <w:spacing w:after="0"/>
              <w:rPr>
                <w:sz w:val="12"/>
                <w:szCs w:val="12"/>
                <w:color w:val="auto"/>
              </w:rPr>
            </w:pP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Payments to acquire property and equipment</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(21,605)</w:t>
            </w:r>
          </w:p>
        </w:tc>
      </w:tr>
      <w:tr>
        <w:trPr>
          <w:trHeight w:val="27"/>
        </w:trPr>
        <w:tc>
          <w:tcPr>
            <w:tcW w:w="4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4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69,747</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33,537</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90,447</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(28,828)</w:t>
            </w:r>
          </w:p>
        </w:tc>
      </w:tr>
      <w:tr>
        <w:trPr>
          <w:trHeight w:val="20"/>
        </w:trPr>
        <w:tc>
          <w:tcPr>
            <w:tcW w:w="4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2026-06-17T15:12:04Z</dcterms:created>
  <dcterms:modified xsi:type="dcterms:W3CDTF">2026-06-17T15:12:04Z</dcterms:modified>
</cp:coreProperties>
</file>