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1"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31"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January 31, 2026</w:t>
      </w:r>
    </w:p>
    <w:p>
      <w:pPr>
        <w:spacing w:after="0" w:line="3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No. 001-31552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200025</wp:posOffset>
            </wp:positionV>
            <wp:extent cx="2545715" cy="582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4571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Smith &amp; Wesson Brands, Inc.</w:t>
      </w:r>
    </w:p>
    <w:p>
      <w:pPr>
        <w:spacing w:after="0" w:line="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tbl>
      <w:tblPr>
        <w:tblLayout w:type="fixed"/>
        <w:tblInd w:w="520" w:type="dxa"/>
        <w:tblCellMar>
          <w:top w:w="0" w:type="dxa"/>
          <w:left w:w="0" w:type="dxa"/>
          <w:bottom w:w="0" w:type="dxa"/>
          <w:right w:w="0" w:type="dxa"/>
        </w:tblCellMar>
      </w:tblPr>
      <w:tr>
        <w:trPr>
          <w:trHeight w:val="214"/>
        </w:trPr>
        <w:tc>
          <w:tcPr>
            <w:tcW w:w="3440" w:type="dxa"/>
            <w:vAlign w:val="bottom"/>
          </w:tcPr>
          <w:p>
            <w:pPr>
              <w:jc w:val="center"/>
              <w:ind w:left="978"/>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0" w:type="dxa"/>
            <w:vAlign w:val="bottom"/>
          </w:tcPr>
          <w:p>
            <w:pPr>
              <w:jc w:val="right"/>
              <w:ind w:right="1780"/>
              <w:spacing w:after="0"/>
              <w:rPr>
                <w:sz w:val="20"/>
                <w:szCs w:val="20"/>
                <w:color w:val="auto"/>
              </w:rPr>
            </w:pPr>
            <w:r>
              <w:rPr>
                <w:rFonts w:ascii="Times New Roman" w:cs="Times New Roman" w:eastAsia="Times New Roman" w:hAnsi="Times New Roman"/>
                <w:sz w:val="18"/>
                <w:szCs w:val="18"/>
                <w:b w:val="1"/>
                <w:bCs w:val="1"/>
                <w:color w:val="auto"/>
              </w:rPr>
              <w:t>87-0543688</w:t>
            </w:r>
          </w:p>
        </w:tc>
      </w:tr>
      <w:tr>
        <w:trPr>
          <w:trHeight w:val="148"/>
        </w:trPr>
        <w:tc>
          <w:tcPr>
            <w:tcW w:w="3440" w:type="dxa"/>
            <w:vAlign w:val="bottom"/>
          </w:tcPr>
          <w:p>
            <w:pPr>
              <w:jc w:val="center"/>
              <w:ind w:left="95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0" w:type="dxa"/>
            <w:vAlign w:val="bottom"/>
          </w:tcPr>
          <w:p>
            <w:pPr>
              <w:jc w:val="center"/>
              <w:ind w:right="128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440" w:type="dxa"/>
            <w:vAlign w:val="bottom"/>
          </w:tcPr>
          <w:p>
            <w:pPr>
              <w:jc w:val="center"/>
              <w:ind w:left="95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0" w:type="dxa"/>
            <w:vAlign w:val="bottom"/>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3440" w:type="dxa"/>
            <w:vAlign w:val="bottom"/>
          </w:tcPr>
          <w:p>
            <w:pPr>
              <w:jc w:val="center"/>
              <w:ind w:left="958"/>
              <w:spacing w:after="0"/>
              <w:rPr>
                <w:sz w:val="20"/>
                <w:szCs w:val="20"/>
                <w:color w:val="auto"/>
              </w:rPr>
            </w:pPr>
            <w:r>
              <w:rPr>
                <w:rFonts w:ascii="Times New Roman" w:cs="Times New Roman" w:eastAsia="Times New Roman" w:hAnsi="Times New Roman"/>
                <w:sz w:val="18"/>
                <w:szCs w:val="18"/>
                <w:b w:val="1"/>
                <w:bCs w:val="1"/>
                <w:color w:val="auto"/>
              </w:rPr>
              <w:t>1852 Proffitt Springs Road</w:t>
            </w:r>
          </w:p>
        </w:tc>
        <w:tc>
          <w:tcPr>
            <w:tcW w:w="5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14"/>
        </w:trPr>
        <w:tc>
          <w:tcPr>
            <w:tcW w:w="3440" w:type="dxa"/>
            <w:vAlign w:val="bottom"/>
          </w:tcPr>
          <w:p>
            <w:pPr>
              <w:jc w:val="center"/>
              <w:ind w:left="978"/>
              <w:spacing w:after="0"/>
              <w:rPr>
                <w:sz w:val="20"/>
                <w:szCs w:val="20"/>
                <w:color w:val="auto"/>
              </w:rPr>
            </w:pPr>
            <w:r>
              <w:rPr>
                <w:rFonts w:ascii="Times New Roman" w:cs="Times New Roman" w:eastAsia="Times New Roman" w:hAnsi="Times New Roman"/>
                <w:sz w:val="18"/>
                <w:szCs w:val="18"/>
                <w:b w:val="1"/>
                <w:bCs w:val="1"/>
                <w:color w:val="auto"/>
                <w:w w:val="99"/>
              </w:rPr>
              <w:t>Maryville, Tennessee</w:t>
            </w:r>
          </w:p>
        </w:tc>
        <w:tc>
          <w:tcPr>
            <w:tcW w:w="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0" w:type="dxa"/>
            <w:vAlign w:val="bottom"/>
          </w:tcPr>
          <w:p>
            <w:pPr>
              <w:jc w:val="right"/>
              <w:ind w:right="1980"/>
              <w:spacing w:after="0"/>
              <w:rPr>
                <w:sz w:val="20"/>
                <w:szCs w:val="20"/>
                <w:color w:val="auto"/>
              </w:rPr>
            </w:pPr>
            <w:r>
              <w:rPr>
                <w:rFonts w:ascii="Times New Roman" w:cs="Times New Roman" w:eastAsia="Times New Roman" w:hAnsi="Times New Roman"/>
                <w:sz w:val="18"/>
                <w:szCs w:val="18"/>
                <w:b w:val="1"/>
                <w:bCs w:val="1"/>
                <w:color w:val="auto"/>
              </w:rPr>
              <w:t>37801</w:t>
            </w:r>
          </w:p>
        </w:tc>
      </w:tr>
      <w:tr>
        <w:trPr>
          <w:trHeight w:val="190"/>
        </w:trPr>
        <w:tc>
          <w:tcPr>
            <w:tcW w:w="3440" w:type="dxa"/>
            <w:vAlign w:val="bottom"/>
          </w:tcPr>
          <w:p>
            <w:pPr>
              <w:jc w:val="center"/>
              <w:ind w:left="97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0" w:type="dxa"/>
            <w:vAlign w:val="bottom"/>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2"/>
        </w:trPr>
        <w:tc>
          <w:tcPr>
            <w:tcW w:w="3440" w:type="dxa"/>
            <w:vAlign w:val="bottom"/>
          </w:tcPr>
          <w:p>
            <w:pPr>
              <w:spacing w:after="0"/>
              <w:rPr>
                <w:sz w:val="24"/>
                <w:szCs w:val="24"/>
                <w:color w:val="auto"/>
              </w:rPr>
            </w:pPr>
          </w:p>
        </w:tc>
        <w:tc>
          <w:tcPr>
            <w:tcW w:w="2780" w:type="dxa"/>
            <w:vAlign w:val="bottom"/>
            <w:gridSpan w:val="2"/>
          </w:tcPr>
          <w:p>
            <w:pPr>
              <w:jc w:val="center"/>
              <w:ind w:left="419"/>
              <w:spacing w:after="0"/>
              <w:rPr>
                <w:sz w:val="20"/>
                <w:szCs w:val="20"/>
                <w:color w:val="auto"/>
              </w:rPr>
            </w:pPr>
            <w:r>
              <w:rPr>
                <w:rFonts w:ascii="Times New Roman" w:cs="Times New Roman" w:eastAsia="Times New Roman" w:hAnsi="Times New Roman"/>
                <w:sz w:val="18"/>
                <w:szCs w:val="18"/>
                <w:b w:val="1"/>
                <w:bCs w:val="1"/>
                <w:color w:val="auto"/>
                <w:w w:val="99"/>
              </w:rPr>
              <w:t>(800) 331-0852</w:t>
            </w:r>
          </w:p>
        </w:tc>
        <w:tc>
          <w:tcPr>
            <w:tcW w:w="8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190"/>
        </w:trPr>
        <w:tc>
          <w:tcPr>
            <w:tcW w:w="3440" w:type="dxa"/>
            <w:vAlign w:val="bottom"/>
          </w:tcPr>
          <w:p>
            <w:pPr>
              <w:spacing w:after="0"/>
              <w:rPr>
                <w:sz w:val="16"/>
                <w:szCs w:val="16"/>
                <w:color w:val="auto"/>
              </w:rPr>
            </w:pPr>
          </w:p>
        </w:tc>
        <w:tc>
          <w:tcPr>
            <w:tcW w:w="36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200" w:type="dxa"/>
            <w:vAlign w:val="bottom"/>
          </w:tcPr>
          <w:p>
            <w:pPr>
              <w:spacing w:after="0"/>
              <w:rPr>
                <w:sz w:val="16"/>
                <w:szCs w:val="16"/>
                <w:color w:val="auto"/>
              </w:rPr>
            </w:pPr>
          </w:p>
        </w:tc>
      </w:tr>
      <w:tr>
        <w:trPr>
          <w:trHeight w:val="118"/>
        </w:trPr>
        <w:tc>
          <w:tcPr>
            <w:tcW w:w="3980" w:type="dxa"/>
            <w:vAlign w:val="bottom"/>
            <w:gridSpan w:val="2"/>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3200" w:type="dxa"/>
            <w:vAlign w:val="bottom"/>
          </w:tcPr>
          <w:p>
            <w:pPr>
              <w:spacing w:after="0"/>
              <w:rPr>
                <w:sz w:val="10"/>
                <w:szCs w:val="10"/>
                <w:color w:val="auto"/>
              </w:rPr>
            </w:pPr>
          </w:p>
        </w:tc>
      </w:tr>
      <w:tr>
        <w:trPr>
          <w:trHeight w:val="318"/>
        </w:trPr>
        <w:tc>
          <w:tcPr>
            <w:tcW w:w="7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200" w:type="dxa"/>
            <w:vAlign w:val="bottom"/>
          </w:tcPr>
          <w:p>
            <w:pPr>
              <w:spacing w:after="0"/>
              <w:rPr>
                <w:sz w:val="24"/>
                <w:szCs w:val="24"/>
                <w:color w:val="auto"/>
              </w:rPr>
            </w:pPr>
          </w:p>
        </w:tc>
      </w:tr>
      <w:tr>
        <w:trPr>
          <w:trHeight w:val="315"/>
        </w:trPr>
        <w:tc>
          <w:tcPr>
            <w:tcW w:w="3440" w:type="dxa"/>
            <w:vAlign w:val="bottom"/>
          </w:tcPr>
          <w:p>
            <w:pPr>
              <w:jc w:val="center"/>
              <w:ind w:right="638"/>
              <w:spacing w:after="0"/>
              <w:rPr>
                <w:sz w:val="20"/>
                <w:szCs w:val="20"/>
                <w:color w:val="auto"/>
              </w:rPr>
            </w:pPr>
            <w:r>
              <w:rPr>
                <w:rFonts w:ascii="Times New Roman" w:cs="Times New Roman" w:eastAsia="Times New Roman" w:hAnsi="Times New Roman"/>
                <w:sz w:val="18"/>
                <w:szCs w:val="18"/>
                <w:color w:val="auto"/>
              </w:rPr>
              <w:t>Title of each Class</w:t>
            </w:r>
          </w:p>
        </w:tc>
        <w:tc>
          <w:tcPr>
            <w:tcW w:w="540" w:type="dxa"/>
            <w:vAlign w:val="bottom"/>
          </w:tcPr>
          <w:p>
            <w:pPr>
              <w:spacing w:after="0"/>
              <w:rPr>
                <w:sz w:val="24"/>
                <w:szCs w:val="24"/>
                <w:color w:val="auto"/>
              </w:rPr>
            </w:pPr>
          </w:p>
        </w:tc>
        <w:tc>
          <w:tcPr>
            <w:tcW w:w="30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rPr>
              <w:t>Trading Symbol</w:t>
            </w:r>
          </w:p>
        </w:tc>
        <w:tc>
          <w:tcPr>
            <w:tcW w:w="3200" w:type="dxa"/>
            <w:vAlign w:val="bottom"/>
          </w:tcPr>
          <w:p>
            <w:pPr>
              <w:jc w:val="center"/>
              <w:ind w:left="300"/>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188"/>
        </w:trPr>
        <w:tc>
          <w:tcPr>
            <w:tcW w:w="3440" w:type="dxa"/>
            <w:vAlign w:val="bottom"/>
          </w:tcPr>
          <w:p>
            <w:pPr>
              <w:jc w:val="center"/>
              <w:ind w:right="638"/>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540" w:type="dxa"/>
            <w:vAlign w:val="bottom"/>
          </w:tcPr>
          <w:p>
            <w:pPr>
              <w:spacing w:after="0"/>
              <w:rPr>
                <w:sz w:val="16"/>
                <w:szCs w:val="16"/>
                <w:color w:val="auto"/>
              </w:rPr>
            </w:pPr>
          </w:p>
        </w:tc>
        <w:tc>
          <w:tcPr>
            <w:tcW w:w="308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color w:val="auto"/>
              </w:rPr>
              <w:t>SWBI</w:t>
            </w:r>
          </w:p>
        </w:tc>
        <w:tc>
          <w:tcPr>
            <w:tcW w:w="3200" w:type="dxa"/>
            <w:vAlign w:val="bottom"/>
          </w:tcPr>
          <w:p>
            <w:pPr>
              <w:jc w:val="center"/>
              <w:ind w:left="300"/>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86" w:lineRule="exact"/>
        <w:rPr>
          <w:sz w:val="24"/>
          <w:szCs w:val="24"/>
          <w:color w:val="auto"/>
        </w:rPr>
      </w:pPr>
    </w:p>
    <w:p>
      <w:pPr>
        <w:jc w:val="both"/>
        <w:ind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4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Accelerated filer</w:t>
            </w:r>
          </w:p>
        </w:tc>
        <w:tc>
          <w:tcPr>
            <w:tcW w:w="136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4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36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4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75" w:lineRule="exact"/>
        <w:rPr>
          <w:sz w:val="24"/>
          <w:szCs w:val="24"/>
          <w:color w:val="auto"/>
        </w:rPr>
      </w:pPr>
    </w:p>
    <w:p>
      <w:pPr>
        <w:ind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520" w:right="118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registrant had 44,493,745 shares of common stock, par value $0.001, outstanding as of March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SMITH &amp; WESSON BRANDS,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January 31, 2026 and 2025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80" w:type="dxa"/>
            <w:vAlign w:val="bottom"/>
            <w:gridSpan w:val="3"/>
          </w:tcPr>
          <w:p>
            <w:pPr>
              <w:ind w:left="1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40" w:type="dxa"/>
            <w:vAlign w:val="bottom"/>
          </w:tcPr>
          <w:p>
            <w:pPr>
              <w:spacing w:after="0"/>
              <w:rPr>
                <w:sz w:val="20"/>
                <w:szCs w:val="20"/>
                <w:color w:val="auto"/>
              </w:rPr>
            </w:pPr>
          </w:p>
        </w:tc>
      </w:tr>
      <w:tr>
        <w:trPr>
          <w:trHeight w:val="418"/>
        </w:trPr>
        <w:tc>
          <w:tcPr>
            <w:tcW w:w="920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20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Item 1. Financial Statements (Unaudited)</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gridSpan w:val="2"/>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6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60" w:type="dxa"/>
            <w:vAlign w:val="bottom"/>
            <w:gridSpan w:val="3"/>
            <w:shd w:val="clear" w:color="auto" w:fill="0000FF"/>
          </w:tcPr>
          <w:p>
            <w:pPr>
              <w:spacing w:after="0" w:line="20" w:lineRule="exact"/>
              <w:rPr>
                <w:sz w:val="1"/>
                <w:szCs w:val="1"/>
                <w:color w:val="auto"/>
              </w:rPr>
            </w:pPr>
          </w:p>
        </w:tc>
        <w:tc>
          <w:tcPr>
            <w:tcW w:w="3980" w:type="dxa"/>
            <w:vAlign w:val="bottom"/>
            <w:tcBorders>
              <w:left w:val="single" w:sz="8" w:color="0000FF"/>
            </w:tcBorders>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340" w:type="dxa"/>
            <w:vAlign w:val="bottom"/>
            <w:tcBorders>
              <w:right w:val="single" w:sz="8" w:color="0000EE"/>
            </w:tcBorders>
            <w:gridSpan w:val="2"/>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18"/>
        </w:trPr>
        <w:tc>
          <w:tcPr>
            <w:tcW w:w="920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20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52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1. Legal Proceedings</w:t>
            </w:r>
          </w:p>
        </w:tc>
        <w:tc>
          <w:tcPr>
            <w:tcW w:w="6340" w:type="dxa"/>
            <w:vAlign w:val="bottom"/>
            <w:gridSpan w:val="5"/>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5"/>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Item 1A. Risk Factors</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5"/>
            <w:shd w:val="clear" w:color="auto" w:fill="0000FF"/>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Item 5. Other Information</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020" w:type="dxa"/>
            <w:vAlign w:val="bottom"/>
            <w:gridSpan w:val="7"/>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Item 6. Exhibits</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340" w:type="dxa"/>
            <w:vAlign w:val="bottom"/>
            <w:tcBorders>
              <w:right w:val="single" w:sz="8" w:color="0000EE"/>
            </w:tcBorders>
            <w:gridSpan w:val="2"/>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720" w:type="dxa"/>
            <w:vAlign w:val="bottom"/>
            <w:gridSpan w:val="9"/>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92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40" w:type="dxa"/>
            <w:vAlign w:val="bottom"/>
            <w:gridSpan w:val="1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92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EX-31.1</w:t>
            </w:r>
          </w:p>
        </w:tc>
        <w:tc>
          <w:tcPr>
            <w:tcW w:w="204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8560" w:type="dxa"/>
            <w:vAlign w:val="bottom"/>
            <w:gridSpan w:val="11"/>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92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EX-31.2</w:t>
            </w:r>
          </w:p>
        </w:tc>
        <w:tc>
          <w:tcPr>
            <w:tcW w:w="204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89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89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21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Smith &amp; Wesson®, S&amp;W®, M&amp;P®, M&amp;P Shield®, Performance Center®, Abyss®, Airlite®, Airweight®, American Guardians®, Armornite®, Arrow®, Aurora-II®, Blast Jacket®, Bodyguard®, Carry Comp®, Chiefs Special®, Club 1852®, Competitor®, CSX®, Dagger®, Empowering Americans®, E-Series®, ETM®, EZ®, Flexmag®, G-Core®, Gemtech®, Gemtech Suppressors®, GM®, GM-S1®, GMT-Halo®, Governor®, GVAC®, Integra®, Lady Smith®, Lever Lock®, Lunar®, M&amp;P FPC®, M2.0®, Magnum®, Mist-22®, Model 1854®, Mountain Gun®, Protected by Smith &amp; Wesson®, Put A Legend On Your Line®, Quickmount®, Shield®, Silence is Golden®, Smith &amp; Wesson Academy®, Smith &amp; Wesson Collectors Association®, Smith &amp; Wesson Performance Center®, Smith &amp; Wesson Precision Components®, Smith &amp; Wesson Response®, SW Equalizer®, Stealth Hunter®, SW22 Victory®, TEMPO®, The S&amp;W Bench®, Trek®, Volunteer®, and Weather Shield® are some of the registered U.S. trademarks of our company or one of our subsidiaries. This Quarterly Report on Form 10-Q also may contain trademarks and trade names of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Statement Regarding Forward-Looking Information</w:t>
      </w:r>
    </w:p>
    <w:p>
      <w:pPr>
        <w:spacing w:after="0" w:line="229"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or the Exchange Act. All statements other than statements of historical facts contained or incorporated herein by reference in this Quarterly Report on Form 10-Q, including statements regarding our future operating results, future financial position, business strategy, objectives, goals, plans, prospects, markets, and plans and objectives for future operations, are forward-looking statements. In some cases, you can identify forward-looking statements by terms such as “anticipates,” “believes,” “estimates,” “expects,” “intends,” “targets,” “contemplates,” “projects,” “predicts,” “may,” “might,” “plan,” “will,” “would,” “should,” “could,” “can,” “potential,” “continue,” “objective,” or the negative of those terms, or similar expressions intended to identify forward-looking statements. However, not all forward-looking statements contain these identifying words. Specific forward-looking statements in this Quarterly Report on Form 10-Q include statements regarding our expectation that the unrecognized compensation expense related to unvested RSUs and PSUs will be recognized over a weighted average remaining contractual term of 1.2 years; our belief that with respect to certain matters described in Note 8—</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that the remaining breach of contract claim asserted in the compliant has no merit, as well as, the claims in the product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cases primarily alleging defective product design, defective manufacturing, or failure to provide adequate warnings; our belief with respect to certain matters described in Note 8—</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that the allegations are unfounded and, in addition, that any incident and any results from them or any injuries were due to negligence or misuse of the firearm by the claimant or a third party; our intention to aggressively defend the actions described in Note 8—</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our belief that our accruals for product liability cases and claims are a reasonable quantitative measure of the cost to us of product liability cases and claims; our belief that we have provided adequate accruals for defense costs; our belief that an unfavorable outcome or prolonged litigation could harm our business; our conclusion that we are unable to reasonably estimate the probability or the estimated range of reasonably possible additional losses related to material adverse judgments related to known claims and the related product liability accrual, our determination not to accrue for any such judgments, and our belief that we have provided adequate accruals for defense costs; our aim to meet requirements of the Accountability Agreement (as defined herein); our belief that inventory levels, both internally and in the distribution channel, in excess of demand may negatively impact future operating results; our belief that the difference in our unit demand compared to NICS results was driven by stronger relative performance in categories in which we do not participate fully, specifically hunting; our expectation that our inventory levels will decline during the remainder of the fiscal year; our expectation that the impact of OBBBA (as defined herein) provisions will not have a material impact on our consolidated financial statements; our expectation for capital expenditures in fiscal 2026; factors affecting our future capital requirements; the availability of equity or debt financing on acceptable terms, if at all; the record date and payment date for our dividend; and our belief that our existing capital resources and credit facilities will be adequate to fund our operations for at least the next 12 months.</w:t>
      </w:r>
    </w:p>
    <w:p>
      <w:pPr>
        <w:spacing w:after="0" w:line="20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All forward-looking statements included herein are based on information available to us as of the date hereof and speak only as of such date. Except as required by law, we undertake no obligation to update any forward-looking statements to reflect events or circumstances after the date of such statements. The forward-looking statements contained in or incorporated by reference into this Quarterly Report on Form 10-Q reflect our views as of the date hereof about future events and are subject to risks, uncertainties, assumptions, and changes in circumstances that may cause our actual results, performance, or achievements to differ significantly from those expressed or implied in any forward-looking statement. Although we believe that the expectations reflected in the forward-looking statements are reasonable, we cannot guarantee future events, results, performance, or achievements. A number of factors could cause actual results to differ materially from those indicated by the forward-looking statements. Such factors include, among others, economic, political, social, legislative, regulatory, inflationary, and health factors; the potential for increased regulation of firearms and firearm-related products; actions of social activists that could have an adverse effect on our business; the impact of lawsuits; the demand for our products; the state of the U.S. economy in general and the firearm industry in particular; general economic conditions and consumer spending patterns; our competitive environment; the impact of tariffs; the supply, availability, and costs of raw materials and components; speculation surrounding fears of terrorism and crime; our anticipated growth and growth opportunities; our ability to increase demand for our products in various markets, including consumer, law enforcement, and military channels, domestically and internationally; our penetration rates in new and existing markets; our strategies; our ability to maintain and enhance brand recognition and reputation; our ability to successfully introduce new products; our ability to expand our markets; the potential for cancellation of orders from our backlog; and other factors detailed from time to time in our reports filed with the Securities and Exchange Commission, or the SEC, including our Annual Report on Form 10-K for the fiscal year ended April 30, 2025, or the Fiscal 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756920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ind w:left="14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5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January 31, 2026</w:t>
            </w:r>
          </w:p>
        </w:tc>
        <w:tc>
          <w:tcPr>
            <w:tcW w:w="3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April 30,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(In thousands, except</w:t>
            </w:r>
          </w:p>
        </w:tc>
        <w:tc>
          <w:tcPr>
            <w:tcW w:w="300" w:type="dxa"/>
            <w:vAlign w:val="bottom"/>
          </w:tcPr>
          <w:p>
            <w:pPr>
              <w:ind w:left="60"/>
              <w:spacing w:after="0" w:line="155" w:lineRule="exact"/>
              <w:rPr>
                <w:sz w:val="20"/>
                <w:szCs w:val="20"/>
                <w:color w:val="auto"/>
              </w:rPr>
            </w:pPr>
            <w:r>
              <w:rPr>
                <w:rFonts w:ascii="Times New Roman" w:cs="Times New Roman" w:eastAsia="Times New Roman" w:hAnsi="Times New Roman"/>
                <w:sz w:val="14"/>
                <w:szCs w:val="14"/>
                <w:color w:val="auto"/>
              </w:rPr>
              <w:t>par</w:t>
            </w:r>
          </w:p>
        </w:tc>
        <w:tc>
          <w:tcPr>
            <w:tcW w:w="16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value and share data)</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52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18,421</w:t>
            </w:r>
          </w:p>
        </w:tc>
        <w:tc>
          <w:tcPr>
            <w:tcW w:w="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25,231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Marketable securities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5,041</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1"/>
        </w:trPr>
        <w:tc>
          <w:tcPr>
            <w:tcW w:w="7520" w:type="dxa"/>
            <w:vAlign w:val="bottom"/>
            <w:shd w:val="clear" w:color="auto" w:fill="CFF0FC"/>
          </w:tcPr>
          <w:p>
            <w:pPr>
              <w:ind w:left="140"/>
              <w:spacing w:after="0" w:line="181" w:lineRule="exact"/>
              <w:rPr>
                <w:sz w:val="20"/>
                <w:szCs w:val="20"/>
                <w:color w:val="auto"/>
              </w:rPr>
            </w:pPr>
            <w:r>
              <w:rPr>
                <w:rFonts w:ascii="Times New Roman" w:cs="Times New Roman" w:eastAsia="Times New Roman" w:hAnsi="Times New Roman"/>
                <w:sz w:val="17"/>
                <w:szCs w:val="17"/>
                <w:color w:val="auto"/>
              </w:rPr>
              <w:t>Accounts receivable, net of allowances for credit losses of $5 on</w:t>
            </w:r>
          </w:p>
        </w:tc>
        <w:tc>
          <w:tcPr>
            <w:tcW w:w="18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5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January 31, 2026 and April 30, 2025</w:t>
            </w: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50,834</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55,868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Inventories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175,264</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189,840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7,702</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Income tax receivable</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4,271</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current assets</w:t>
            </w: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261,533</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277,265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7520" w:type="dxa"/>
            <w:vAlign w:val="bottom"/>
          </w:tcPr>
          <w:p>
            <w:pPr>
              <w:spacing w:after="0" w:line="174" w:lineRule="exact"/>
              <w:rPr>
                <w:sz w:val="20"/>
                <w:szCs w:val="20"/>
                <w:color w:val="auto"/>
              </w:rPr>
            </w:pPr>
            <w:r>
              <w:rPr>
                <w:rFonts w:ascii="Times New Roman" w:cs="Times New Roman" w:eastAsia="Times New Roman" w:hAnsi="Times New Roman"/>
                <w:sz w:val="17"/>
                <w:szCs w:val="17"/>
                <w:color w:val="auto"/>
              </w:rPr>
              <w:t>Property, plant, and equipment, net of accumulated depreciation and</w:t>
            </w: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amortization of $390,467 on January 31, 2026 and $368,811 on April 30, 2025</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238,578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242,648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Intangibles, net</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2,195</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2,409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19,024</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9,584</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10,260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7,090</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Total assets</w:t>
            </w: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538,004</w:t>
            </w:r>
          </w:p>
        </w:tc>
        <w:tc>
          <w:tcPr>
            <w:tcW w:w="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559,612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520" w:type="dxa"/>
            <w:vAlign w:val="bottom"/>
            <w:tcBorders>
              <w:top w:val="single" w:sz="8" w:color="CFF0FC"/>
            </w:tcBorders>
          </w:tcPr>
          <w:p>
            <w:pPr>
              <w:ind w:left="3700"/>
              <w:spacing w:after="0" w:line="183"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25,494</w:t>
            </w:r>
          </w:p>
        </w:tc>
        <w:tc>
          <w:tcPr>
            <w:tcW w:w="5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Accrued expenses and deferred revenue</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18,770</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24,678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payroll and incentives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11,246</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Accrued profit sharing</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1,389</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4,636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warranty</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1,244</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58,143</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66,640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Pr>
          <w:p>
            <w:pPr>
              <w:spacing w:after="0"/>
              <w:rPr>
                <w:sz w:val="20"/>
                <w:szCs w:val="20"/>
                <w:color w:val="auto"/>
              </w:rPr>
            </w:pPr>
            <w:r>
              <w:rPr>
                <w:rFonts w:ascii="Times New Roman" w:cs="Times New Roman" w:eastAsia="Times New Roman" w:hAnsi="Times New Roman"/>
                <w:sz w:val="17"/>
                <w:szCs w:val="17"/>
                <w:color w:val="auto"/>
              </w:rPr>
              <w:t>Notes and loans payable (Note 3)</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74,056</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Finance lease payable, net of current portion</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32,644</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33,703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9,743</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liabilities</w:t>
            </w: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174,586</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187,158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 (Note 8)</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520" w:type="dxa"/>
            <w:vAlign w:val="bottom"/>
          </w:tcPr>
          <w:p>
            <w:pPr>
              <w:ind w:left="140"/>
              <w:spacing w:after="0" w:line="181" w:lineRule="exact"/>
              <w:rPr>
                <w:sz w:val="20"/>
                <w:szCs w:val="20"/>
                <w:color w:val="auto"/>
              </w:rPr>
            </w:pPr>
            <w:r>
              <w:rPr>
                <w:rFonts w:ascii="Times New Roman" w:cs="Times New Roman" w:eastAsia="Times New Roman" w:hAnsi="Times New Roman"/>
                <w:sz w:val="17"/>
                <w:szCs w:val="17"/>
                <w:color w:val="auto"/>
              </w:rPr>
              <w:t>Preferred stock, $0.001 par value, 20,000,000 shares authorized, no shares</w:t>
            </w: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5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issued or outstanding</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2"/>
        </w:trPr>
        <w:tc>
          <w:tcPr>
            <w:tcW w:w="7520" w:type="dxa"/>
            <w:vAlign w:val="bottom"/>
            <w:shd w:val="clear" w:color="auto" w:fill="CFF0FC"/>
          </w:tcPr>
          <w:p>
            <w:pPr>
              <w:ind w:left="140"/>
              <w:spacing w:after="0" w:line="182" w:lineRule="exact"/>
              <w:rPr>
                <w:sz w:val="20"/>
                <w:szCs w:val="20"/>
                <w:color w:val="auto"/>
              </w:rPr>
            </w:pPr>
            <w:r>
              <w:rPr>
                <w:rFonts w:ascii="Times New Roman" w:cs="Times New Roman" w:eastAsia="Times New Roman" w:hAnsi="Times New Roman"/>
                <w:sz w:val="17"/>
                <w:szCs w:val="17"/>
                <w:color w:val="auto"/>
              </w:rPr>
              <w:t>Common stock, $0.001 par value, 100,000,000 shares authorized,</w:t>
            </w:r>
          </w:p>
        </w:tc>
        <w:tc>
          <w:tcPr>
            <w:tcW w:w="18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44,493,745 shares issued and outstanding on January 31,</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2026 and 75,789,455 shares issued and 44,111,461 shares</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5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outstanding on April 30, 2025</w:t>
            </w: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298,075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Retained earnings</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363,374</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532,615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520" w:type="dxa"/>
            <w:vAlign w:val="bottom"/>
          </w:tcPr>
          <w:p>
            <w:pPr>
              <w:ind w:left="140"/>
              <w:spacing w:after="0" w:line="181" w:lineRule="exact"/>
              <w:rPr>
                <w:sz w:val="20"/>
                <w:szCs w:val="20"/>
                <w:color w:val="auto"/>
              </w:rPr>
            </w:pPr>
            <w:r>
              <w:rPr>
                <w:rFonts w:ascii="Times New Roman" w:cs="Times New Roman" w:eastAsia="Times New Roman" w:hAnsi="Times New Roman"/>
                <w:sz w:val="17"/>
                <w:szCs w:val="17"/>
                <w:color w:val="auto"/>
              </w:rPr>
              <w:t>Treasury stock, at cost (no shares on January 31, 2026 and 31,677,994 shares on</w:t>
            </w:r>
          </w:p>
        </w:tc>
        <w:tc>
          <w:tcPr>
            <w:tcW w:w="18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(458,312)</w:t>
            </w:r>
          </w:p>
        </w:tc>
        <w:tc>
          <w:tcPr>
            <w:tcW w:w="0" w:type="dxa"/>
            <w:vAlign w:val="bottom"/>
          </w:tcPr>
          <w:p>
            <w:pPr>
              <w:spacing w:after="0"/>
              <w:rPr>
                <w:sz w:val="1"/>
                <w:szCs w:val="1"/>
                <w:color w:val="auto"/>
              </w:rPr>
            </w:pPr>
          </w:p>
        </w:tc>
      </w:tr>
      <w:tr>
        <w:trPr>
          <w:trHeight w:val="211"/>
        </w:trPr>
        <w:tc>
          <w:tcPr>
            <w:tcW w:w="75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April 30, 2025)</w:t>
            </w:r>
          </w:p>
        </w:tc>
        <w:tc>
          <w:tcPr>
            <w:tcW w:w="18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5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363,418</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372,454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538,004</w:t>
            </w:r>
          </w:p>
        </w:tc>
        <w:tc>
          <w:tcPr>
            <w:tcW w:w="5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559,612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-4354195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-4354195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-3436620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-3419475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-3436620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-3419475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-2373630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-2373630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-1842135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-161925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gridSpan w:val="6"/>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gridSpan w:val="5"/>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2"/>
        </w:trPr>
        <w:tc>
          <w:tcPr>
            <w:tcW w:w="4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6"/>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rPr>
              <w:t>January 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January 31,</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4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r>
      <w:tr>
        <w:trPr>
          <w:trHeight w:val="210"/>
        </w:trPr>
        <w:tc>
          <w:tcPr>
            <w:tcW w:w="4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135,709</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115,885</w:t>
            </w:r>
          </w:p>
        </w:tc>
        <w:tc>
          <w:tcPr>
            <w:tcW w:w="2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345,457</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333,899</w:t>
            </w: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257,444</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247,261</w:t>
            </w:r>
          </w:p>
        </w:tc>
        <w:tc>
          <w:tcPr>
            <w:tcW w:w="120" w:type="dxa"/>
            <w:vAlign w:val="bottom"/>
          </w:tcPr>
          <w:p>
            <w:pPr>
              <w:spacing w:after="0"/>
              <w:rPr>
                <w:sz w:val="18"/>
                <w:szCs w:val="18"/>
                <w:color w:val="auto"/>
              </w:rPr>
            </w:pPr>
          </w:p>
        </w:tc>
      </w:tr>
      <w:tr>
        <w:trPr>
          <w:trHeight w:val="210"/>
        </w:trPr>
        <w:tc>
          <w:tcPr>
            <w:tcW w:w="49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7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35,589</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27,947</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88,013</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86,638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7,852</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30,259</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29,839</w:t>
            </w:r>
          </w:p>
        </w:tc>
        <w:tc>
          <w:tcPr>
            <w:tcW w:w="120" w:type="dxa"/>
            <w:vAlign w:val="bottom"/>
          </w:tcPr>
          <w:p>
            <w:pPr>
              <w:spacing w:after="0"/>
              <w:rPr>
                <w:sz w:val="18"/>
                <w:szCs w:val="18"/>
                <w:color w:val="auto"/>
              </w:rPr>
            </w:pPr>
          </w:p>
        </w:tc>
      </w:tr>
      <w:tr>
        <w:trPr>
          <w:trHeight w:val="216"/>
        </w:trPr>
        <w:tc>
          <w:tcPr>
            <w:tcW w:w="4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42,263</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40,959</w:t>
            </w: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sale/disposition of assets, net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(231)</w:t>
            </w:r>
          </w:p>
        </w:tc>
        <w:tc>
          <w:tcPr>
            <w:tcW w:w="3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(2,521)</w:t>
            </w:r>
          </w:p>
        </w:tc>
      </w:tr>
      <w:tr>
        <w:trPr>
          <w:trHeight w:val="209"/>
        </w:trPr>
        <w:tc>
          <w:tcPr>
            <w:tcW w:w="49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28,876</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23,202</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80,143</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75,882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7,870</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10,756</w:t>
            </w:r>
          </w:p>
        </w:tc>
        <w:tc>
          <w:tcPr>
            <w:tcW w:w="120" w:type="dxa"/>
            <w:vAlign w:val="bottom"/>
          </w:tcPr>
          <w:p>
            <w:pPr>
              <w:spacing w:after="0"/>
              <w:rPr>
                <w:sz w:val="18"/>
                <w:szCs w:val="18"/>
                <w:color w:val="auto"/>
              </w:rPr>
            </w:pPr>
          </w:p>
        </w:tc>
      </w:tr>
      <w:tr>
        <w:trPr>
          <w:trHeight w:val="21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income/(expense), net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(1,527)</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(1,723)</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(4,117)</w:t>
            </w:r>
          </w:p>
        </w:tc>
        <w:tc>
          <w:tcPr>
            <w:tcW w:w="3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(3,875)</w:t>
            </w:r>
          </w:p>
        </w:tc>
      </w:tr>
      <w:tr>
        <w:trPr>
          <w:trHeight w:val="20"/>
        </w:trPr>
        <w:tc>
          <w:tcPr>
            <w:tcW w:w="494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(3,594)</w:t>
            </w:r>
          </w:p>
        </w:tc>
        <w:tc>
          <w:tcPr>
            <w:tcW w:w="3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(3,886)</w:t>
            </w:r>
          </w:p>
        </w:tc>
      </w:tr>
      <w:tr>
        <w:trPr>
          <w:trHeight w:val="21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26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20" w:type="dxa"/>
            <w:vAlign w:val="bottom"/>
          </w:tcPr>
          <w:p>
            <w:pPr>
              <w:spacing w:after="0"/>
              <w:rPr>
                <w:sz w:val="18"/>
                <w:szCs w:val="18"/>
                <w:color w:val="auto"/>
              </w:rPr>
            </w:pPr>
          </w:p>
        </w:tc>
      </w:tr>
      <w:tr>
        <w:trPr>
          <w:trHeight w:val="24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16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22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120" w:type="dxa"/>
            <w:vAlign w:val="bottom"/>
            <w:shd w:val="clear" w:color="auto" w:fill="CFF0FC"/>
          </w:tcPr>
          <w:p>
            <w:pPr>
              <w:spacing w:after="0"/>
              <w:rPr>
                <w:sz w:val="21"/>
                <w:szCs w:val="21"/>
                <w:color w:val="auto"/>
              </w:rPr>
            </w:pPr>
          </w:p>
        </w:tc>
      </w:tr>
      <w:tr>
        <w:trPr>
          <w:trHeight w:val="197"/>
        </w:trPr>
        <w:tc>
          <w:tcPr>
            <w:tcW w:w="49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Net income per share:</w:t>
            </w:r>
          </w:p>
        </w:tc>
        <w:tc>
          <w:tcPr>
            <w:tcW w:w="7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36"/>
        </w:trPr>
        <w:tc>
          <w:tcPr>
            <w:tcW w:w="4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 - net income</w:t>
            </w: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6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shd w:val="clear" w:color="auto" w:fill="CFF0FC"/>
          </w:tcPr>
          <w:p>
            <w:pPr>
              <w:spacing w:after="0"/>
              <w:rPr>
                <w:sz w:val="20"/>
                <w:szCs w:val="20"/>
                <w:color w:val="auto"/>
              </w:rPr>
            </w:pPr>
          </w:p>
        </w:tc>
      </w:tr>
      <w:tr>
        <w:trPr>
          <w:trHeight w:val="20"/>
        </w:trPr>
        <w:tc>
          <w:tcPr>
            <w:tcW w:w="49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49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 - net income</w:t>
            </w:r>
          </w:p>
        </w:tc>
        <w:tc>
          <w:tcPr>
            <w:tcW w:w="90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160" w:type="dxa"/>
            <w:vAlign w:val="bottom"/>
          </w:tcPr>
          <w:p>
            <w:pPr>
              <w:spacing w:after="0"/>
              <w:rPr>
                <w:sz w:val="17"/>
                <w:szCs w:val="17"/>
                <w:color w:val="auto"/>
              </w:rPr>
            </w:pPr>
          </w:p>
        </w:tc>
        <w:tc>
          <w:tcPr>
            <w:tcW w:w="2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220" w:type="dxa"/>
            <w:vAlign w:val="bottom"/>
          </w:tcPr>
          <w:p>
            <w:pPr>
              <w:spacing w:after="0"/>
              <w:rPr>
                <w:sz w:val="17"/>
                <w:szCs w:val="17"/>
                <w:color w:val="auto"/>
              </w:rPr>
            </w:pPr>
          </w:p>
        </w:tc>
        <w:tc>
          <w:tcPr>
            <w:tcW w:w="34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260" w:type="dxa"/>
            <w:vAlign w:val="bottom"/>
          </w:tcPr>
          <w:p>
            <w:pPr>
              <w:spacing w:after="0"/>
              <w:rPr>
                <w:sz w:val="17"/>
                <w:szCs w:val="17"/>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spacing w:after="0"/>
              <w:rPr>
                <w:sz w:val="17"/>
                <w:szCs w:val="17"/>
                <w:color w:val="auto"/>
              </w:rPr>
            </w:pPr>
          </w:p>
        </w:tc>
      </w:tr>
      <w:tr>
        <w:trPr>
          <w:trHeight w:val="20"/>
        </w:trPr>
        <w:tc>
          <w:tcPr>
            <w:tcW w:w="4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9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44,627</w:t>
            </w:r>
          </w:p>
        </w:tc>
        <w:tc>
          <w:tcPr>
            <w:tcW w:w="120" w:type="dxa"/>
            <w:vAlign w:val="bottom"/>
          </w:tcPr>
          <w:p>
            <w:pPr>
              <w:spacing w:after="0"/>
              <w:rPr>
                <w:sz w:val="18"/>
                <w:szCs w:val="18"/>
                <w:color w:val="auto"/>
              </w:rPr>
            </w:pPr>
          </w:p>
        </w:tc>
      </w:tr>
      <w:tr>
        <w:trPr>
          <w:trHeight w:val="216"/>
        </w:trPr>
        <w:tc>
          <w:tcPr>
            <w:tcW w:w="4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44,982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44,398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44,825</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45,069</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-2879725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-2879725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-2879725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-2879725</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-2039620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-2039620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-2039620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-2039620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-1473835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-1473835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-1473835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-1473835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-899795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-882015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-899795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-882015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-899795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-882015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-899795</wp:posOffset>
            </wp:positionV>
            <wp:extent cx="774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-882015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-599440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-582295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-599440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-582295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-599440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-582295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-599440</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-582295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40"/>
        <w:spacing w:after="0" w:line="27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CONDENSED CONSOLIDATED STATEMENTS OF CHANGES IN STOCKHOLDERS’ EQUITY (Unaudited)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620" w:type="dxa"/>
            <w:vAlign w:val="bottom"/>
          </w:tcPr>
          <w:p>
            <w:pPr>
              <w:spacing w:after="0"/>
              <w:rPr>
                <w:sz w:val="17"/>
                <w:szCs w:val="17"/>
                <w:color w:val="auto"/>
              </w:rPr>
            </w:pPr>
          </w:p>
        </w:tc>
        <w:tc>
          <w:tcPr>
            <w:tcW w:w="1060" w:type="dxa"/>
            <w:vAlign w:val="bottom"/>
            <w:gridSpan w:val="3"/>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18"/>
        </w:trPr>
        <w:tc>
          <w:tcPr>
            <w:tcW w:w="3620" w:type="dxa"/>
            <w:vAlign w:val="bottom"/>
          </w:tcPr>
          <w:p>
            <w:pPr>
              <w:spacing w:after="0"/>
              <w:rPr>
                <w:sz w:val="18"/>
                <w:szCs w:val="18"/>
                <w:color w:val="auto"/>
              </w:rPr>
            </w:pPr>
          </w:p>
        </w:tc>
        <w:tc>
          <w:tcPr>
            <w:tcW w:w="1060" w:type="dxa"/>
            <w:vAlign w:val="bottom"/>
            <w:gridSpan w:val="3"/>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6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6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80" w:type="dxa"/>
            <w:vAlign w:val="bottom"/>
          </w:tcPr>
          <w:p>
            <w:pPr>
              <w:spacing w:after="0"/>
              <w:rPr>
                <w:sz w:val="18"/>
                <w:szCs w:val="18"/>
                <w:color w:val="auto"/>
              </w:rPr>
            </w:pPr>
          </w:p>
        </w:tc>
        <w:tc>
          <w:tcPr>
            <w:tcW w:w="1640" w:type="dxa"/>
            <w:vAlign w:val="bottom"/>
            <w:gridSpan w:val="5"/>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Stockholders’</w:t>
            </w:r>
          </w:p>
        </w:tc>
      </w:tr>
      <w:tr>
        <w:trPr>
          <w:trHeight w:val="196"/>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17"/>
                <w:szCs w:val="17"/>
                <w:color w:val="auto"/>
              </w:rPr>
            </w:pPr>
          </w:p>
        </w:tc>
      </w:tr>
      <w:tr>
        <w:trPr>
          <w:trHeight w:val="19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October 31, 2024</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75,678</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293,362</w:t>
            </w:r>
          </w:p>
        </w:tc>
        <w:tc>
          <w:tcPr>
            <w:tcW w:w="10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533,417</w:t>
            </w:r>
          </w:p>
        </w:tc>
        <w:tc>
          <w:tcPr>
            <w:tcW w:w="120" w:type="dxa"/>
            <w:vAlign w:val="bottom"/>
            <w:shd w:val="clear" w:color="auto" w:fill="CFF0FC"/>
          </w:tcPr>
          <w:p>
            <w:pPr>
              <w:spacing w:after="0"/>
              <w:rPr>
                <w:sz w:val="17"/>
                <w:szCs w:val="17"/>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31,458</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(455,446)</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371,482</w:t>
            </w:r>
          </w:p>
        </w:tc>
        <w:tc>
          <w:tcPr>
            <w:tcW w:w="100" w:type="dxa"/>
            <w:vAlign w:val="bottom"/>
            <w:shd w:val="clear" w:color="auto" w:fill="CFF0FC"/>
          </w:tcPr>
          <w:p>
            <w:pPr>
              <w:spacing w:after="0"/>
              <w:rPr>
                <w:sz w:val="17"/>
                <w:szCs w:val="17"/>
                <w:color w:val="auto"/>
              </w:rPr>
            </w:pP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2,002</w:t>
            </w:r>
          </w:p>
        </w:tc>
        <w:tc>
          <w:tcPr>
            <w:tcW w:w="100" w:type="dxa"/>
            <w:vAlign w:val="bottom"/>
          </w:tcPr>
          <w:p>
            <w:pPr>
              <w:spacing w:after="0"/>
              <w:rPr>
                <w:sz w:val="17"/>
                <w:szCs w:val="17"/>
                <w:color w:val="auto"/>
              </w:rPr>
            </w:pPr>
          </w:p>
        </w:tc>
      </w:tr>
      <w:tr>
        <w:trPr>
          <w:trHeight w:val="189"/>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under restricted</w:t>
            </w:r>
          </w:p>
        </w:tc>
        <w:tc>
          <w:tcPr>
            <w:tcW w:w="5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3"/>
        </w:trPr>
        <w:tc>
          <w:tcPr>
            <w:tcW w:w="3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stock unit awards, net of shares</w:t>
            </w: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3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surrendered</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w:t>
            </w: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treasury stock, including excise tax</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(2,876)</w:t>
            </w:r>
          </w:p>
        </w:tc>
        <w:tc>
          <w:tcPr>
            <w:tcW w:w="18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(2,876)</w:t>
            </w:r>
          </w:p>
        </w:tc>
      </w:tr>
      <w:tr>
        <w:trPr>
          <w:trHeight w:val="189"/>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Dividends issued, including accruals ($0.13 per</w:t>
            </w:r>
          </w:p>
        </w:tc>
        <w:tc>
          <w:tcPr>
            <w:tcW w:w="5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share)</w:t>
            </w: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(5,767)</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(5,767)</w:t>
            </w: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2,102</w:t>
            </w:r>
          </w:p>
        </w:tc>
        <w:tc>
          <w:tcPr>
            <w:tcW w:w="100" w:type="dxa"/>
            <w:vAlign w:val="bottom"/>
          </w:tcPr>
          <w:p>
            <w:pPr>
              <w:spacing w:after="0"/>
              <w:rPr>
                <w:sz w:val="17"/>
                <w:szCs w:val="17"/>
                <w:color w:val="auto"/>
              </w:rPr>
            </w:pPr>
          </w:p>
        </w:tc>
      </w:tr>
      <w:tr>
        <w:trPr>
          <w:trHeight w:val="23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January 31, 2025</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75,681</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295,348</w:t>
            </w:r>
          </w:p>
        </w:tc>
        <w:tc>
          <w:tcPr>
            <w:tcW w:w="10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529,752</w:t>
            </w:r>
          </w:p>
        </w:tc>
        <w:tc>
          <w:tcPr>
            <w:tcW w:w="12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31,678</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(458,322)</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366,927</w:t>
            </w:r>
          </w:p>
        </w:tc>
        <w:tc>
          <w:tcPr>
            <w:tcW w:w="100" w:type="dxa"/>
            <w:vAlign w:val="bottom"/>
            <w:shd w:val="clear" w:color="auto" w:fill="CFF0FC"/>
          </w:tcPr>
          <w:p>
            <w:pPr>
              <w:spacing w:after="0"/>
              <w:rPr>
                <w:sz w:val="20"/>
                <w:szCs w:val="20"/>
                <w:color w:val="auto"/>
              </w:rPr>
            </w:pPr>
          </w:p>
        </w:tc>
      </w:tr>
      <w:tr>
        <w:trPr>
          <w:trHeight w:val="183"/>
        </w:trPr>
        <w:tc>
          <w:tcPr>
            <w:tcW w:w="3620" w:type="dxa"/>
            <w:vAlign w:val="bottom"/>
            <w:tcBorders>
              <w:top w:val="single" w:sz="8" w:color="CFF0FC"/>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April 30, 2024</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75,395</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289,994</w:t>
            </w:r>
          </w:p>
        </w:tc>
        <w:tc>
          <w:tcPr>
            <w:tcW w:w="10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542,414</w:t>
            </w:r>
          </w:p>
        </w:tc>
        <w:tc>
          <w:tcPr>
            <w:tcW w:w="120" w:type="dxa"/>
            <w:vAlign w:val="bottom"/>
            <w:shd w:val="clear" w:color="auto" w:fill="CFF0FC"/>
          </w:tcPr>
          <w:p>
            <w:pPr>
              <w:spacing w:after="0"/>
              <w:rPr>
                <w:sz w:val="17"/>
                <w:szCs w:val="17"/>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29,834</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(432,642)</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399,914</w:t>
            </w:r>
          </w:p>
        </w:tc>
        <w:tc>
          <w:tcPr>
            <w:tcW w:w="100" w:type="dxa"/>
            <w:vAlign w:val="bottom"/>
            <w:shd w:val="clear" w:color="auto" w:fill="CFF0FC"/>
          </w:tcPr>
          <w:p>
            <w:pPr>
              <w:spacing w:after="0"/>
              <w:rPr>
                <w:sz w:val="17"/>
                <w:szCs w:val="17"/>
                <w:color w:val="auto"/>
              </w:rPr>
            </w:pP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5,724</w:t>
            </w:r>
          </w:p>
        </w:tc>
        <w:tc>
          <w:tcPr>
            <w:tcW w:w="100" w:type="dxa"/>
            <w:vAlign w:val="bottom"/>
          </w:tcPr>
          <w:p>
            <w:pPr>
              <w:spacing w:after="0"/>
              <w:rPr>
                <w:sz w:val="17"/>
                <w:szCs w:val="17"/>
                <w:color w:val="auto"/>
              </w:rPr>
            </w:pPr>
          </w:p>
        </w:tc>
      </w:tr>
      <w:tr>
        <w:trPr>
          <w:trHeight w:val="189"/>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Shares issued under employee</w:t>
            </w:r>
          </w:p>
        </w:tc>
        <w:tc>
          <w:tcPr>
            <w:tcW w:w="5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3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stock purchase plan</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shd w:val="clear" w:color="auto" w:fill="CFF0FC"/>
          </w:tcPr>
          <w:p>
            <w:pPr>
              <w:spacing w:after="0"/>
              <w:rPr>
                <w:sz w:val="18"/>
                <w:szCs w:val="18"/>
                <w:color w:val="auto"/>
              </w:rPr>
            </w:pPr>
          </w:p>
        </w:tc>
      </w:tr>
      <w:tr>
        <w:trPr>
          <w:trHeight w:val="189"/>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restricted</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 unit awards, net of shares</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surrendered</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(1,118)</w:t>
            </w:r>
          </w:p>
        </w:tc>
      </w:tr>
      <w:tr>
        <w:trPr>
          <w:trHeight w:val="205"/>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Repurchase of treasury stock, including excise tax</w:t>
            </w: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1,844</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(25,680)</w:t>
            </w: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(25,680)</w:t>
            </w:r>
          </w:p>
        </w:tc>
      </w:tr>
      <w:tr>
        <w:trPr>
          <w:trHeight w:val="189"/>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Dividends issued, including accruals ($0.39 per</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common share)</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(17,454)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(17,454)</w:t>
            </w:r>
          </w:p>
        </w:tc>
      </w:tr>
      <w:tr>
        <w:trPr>
          <w:trHeight w:val="205"/>
        </w:trPr>
        <w:tc>
          <w:tcPr>
            <w:tcW w:w="3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4,792</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4,792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Balance at January 31, 2025</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75,681</w:t>
            </w:r>
          </w:p>
        </w:tc>
        <w:tc>
          <w:tcPr>
            <w:tcW w:w="16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295,348</w:t>
            </w:r>
          </w:p>
        </w:tc>
        <w:tc>
          <w:tcPr>
            <w:tcW w:w="10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529,752</w:t>
            </w: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31,678</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(458,322)</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366,927</w:t>
            </w:r>
          </w:p>
        </w:tc>
        <w:tc>
          <w:tcPr>
            <w:tcW w:w="100" w:type="dxa"/>
            <w:vAlign w:val="bottom"/>
          </w:tcPr>
          <w:p>
            <w:pPr>
              <w:spacing w:after="0"/>
              <w:rPr>
                <w:sz w:val="17"/>
                <w:szCs w:val="17"/>
                <w:color w:val="auto"/>
              </w:rPr>
            </w:pPr>
          </w:p>
        </w:tc>
      </w:tr>
      <w:tr>
        <w:trPr>
          <w:trHeight w:val="20"/>
        </w:trPr>
        <w:tc>
          <w:tcPr>
            <w:tcW w:w="3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6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Balance at October 31, 2025</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76,169</w:t>
            </w:r>
          </w:p>
        </w:tc>
        <w:tc>
          <w:tcPr>
            <w:tcW w:w="16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301,933</w:t>
            </w:r>
          </w:p>
        </w:tc>
        <w:tc>
          <w:tcPr>
            <w:tcW w:w="10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519,462</w:t>
            </w: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31,678</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(458,275)</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363,196</w:t>
            </w:r>
          </w:p>
        </w:tc>
        <w:tc>
          <w:tcPr>
            <w:tcW w:w="100" w:type="dxa"/>
            <w:vAlign w:val="bottom"/>
          </w:tcPr>
          <w:p>
            <w:pPr>
              <w:spacing w:after="0"/>
              <w:rPr>
                <w:sz w:val="17"/>
                <w:szCs w:val="17"/>
                <w:color w:val="auto"/>
              </w:rPr>
            </w:pPr>
          </w:p>
        </w:tc>
      </w:tr>
      <w:tr>
        <w:trPr>
          <w:trHeight w:val="203"/>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2,374</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2,374</w:t>
            </w:r>
          </w:p>
        </w:tc>
        <w:tc>
          <w:tcPr>
            <w:tcW w:w="100" w:type="dxa"/>
            <w:vAlign w:val="bottom"/>
            <w:shd w:val="clear" w:color="auto" w:fill="CFF0FC"/>
          </w:tcPr>
          <w:p>
            <w:pPr>
              <w:spacing w:after="0"/>
              <w:rPr>
                <w:sz w:val="17"/>
                <w:szCs w:val="17"/>
                <w:color w:val="auto"/>
              </w:rPr>
            </w:pPr>
          </w:p>
        </w:tc>
      </w:tr>
      <w:tr>
        <w:trPr>
          <w:trHeight w:val="189"/>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restricted</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 unit awards, net of shares</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surrendered</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w:t>
            </w:r>
          </w:p>
        </w:tc>
      </w:tr>
      <w:tr>
        <w:trPr>
          <w:trHeight w:val="205"/>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Repurchase of treasury stock, including excise tax</w:t>
            </w: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(37)</w:t>
            </w: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(37)</w:t>
            </w:r>
          </w:p>
        </w:tc>
      </w:tr>
      <w:tr>
        <w:trPr>
          <w:trHeight w:val="189"/>
        </w:trPr>
        <w:tc>
          <w:tcPr>
            <w:tcW w:w="36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(31,67</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Retirement of common stock held in treasury</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w:t>
            </w:r>
          </w:p>
        </w:tc>
        <w:tc>
          <w:tcPr>
            <w:tcW w:w="3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(304,296)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(153,984)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(31,678)</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458,312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Dividends issued, including accruals ($0.13 per</w:t>
            </w:r>
          </w:p>
        </w:tc>
        <w:tc>
          <w:tcPr>
            <w:tcW w:w="5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share)</w:t>
            </w: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(5,857)</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(5,857)</w:t>
            </w: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3,753</w:t>
            </w:r>
          </w:p>
        </w:tc>
        <w:tc>
          <w:tcPr>
            <w:tcW w:w="100" w:type="dxa"/>
            <w:vAlign w:val="bottom"/>
          </w:tcPr>
          <w:p>
            <w:pPr>
              <w:spacing w:after="0"/>
              <w:rPr>
                <w:sz w:val="17"/>
                <w:szCs w:val="17"/>
                <w:color w:val="auto"/>
              </w:rPr>
            </w:pPr>
          </w:p>
        </w:tc>
      </w:tr>
      <w:tr>
        <w:trPr>
          <w:trHeight w:val="23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January 31, 2026</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44,494</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363,374</w:t>
            </w:r>
          </w:p>
        </w:tc>
        <w:tc>
          <w:tcPr>
            <w:tcW w:w="12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363,418</w:t>
            </w:r>
          </w:p>
        </w:tc>
        <w:tc>
          <w:tcPr>
            <w:tcW w:w="100" w:type="dxa"/>
            <w:vAlign w:val="bottom"/>
            <w:shd w:val="clear" w:color="auto" w:fill="CFF0FC"/>
          </w:tcPr>
          <w:p>
            <w:pPr>
              <w:spacing w:after="0"/>
              <w:rPr>
                <w:sz w:val="20"/>
                <w:szCs w:val="20"/>
                <w:color w:val="auto"/>
              </w:rPr>
            </w:pPr>
          </w:p>
        </w:tc>
      </w:tr>
      <w:tr>
        <w:trPr>
          <w:trHeight w:val="183"/>
        </w:trPr>
        <w:tc>
          <w:tcPr>
            <w:tcW w:w="3620" w:type="dxa"/>
            <w:vAlign w:val="bottom"/>
            <w:tcBorders>
              <w:top w:val="single" w:sz="8" w:color="CFF0FC"/>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April 30, 2025</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75,789</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298,075</w:t>
            </w:r>
          </w:p>
        </w:tc>
        <w:tc>
          <w:tcPr>
            <w:tcW w:w="10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532,615</w:t>
            </w:r>
          </w:p>
        </w:tc>
        <w:tc>
          <w:tcPr>
            <w:tcW w:w="120" w:type="dxa"/>
            <w:vAlign w:val="bottom"/>
            <w:shd w:val="clear" w:color="auto" w:fill="CFF0FC"/>
          </w:tcPr>
          <w:p>
            <w:pPr>
              <w:spacing w:after="0"/>
              <w:rPr>
                <w:sz w:val="17"/>
                <w:szCs w:val="17"/>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31,678</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(458,312)</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372,454</w:t>
            </w:r>
          </w:p>
        </w:tc>
        <w:tc>
          <w:tcPr>
            <w:tcW w:w="100" w:type="dxa"/>
            <w:vAlign w:val="bottom"/>
            <w:shd w:val="clear" w:color="auto" w:fill="CFF0FC"/>
          </w:tcPr>
          <w:p>
            <w:pPr>
              <w:spacing w:after="0"/>
              <w:rPr>
                <w:sz w:val="17"/>
                <w:szCs w:val="17"/>
                <w:color w:val="auto"/>
              </w:rPr>
            </w:pP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6,364</w:t>
            </w:r>
          </w:p>
        </w:tc>
        <w:tc>
          <w:tcPr>
            <w:tcW w:w="100" w:type="dxa"/>
            <w:vAlign w:val="bottom"/>
          </w:tcPr>
          <w:p>
            <w:pPr>
              <w:spacing w:after="0"/>
              <w:rPr>
                <w:sz w:val="17"/>
                <w:szCs w:val="17"/>
                <w:color w:val="auto"/>
              </w:rPr>
            </w:pPr>
          </w:p>
        </w:tc>
      </w:tr>
      <w:tr>
        <w:trPr>
          <w:trHeight w:val="189"/>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Shares issued under employee</w:t>
            </w:r>
          </w:p>
        </w:tc>
        <w:tc>
          <w:tcPr>
            <w:tcW w:w="5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3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stock purchase plan</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00" w:type="dxa"/>
            <w:vAlign w:val="bottom"/>
            <w:shd w:val="clear" w:color="auto" w:fill="CFF0FC"/>
          </w:tcPr>
          <w:p>
            <w:pPr>
              <w:spacing w:after="0"/>
              <w:rPr>
                <w:sz w:val="18"/>
                <w:szCs w:val="18"/>
                <w:color w:val="auto"/>
              </w:rPr>
            </w:pPr>
          </w:p>
        </w:tc>
      </w:tr>
      <w:tr>
        <w:trPr>
          <w:trHeight w:val="189"/>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restricted</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unit awards, net of shares</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surrendered</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(886)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(886)</w:t>
            </w:r>
          </w:p>
        </w:tc>
      </w:tr>
      <w:tr>
        <w:trPr>
          <w:trHeight w:val="192"/>
        </w:trPr>
        <w:tc>
          <w:tcPr>
            <w:tcW w:w="36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(31,67</w:t>
            </w: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Retirement of common stock held in treasury</w:t>
            </w: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w:t>
            </w:r>
          </w:p>
        </w:tc>
        <w:tc>
          <w:tcPr>
            <w:tcW w:w="3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(304,296)</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(153,984)</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(31,678)</w:t>
            </w: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458,312</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Dividends issued, including accruals ($0.39 per</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common share)</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(17,516)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(17,516)</w:t>
            </w:r>
          </w:p>
        </w:tc>
      </w:tr>
      <w:tr>
        <w:trPr>
          <w:trHeight w:val="205"/>
        </w:trPr>
        <w:tc>
          <w:tcPr>
            <w:tcW w:w="3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2,259</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Balance at January 31, 2026</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44,494</w:t>
            </w:r>
          </w:p>
        </w:tc>
        <w:tc>
          <w:tcPr>
            <w:tcW w:w="16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363,374</w:t>
            </w: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363,418</w:t>
            </w:r>
          </w:p>
        </w:tc>
        <w:tc>
          <w:tcPr>
            <w:tcW w:w="100" w:type="dxa"/>
            <w:vAlign w:val="bottom"/>
          </w:tcPr>
          <w:p>
            <w:pPr>
              <w:spacing w:after="0"/>
              <w:rPr>
                <w:sz w:val="17"/>
                <w:szCs w:val="17"/>
                <w:color w:val="auto"/>
              </w:rPr>
            </w:pPr>
          </w:p>
        </w:tc>
      </w:tr>
      <w:tr>
        <w:trPr>
          <w:trHeight w:val="20"/>
        </w:trPr>
        <w:tc>
          <w:tcPr>
            <w:tcW w:w="3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-5271135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-5253990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-5271135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-5253990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-5271135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-5253990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-5271135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-5253990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-5271135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-5253990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-5271135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-5253990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-5271135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-5253990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-5271135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-5253990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-3702685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-3702685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-3702685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-3702685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-3702685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-3702685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-3702685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-3702685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-1859280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-1842135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-1859280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-1842135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-1859280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-1842135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-1859280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-1842135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-1859280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-1842135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-1859280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-1842135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-1859280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-1842135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-161925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-161925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-161925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-161925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-161925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-161925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-161925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20" w:type="dxa"/>
            <w:vAlign w:val="bottom"/>
            <w:tcBorders>
              <w:bottom w:val="single" w:sz="8" w:color="auto"/>
            </w:tcBorders>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For the Nine Months Ended January 31,</w:t>
            </w:r>
          </w:p>
        </w:tc>
      </w:tr>
      <w:tr>
        <w:trPr>
          <w:trHeight w:val="142"/>
        </w:trPr>
        <w:tc>
          <w:tcPr>
            <w:tcW w:w="6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tcBorders>
              <w:bottom w:val="single" w:sz="8" w:color="auto"/>
            </w:tcBorders>
          </w:tcPr>
          <w:p>
            <w:pPr>
              <w:ind w:left="66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r>
      <w:tr>
        <w:trPr>
          <w:trHeight w:val="142"/>
        </w:trPr>
        <w:tc>
          <w:tcPr>
            <w:tcW w:w="6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(In</w:t>
            </w:r>
          </w:p>
        </w:tc>
        <w:tc>
          <w:tcPr>
            <w:tcW w:w="800" w:type="dxa"/>
            <w:vAlign w:val="bottom"/>
            <w:gridSpan w:val="2"/>
          </w:tcPr>
          <w:p>
            <w:pPr>
              <w:jc w:val="right"/>
              <w:ind w:right="35"/>
              <w:spacing w:after="0" w:line="142" w:lineRule="exact"/>
              <w:rPr>
                <w:sz w:val="20"/>
                <w:szCs w:val="20"/>
                <w:color w:val="auto"/>
              </w:rPr>
            </w:pPr>
            <w:r>
              <w:rPr>
                <w:rFonts w:ascii="Times New Roman" w:cs="Times New Roman" w:eastAsia="Times New Roman" w:hAnsi="Times New Roman"/>
                <w:sz w:val="14"/>
                <w:szCs w:val="14"/>
                <w:color w:val="auto"/>
              </w:rPr>
              <w:t>thousands)</w:t>
            </w: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03"/>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r>
      <w:tr>
        <w:trPr>
          <w:trHeight w:val="203"/>
        </w:trPr>
        <w:tc>
          <w:tcPr>
            <w:tcW w:w="6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2240" w:type="dxa"/>
            <w:vAlign w:val="bottom"/>
            <w:gridSpan w:val="2"/>
          </w:tcPr>
          <w:p>
            <w:pPr>
              <w:jc w:val="right"/>
              <w:ind w:right="868"/>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2,259</w:t>
            </w:r>
          </w:p>
        </w:tc>
        <w:tc>
          <w:tcPr>
            <w:tcW w:w="280" w:type="dxa"/>
            <w:vAlign w:val="bottom"/>
          </w:tcPr>
          <w:p>
            <w:pPr>
              <w:spacing w:after="0"/>
              <w:rPr>
                <w:sz w:val="17"/>
                <w:szCs w:val="17"/>
                <w:color w:val="auto"/>
              </w:rPr>
            </w:pPr>
          </w:p>
        </w:tc>
        <w:tc>
          <w:tcPr>
            <w:tcW w:w="52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4,792</w:t>
            </w:r>
          </w:p>
        </w:tc>
        <w:tc>
          <w:tcPr>
            <w:tcW w:w="280" w:type="dxa"/>
            <w:vAlign w:val="bottom"/>
          </w:tcPr>
          <w:p>
            <w:pPr>
              <w:spacing w:after="0"/>
              <w:rPr>
                <w:sz w:val="17"/>
                <w:szCs w:val="17"/>
                <w:color w:val="auto"/>
              </w:rPr>
            </w:pPr>
          </w:p>
        </w:tc>
      </w:tr>
      <w:tr>
        <w:trPr>
          <w:trHeight w:val="181"/>
        </w:trPr>
        <w:tc>
          <w:tcPr>
            <w:tcW w:w="6200" w:type="dxa"/>
            <w:vAlign w:val="bottom"/>
            <w:shd w:val="clear" w:color="auto" w:fill="CFF0FC"/>
          </w:tcPr>
          <w:p>
            <w:pPr>
              <w:ind w:left="140"/>
              <w:spacing w:after="0" w:line="181" w:lineRule="exact"/>
              <w:rPr>
                <w:sz w:val="20"/>
                <w:szCs w:val="20"/>
                <w:color w:val="auto"/>
              </w:rPr>
            </w:pPr>
            <w:r>
              <w:rPr>
                <w:rFonts w:ascii="Times New Roman" w:cs="Times New Roman" w:eastAsia="Times New Roman" w:hAnsi="Times New Roman"/>
                <w:sz w:val="17"/>
                <w:szCs w:val="17"/>
                <w:color w:val="auto"/>
              </w:rPr>
              <w:t>Adjustments to reconcile net income to net cash provided by/(used in)</w:t>
            </w:r>
          </w:p>
        </w:tc>
        <w:tc>
          <w:tcPr>
            <w:tcW w:w="12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r>
      <w:tr>
        <w:trPr>
          <w:trHeight w:val="224"/>
        </w:trPr>
        <w:tc>
          <w:tcPr>
            <w:tcW w:w="6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operating activities:</w:t>
            </w:r>
          </w:p>
        </w:tc>
        <w:tc>
          <w:tcPr>
            <w:tcW w:w="1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r>
      <w:tr>
        <w:trPr>
          <w:trHeight w:val="203"/>
        </w:trPr>
        <w:tc>
          <w:tcPr>
            <w:tcW w:w="62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23,706</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23,860</w:t>
            </w:r>
          </w:p>
        </w:tc>
        <w:tc>
          <w:tcPr>
            <w:tcW w:w="280" w:type="dxa"/>
            <w:vAlign w:val="bottom"/>
          </w:tcPr>
          <w:p>
            <w:pPr>
              <w:spacing w:after="0"/>
              <w:rPr>
                <w:sz w:val="17"/>
                <w:szCs w:val="17"/>
                <w:color w:val="auto"/>
              </w:rPr>
            </w:pPr>
          </w:p>
        </w:tc>
      </w:tr>
      <w:tr>
        <w:trPr>
          <w:trHeight w:val="203"/>
        </w:trPr>
        <w:tc>
          <w:tcPr>
            <w:tcW w:w="62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Gain on sale/disposition of assets</w:t>
            </w:r>
          </w:p>
        </w:tc>
        <w:tc>
          <w:tcPr>
            <w:tcW w:w="1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(231)</w:t>
            </w:r>
          </w:p>
        </w:tc>
        <w:tc>
          <w:tcPr>
            <w:tcW w:w="5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(2,521)</w:t>
            </w:r>
          </w:p>
        </w:tc>
      </w:tr>
      <w:tr>
        <w:trPr>
          <w:trHeight w:val="203"/>
        </w:trPr>
        <w:tc>
          <w:tcPr>
            <w:tcW w:w="62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Deferred income taxes</w:t>
            </w: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(63)</w:t>
            </w:r>
          </w:p>
        </w:tc>
      </w:tr>
      <w:tr>
        <w:trPr>
          <w:trHeight w:val="203"/>
        </w:trPr>
        <w:tc>
          <w:tcPr>
            <w:tcW w:w="62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6,364</w:t>
            </w: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5,724</w:t>
            </w:r>
          </w:p>
        </w:tc>
        <w:tc>
          <w:tcPr>
            <w:tcW w:w="280" w:type="dxa"/>
            <w:vAlign w:val="bottom"/>
            <w:shd w:val="clear" w:color="auto" w:fill="CFF0FC"/>
          </w:tcPr>
          <w:p>
            <w:pPr>
              <w:spacing w:after="0"/>
              <w:rPr>
                <w:sz w:val="17"/>
                <w:szCs w:val="17"/>
                <w:color w:val="auto"/>
              </w:rPr>
            </w:pPr>
          </w:p>
        </w:tc>
      </w:tr>
      <w:tr>
        <w:trPr>
          <w:trHeight w:val="203"/>
        </w:trPr>
        <w:tc>
          <w:tcPr>
            <w:tcW w:w="62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Non-cash sublease income</w:t>
            </w: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(1,341)</w:t>
            </w:r>
          </w:p>
        </w:tc>
        <w:tc>
          <w:tcPr>
            <w:tcW w:w="52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(1,287)</w:t>
            </w:r>
          </w:p>
        </w:tc>
      </w:tr>
      <w:tr>
        <w:trPr>
          <w:trHeight w:val="203"/>
        </w:trPr>
        <w:tc>
          <w:tcPr>
            <w:tcW w:w="62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Unrealized gain on marketable securities</w:t>
            </w:r>
          </w:p>
        </w:tc>
        <w:tc>
          <w:tcPr>
            <w:tcW w:w="1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(407)</w:t>
            </w:r>
          </w:p>
        </w:tc>
        <w:tc>
          <w:tcPr>
            <w:tcW w:w="5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62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62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7"/>
                <w:szCs w:val="17"/>
                <w:color w:val="auto"/>
              </w:rPr>
              <w:t>Accounts receivable</w:t>
            </w:r>
          </w:p>
        </w:tc>
        <w:tc>
          <w:tcPr>
            <w:tcW w:w="1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5,034</w:t>
            </w: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1,629</w:t>
            </w:r>
          </w:p>
        </w:tc>
        <w:tc>
          <w:tcPr>
            <w:tcW w:w="280" w:type="dxa"/>
            <w:vAlign w:val="bottom"/>
            <w:shd w:val="clear" w:color="auto" w:fill="CFF0FC"/>
          </w:tcPr>
          <w:p>
            <w:pPr>
              <w:spacing w:after="0"/>
              <w:rPr>
                <w:sz w:val="17"/>
                <w:szCs w:val="17"/>
                <w:color w:val="auto"/>
              </w:rPr>
            </w:pPr>
          </w:p>
        </w:tc>
      </w:tr>
      <w:tr>
        <w:trPr>
          <w:trHeight w:val="203"/>
        </w:trPr>
        <w:tc>
          <w:tcPr>
            <w:tcW w:w="62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Inventories</w:t>
            </w: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14,576</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(38,439)</w:t>
            </w:r>
          </w:p>
        </w:tc>
      </w:tr>
      <w:tr>
        <w:trPr>
          <w:trHeight w:val="203"/>
        </w:trPr>
        <w:tc>
          <w:tcPr>
            <w:tcW w:w="62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(1,442)</w:t>
            </w:r>
          </w:p>
        </w:tc>
        <w:tc>
          <w:tcPr>
            <w:tcW w:w="5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(3,015)</w:t>
            </w:r>
          </w:p>
        </w:tc>
      </w:tr>
      <w:tr>
        <w:trPr>
          <w:trHeight w:val="203"/>
        </w:trPr>
        <w:tc>
          <w:tcPr>
            <w:tcW w:w="62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Income taxes</w:t>
            </w: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(4,205)</w:t>
            </w:r>
          </w:p>
        </w:tc>
        <w:tc>
          <w:tcPr>
            <w:tcW w:w="52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(4,713)</w:t>
            </w:r>
          </w:p>
        </w:tc>
      </w:tr>
      <w:tr>
        <w:trPr>
          <w:trHeight w:val="203"/>
        </w:trPr>
        <w:tc>
          <w:tcPr>
            <w:tcW w:w="62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7"/>
                <w:szCs w:val="17"/>
                <w:color w:val="auto"/>
              </w:rPr>
              <w:t>Accounts payable</w:t>
            </w:r>
          </w:p>
        </w:tc>
        <w:tc>
          <w:tcPr>
            <w:tcW w:w="1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(893)</w:t>
            </w:r>
          </w:p>
        </w:tc>
        <w:tc>
          <w:tcPr>
            <w:tcW w:w="5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(16,750)</w:t>
            </w:r>
          </w:p>
        </w:tc>
      </w:tr>
      <w:tr>
        <w:trPr>
          <w:trHeight w:val="203"/>
        </w:trPr>
        <w:tc>
          <w:tcPr>
            <w:tcW w:w="62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Accrued payroll and incentives</w:t>
            </w: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2,186</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(8,160)</w:t>
            </w:r>
          </w:p>
        </w:tc>
      </w:tr>
      <w:tr>
        <w:trPr>
          <w:trHeight w:val="203"/>
        </w:trPr>
        <w:tc>
          <w:tcPr>
            <w:tcW w:w="62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7"/>
                <w:szCs w:val="17"/>
                <w:color w:val="auto"/>
              </w:rPr>
              <w:t>Accrued profit sharing</w:t>
            </w:r>
          </w:p>
        </w:tc>
        <w:tc>
          <w:tcPr>
            <w:tcW w:w="1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(3,247)</w:t>
            </w:r>
          </w:p>
        </w:tc>
        <w:tc>
          <w:tcPr>
            <w:tcW w:w="5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(7,201)</w:t>
            </w:r>
          </w:p>
        </w:tc>
      </w:tr>
      <w:tr>
        <w:trPr>
          <w:trHeight w:val="203"/>
        </w:trPr>
        <w:tc>
          <w:tcPr>
            <w:tcW w:w="62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Accrued expenses and deferred revenue</w:t>
            </w: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(3,268)</w:t>
            </w:r>
          </w:p>
        </w:tc>
        <w:tc>
          <w:tcPr>
            <w:tcW w:w="52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(2,244)</w:t>
            </w:r>
          </w:p>
        </w:tc>
      </w:tr>
      <w:tr>
        <w:trPr>
          <w:trHeight w:val="203"/>
        </w:trPr>
        <w:tc>
          <w:tcPr>
            <w:tcW w:w="62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7"/>
                <w:szCs w:val="17"/>
                <w:color w:val="auto"/>
              </w:rPr>
              <w:t>Accrued warranty</w:t>
            </w:r>
          </w:p>
        </w:tc>
        <w:tc>
          <w:tcPr>
            <w:tcW w:w="1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(135)</w:t>
            </w:r>
          </w:p>
        </w:tc>
        <w:tc>
          <w:tcPr>
            <w:tcW w:w="5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(377)</w:t>
            </w:r>
          </w:p>
        </w:tc>
      </w:tr>
      <w:tr>
        <w:trPr>
          <w:trHeight w:val="203"/>
        </w:trPr>
        <w:tc>
          <w:tcPr>
            <w:tcW w:w="62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Other assets</w:t>
            </w: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946</w:t>
            </w:r>
          </w:p>
        </w:tc>
        <w:tc>
          <w:tcPr>
            <w:tcW w:w="280" w:type="dxa"/>
            <w:vAlign w:val="bottom"/>
          </w:tcPr>
          <w:p>
            <w:pPr>
              <w:spacing w:after="0"/>
              <w:rPr>
                <w:sz w:val="17"/>
                <w:szCs w:val="17"/>
                <w:color w:val="auto"/>
              </w:rPr>
            </w:pPr>
          </w:p>
        </w:tc>
      </w:tr>
      <w:tr>
        <w:trPr>
          <w:trHeight w:val="203"/>
        </w:trPr>
        <w:tc>
          <w:tcPr>
            <w:tcW w:w="62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(123)</w:t>
            </w:r>
          </w:p>
        </w:tc>
        <w:tc>
          <w:tcPr>
            <w:tcW w:w="5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(232)</w:t>
            </w:r>
          </w:p>
        </w:tc>
      </w:tr>
      <w:tr>
        <w:trPr>
          <w:trHeight w:val="20"/>
        </w:trPr>
        <w:tc>
          <w:tcPr>
            <w:tcW w:w="620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196"/>
        </w:trPr>
        <w:tc>
          <w:tcPr>
            <w:tcW w:w="62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Net cash provided by/(used in) operating activities</w:t>
            </w: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39,614</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(48,051)</w:t>
            </w:r>
          </w:p>
        </w:tc>
      </w:tr>
      <w:tr>
        <w:trPr>
          <w:trHeight w:val="19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22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r>
      <w:tr>
        <w:trPr>
          <w:trHeight w:val="203"/>
        </w:trPr>
        <w:tc>
          <w:tcPr>
            <w:tcW w:w="6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Purchases of marketable securities</w:t>
            </w: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(4,634)</w:t>
            </w:r>
          </w:p>
        </w:tc>
        <w:tc>
          <w:tcPr>
            <w:tcW w:w="520" w:type="dxa"/>
            <w:vAlign w:val="bottom"/>
          </w:tcPr>
          <w:p>
            <w:pPr>
              <w:spacing w:after="0"/>
              <w:rPr>
                <w:sz w:val="17"/>
                <w:szCs w:val="17"/>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Payments to acquire patents and software</w:t>
            </w:r>
          </w:p>
        </w:tc>
        <w:tc>
          <w:tcPr>
            <w:tcW w:w="1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(62)</w:t>
            </w:r>
          </w:p>
        </w:tc>
        <w:tc>
          <w:tcPr>
            <w:tcW w:w="5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(150)</w:t>
            </w:r>
          </w:p>
        </w:tc>
      </w:tr>
      <w:tr>
        <w:trPr>
          <w:trHeight w:val="203"/>
        </w:trPr>
        <w:tc>
          <w:tcPr>
            <w:tcW w:w="6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sale of property and equipment</w:t>
            </w: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2,668</w:t>
            </w:r>
          </w:p>
        </w:tc>
        <w:tc>
          <w:tcPr>
            <w:tcW w:w="280" w:type="dxa"/>
            <w:vAlign w:val="bottom"/>
          </w:tcPr>
          <w:p>
            <w:pPr>
              <w:spacing w:after="0"/>
              <w:rPr>
                <w:sz w:val="17"/>
                <w:szCs w:val="17"/>
                <w:color w:val="auto"/>
              </w:rPr>
            </w:pPr>
          </w:p>
        </w:tc>
      </w:tr>
      <w:tr>
        <w:trPr>
          <w:trHeight w:val="203"/>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Payments to acquire property and equipment</w:t>
            </w:r>
          </w:p>
        </w:tc>
        <w:tc>
          <w:tcPr>
            <w:tcW w:w="1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(18,914)</w:t>
            </w:r>
          </w:p>
        </w:tc>
        <w:tc>
          <w:tcPr>
            <w:tcW w:w="5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(14,314)</w:t>
            </w:r>
          </w:p>
        </w:tc>
      </w:tr>
      <w:tr>
        <w:trPr>
          <w:trHeight w:val="20"/>
        </w:trPr>
        <w:tc>
          <w:tcPr>
            <w:tcW w:w="620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196"/>
        </w:trPr>
        <w:tc>
          <w:tcPr>
            <w:tcW w:w="62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(23,474)</w:t>
            </w:r>
          </w:p>
        </w:tc>
        <w:tc>
          <w:tcPr>
            <w:tcW w:w="52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(11,796)</w:t>
            </w:r>
          </w:p>
        </w:tc>
      </w:tr>
      <w:tr>
        <w:trPr>
          <w:trHeight w:val="19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22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r>
      <w:tr>
        <w:trPr>
          <w:trHeight w:val="203"/>
        </w:trPr>
        <w:tc>
          <w:tcPr>
            <w:tcW w:w="6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loans and notes payable</w:t>
            </w: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w:t>
            </w:r>
          </w:p>
        </w:tc>
        <w:tc>
          <w:tcPr>
            <w:tcW w:w="280" w:type="dxa"/>
            <w:vAlign w:val="bottom"/>
          </w:tcPr>
          <w:p>
            <w:pPr>
              <w:spacing w:after="0"/>
              <w:rPr>
                <w:sz w:val="17"/>
                <w:szCs w:val="17"/>
                <w:color w:val="auto"/>
              </w:rPr>
            </w:pPr>
          </w:p>
        </w:tc>
      </w:tr>
      <w:tr>
        <w:trPr>
          <w:trHeight w:val="203"/>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Payments on notes and loans payable</w:t>
            </w:r>
          </w:p>
        </w:tc>
        <w:tc>
          <w:tcPr>
            <w:tcW w:w="1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(30,000)</w:t>
            </w:r>
          </w:p>
        </w:tc>
        <w:tc>
          <w:tcPr>
            <w:tcW w:w="5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6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 paid for debt issuance costs</w:t>
            </w: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(219)</w:t>
            </w:r>
          </w:p>
        </w:tc>
        <w:tc>
          <w:tcPr>
            <w:tcW w:w="52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(941)</w:t>
            </w:r>
          </w:p>
        </w:tc>
      </w:tr>
      <w:tr>
        <w:trPr>
          <w:trHeight w:val="203"/>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Payments on finance lease obligation</w:t>
            </w:r>
          </w:p>
        </w:tc>
        <w:tc>
          <w:tcPr>
            <w:tcW w:w="1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(144)</w:t>
            </w:r>
          </w:p>
        </w:tc>
        <w:tc>
          <w:tcPr>
            <w:tcW w:w="5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(134)</w:t>
            </w:r>
          </w:p>
        </w:tc>
      </w:tr>
      <w:tr>
        <w:trPr>
          <w:trHeight w:val="203"/>
        </w:trPr>
        <w:tc>
          <w:tcPr>
            <w:tcW w:w="6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to acquire treasury stock</w:t>
            </w: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gridSpan w:val="2"/>
          </w:tcPr>
          <w:p>
            <w:pPr>
              <w:jc w:val="right"/>
              <w:ind w:right="228"/>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(25,468)</w:t>
            </w:r>
          </w:p>
        </w:tc>
      </w:tr>
      <w:tr>
        <w:trPr>
          <w:trHeight w:val="203"/>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Dividend distribution</w:t>
            </w:r>
          </w:p>
        </w:tc>
        <w:tc>
          <w:tcPr>
            <w:tcW w:w="1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(17,444)</w:t>
            </w:r>
          </w:p>
        </w:tc>
        <w:tc>
          <w:tcPr>
            <w:tcW w:w="5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(17,375)</w:t>
            </w:r>
          </w:p>
        </w:tc>
      </w:tr>
      <w:tr>
        <w:trPr>
          <w:trHeight w:val="203"/>
        </w:trPr>
        <w:tc>
          <w:tcPr>
            <w:tcW w:w="6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to acquire common stock from employee stock purchase plan</w:t>
            </w: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w:t>
            </w:r>
          </w:p>
        </w:tc>
        <w:tc>
          <w:tcPr>
            <w:tcW w:w="280" w:type="dxa"/>
            <w:vAlign w:val="bottom"/>
          </w:tcPr>
          <w:p>
            <w:pPr>
              <w:spacing w:after="0"/>
              <w:rPr>
                <w:sz w:val="17"/>
                <w:szCs w:val="17"/>
                <w:color w:val="auto"/>
              </w:rPr>
            </w:pPr>
          </w:p>
        </w:tc>
      </w:tr>
      <w:tr>
        <w:trPr>
          <w:trHeight w:val="203"/>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Payment of employee withholding tax related to restricted stock units</w:t>
            </w:r>
          </w:p>
        </w:tc>
        <w:tc>
          <w:tcPr>
            <w:tcW w:w="1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(886)</w:t>
            </w:r>
          </w:p>
        </w:tc>
        <w:tc>
          <w:tcPr>
            <w:tcW w:w="5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(1,119)</w:t>
            </w:r>
          </w:p>
        </w:tc>
      </w:tr>
      <w:tr>
        <w:trPr>
          <w:trHeight w:val="20"/>
        </w:trPr>
        <w:tc>
          <w:tcPr>
            <w:tcW w:w="620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196"/>
        </w:trPr>
        <w:tc>
          <w:tcPr>
            <w:tcW w:w="62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Net cash (used in)/provided by financing activities</w:t>
            </w: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(22,950)</w:t>
            </w:r>
          </w:p>
        </w:tc>
        <w:tc>
          <w:tcPr>
            <w:tcW w:w="5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25,712</w:t>
            </w:r>
          </w:p>
        </w:tc>
        <w:tc>
          <w:tcPr>
            <w:tcW w:w="280" w:type="dxa"/>
            <w:vAlign w:val="bottom"/>
          </w:tcPr>
          <w:p>
            <w:pPr>
              <w:spacing w:after="0"/>
              <w:rPr>
                <w:sz w:val="17"/>
                <w:szCs w:val="17"/>
                <w:color w:val="auto"/>
              </w:rPr>
            </w:pPr>
          </w:p>
        </w:tc>
      </w:tr>
      <w:tr>
        <w:trPr>
          <w:trHeight w:val="20"/>
        </w:trPr>
        <w:tc>
          <w:tcPr>
            <w:tcW w:w="6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1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(6,810)</w:t>
            </w:r>
          </w:p>
        </w:tc>
        <w:tc>
          <w:tcPr>
            <w:tcW w:w="5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(34,135)</w:t>
            </w:r>
          </w:p>
        </w:tc>
      </w:tr>
      <w:tr>
        <w:trPr>
          <w:trHeight w:val="203"/>
        </w:trPr>
        <w:tc>
          <w:tcPr>
            <w:tcW w:w="620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12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25,231</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60,839</w:t>
            </w:r>
          </w:p>
        </w:tc>
        <w:tc>
          <w:tcPr>
            <w:tcW w:w="280" w:type="dxa"/>
            <w:vAlign w:val="bottom"/>
          </w:tcPr>
          <w:p>
            <w:pPr>
              <w:spacing w:after="0"/>
              <w:rPr>
                <w:sz w:val="17"/>
                <w:szCs w:val="17"/>
                <w:color w:val="auto"/>
              </w:rPr>
            </w:pPr>
          </w:p>
        </w:tc>
      </w:tr>
      <w:tr>
        <w:trPr>
          <w:trHeight w:val="23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224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18,421</w:t>
            </w: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26,704</w:t>
            </w:r>
          </w:p>
        </w:tc>
        <w:tc>
          <w:tcPr>
            <w:tcW w:w="280" w:type="dxa"/>
            <w:vAlign w:val="bottom"/>
            <w:shd w:val="clear" w:color="auto" w:fill="CFF0FC"/>
          </w:tcPr>
          <w:p>
            <w:pPr>
              <w:spacing w:after="0"/>
              <w:rPr>
                <w:sz w:val="20"/>
                <w:szCs w:val="20"/>
                <w:color w:val="auto"/>
              </w:rPr>
            </w:pPr>
          </w:p>
        </w:tc>
      </w:tr>
      <w:tr>
        <w:trPr>
          <w:trHeight w:val="183"/>
        </w:trPr>
        <w:tc>
          <w:tcPr>
            <w:tcW w:w="6200" w:type="dxa"/>
            <w:vAlign w:val="bottom"/>
            <w:tcBorders>
              <w:top w:val="single" w:sz="8" w:color="CFF0FC"/>
            </w:tcBorders>
          </w:tcPr>
          <w:p>
            <w:pPr>
              <w:spacing w:after="0" w:line="183" w:lineRule="exact"/>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1220" w:type="dxa"/>
            <w:vAlign w:val="bottom"/>
            <w:tcBorders>
              <w:top w:val="single" w:sz="8" w:color="CFF0FC"/>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r>
      <w:tr>
        <w:trPr>
          <w:trHeight w:val="203"/>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Cash paid for:</w:t>
            </w:r>
          </w:p>
        </w:tc>
        <w:tc>
          <w:tcPr>
            <w:tcW w:w="1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r>
      <w:tr>
        <w:trPr>
          <w:trHeight w:val="203"/>
        </w:trPr>
        <w:tc>
          <w:tcPr>
            <w:tcW w:w="62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Interest, net of amounts capitalized</w:t>
            </w:r>
          </w:p>
        </w:tc>
        <w:tc>
          <w:tcPr>
            <w:tcW w:w="2240" w:type="dxa"/>
            <w:vAlign w:val="bottom"/>
            <w:gridSpan w:val="2"/>
          </w:tcPr>
          <w:p>
            <w:pPr>
              <w:jc w:val="right"/>
              <w:ind w:right="868"/>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4,464</w:t>
            </w:r>
          </w:p>
        </w:tc>
        <w:tc>
          <w:tcPr>
            <w:tcW w:w="280" w:type="dxa"/>
            <w:vAlign w:val="bottom"/>
          </w:tcPr>
          <w:p>
            <w:pPr>
              <w:spacing w:after="0"/>
              <w:rPr>
                <w:sz w:val="17"/>
                <w:szCs w:val="17"/>
                <w:color w:val="auto"/>
              </w:rPr>
            </w:pPr>
          </w:p>
        </w:tc>
        <w:tc>
          <w:tcPr>
            <w:tcW w:w="52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4,219</w:t>
            </w:r>
          </w:p>
        </w:tc>
        <w:tc>
          <w:tcPr>
            <w:tcW w:w="280" w:type="dxa"/>
            <w:vAlign w:val="bottom"/>
          </w:tcPr>
          <w:p>
            <w:pPr>
              <w:spacing w:after="0"/>
              <w:rPr>
                <w:sz w:val="17"/>
                <w:szCs w:val="17"/>
                <w:color w:val="auto"/>
              </w:rPr>
            </w:pPr>
          </w:p>
        </w:tc>
      </w:tr>
      <w:tr>
        <w:trPr>
          <w:trHeight w:val="203"/>
        </w:trPr>
        <w:tc>
          <w:tcPr>
            <w:tcW w:w="62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Income taxes</w:t>
            </w:r>
          </w:p>
        </w:tc>
        <w:tc>
          <w:tcPr>
            <w:tcW w:w="224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3,743</w:t>
            </w: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7,098</w:t>
            </w:r>
          </w:p>
        </w:tc>
        <w:tc>
          <w:tcPr>
            <w:tcW w:w="28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-3171190</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-3171190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-2382520</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-2382520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-1079500</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-1079500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-539115</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-521970</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-539115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-521970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CONDENSED CONSOLIDATED STATEMENTS OF CASH FLOWS - (Continued) (Unaudited)</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310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Nine Months Ended January 31,</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540" w:type="dxa"/>
            <w:vAlign w:val="bottom"/>
          </w:tcPr>
          <w:p>
            <w:pPr>
              <w:spacing w:after="0"/>
              <w:rPr>
                <w:sz w:val="12"/>
                <w:szCs w:val="12"/>
                <w:color w:val="auto"/>
              </w:rPr>
            </w:pPr>
          </w:p>
        </w:tc>
        <w:tc>
          <w:tcPr>
            <w:tcW w:w="1100" w:type="dxa"/>
            <w:vAlign w:val="bottom"/>
            <w:tcBorders>
              <w:bottom w:val="single" w:sz="8" w:color="auto"/>
            </w:tcBorders>
          </w:tcPr>
          <w:p>
            <w:pPr>
              <w:jc w:val="right"/>
              <w:ind w:right="6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7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40" w:type="dxa"/>
            <w:vAlign w:val="bottom"/>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(In</w:t>
            </w:r>
          </w:p>
        </w:tc>
        <w:tc>
          <w:tcPr>
            <w:tcW w:w="1460" w:type="dxa"/>
            <w:vAlign w:val="bottom"/>
            <w:gridSpan w:val="2"/>
          </w:tcPr>
          <w:p>
            <w:pPr>
              <w:jc w:val="right"/>
              <w:ind w:right="828"/>
              <w:spacing w:after="0" w:line="142" w:lineRule="exact"/>
              <w:rPr>
                <w:sz w:val="20"/>
                <w:szCs w:val="20"/>
                <w:color w:val="auto"/>
              </w:rPr>
            </w:pPr>
            <w:r>
              <w:rPr>
                <w:rFonts w:ascii="Times New Roman" w:cs="Times New Roman" w:eastAsia="Times New Roman" w:hAnsi="Times New Roman"/>
                <w:sz w:val="14"/>
                <w:szCs w:val="14"/>
                <w:color w:val="auto"/>
                <w:w w:val="88"/>
              </w:rPr>
              <w:t>thousands)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w:t>
            </w:r>
          </w:p>
        </w:tc>
        <w:tc>
          <w:tcPr>
            <w:tcW w:w="1100" w:type="dxa"/>
            <w:vAlign w:val="bottom"/>
            <w:shd w:val="clear" w:color="auto" w:fill="CFF0FC"/>
          </w:tcPr>
          <w:p>
            <w:pPr>
              <w:jc w:val="right"/>
              <w:ind w:right="94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1,789</w:t>
            </w:r>
          </w:p>
        </w:tc>
        <w:tc>
          <w:tcPr>
            <w:tcW w:w="1460" w:type="dxa"/>
            <w:vAlign w:val="bottom"/>
            <w:gridSpan w:val="2"/>
            <w:shd w:val="clear" w:color="auto" w:fill="CFF0FC"/>
          </w:tcPr>
          <w:p>
            <w:pPr>
              <w:jc w:val="right"/>
              <w:ind w:right="1008"/>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2,564</w:t>
            </w:r>
          </w:p>
        </w:tc>
        <w:tc>
          <w:tcPr>
            <w:tcW w:w="120" w:type="dxa"/>
            <w:vAlign w:val="bottom"/>
            <w:shd w:val="clear" w:color="auto" w:fill="CFF0FC"/>
          </w:tcPr>
          <w:p>
            <w:pPr>
              <w:spacing w:after="0"/>
              <w:rPr>
                <w:sz w:val="18"/>
                <w:szCs w:val="18"/>
                <w:color w:val="auto"/>
              </w:rPr>
            </w:pPr>
          </w:p>
        </w:tc>
      </w:t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included in accrued expenses and finance lease payable</w:t>
            </w:r>
          </w:p>
        </w:tc>
        <w:tc>
          <w:tcPr>
            <w:tcW w:w="1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120" w:type="dxa"/>
            <w:vAlign w:val="bottom"/>
          </w:tcPr>
          <w:p>
            <w:pPr>
              <w:spacing w:after="0"/>
              <w:rPr>
                <w:sz w:val="20"/>
                <w:szCs w:val="20"/>
                <w:color w:val="auto"/>
              </w:rPr>
            </w:pPr>
          </w:p>
        </w:tc>
      </w:tr>
    </w:tbl>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Nine Months Ended January 31, 2026 and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are one of the world’s leading manufacturers and designers of firearms. We manufacture a wide array of handguns (including revolvers and pistols), long guns (including modern sporting rifles, pistol caliber carbines, and lever-action rifles), handcuffs, firearm suppressors, and other firearm-related products for sale to a wide variety of customers, including firearm enthusiasts, collectors, hunters, sportsmen, competitive shooters, individuals desiring home and personal protection, law enforcement and security agencies and officers, and military agencies in the United States and throughout the world. We sell our products under the Smith &amp; Wesson and Gemtech brands. We manufacture our products at our facilities in Maryville, Tennessee; Springfield, Massachusetts; and Houlton, Maine. We also sell our manufacturing services under our Smith &amp; Wesson and Smith &amp; Wesson Precision Components brands to other businesses to attempt to level-load our factories. During the fiscal year ended April 30, 2025, or fiscal 2025, we discontinued operations at our Deep River, Connecticut facility and vacated the premises. See Note 8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more information.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22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Immaterial Correction of an Error </w:t>
      </w:r>
      <w:r>
        <w:rPr>
          <w:rFonts w:ascii="Times New Roman" w:cs="Times New Roman" w:eastAsia="Times New Roman" w:hAnsi="Times New Roman"/>
          <w:sz w:val="18"/>
          <w:szCs w:val="18"/>
          <w:color w:val="auto"/>
        </w:rPr>
        <w:t>— During the fourth quarter of fiscal 2025, we identified an immaterial error related to our accrual for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legal expenses, resulting in an overstatement of general and administrative expenses in the interim and annual periods for the fiscal year ended April 30, 2024 and during the interim periods for the fiscal year ended April 30, 2025. In accordance with Staff Accounting Bulletin, or SAB, No. 99, </w:t>
      </w:r>
      <w:r>
        <w:rPr>
          <w:rFonts w:ascii="Times New Roman" w:cs="Times New Roman" w:eastAsia="Times New Roman" w:hAnsi="Times New Roman"/>
          <w:sz w:val="18"/>
          <w:szCs w:val="18"/>
          <w:i w:val="1"/>
          <w:iCs w:val="1"/>
          <w:color w:val="auto"/>
        </w:rPr>
        <w:t>Materiality,</w:t>
      </w:r>
      <w:r>
        <w:rPr>
          <w:rFonts w:ascii="Times New Roman" w:cs="Times New Roman" w:eastAsia="Times New Roman" w:hAnsi="Times New Roman"/>
          <w:sz w:val="18"/>
          <w:szCs w:val="18"/>
          <w:color w:val="auto"/>
        </w:rPr>
        <w:t xml:space="preserve"> and SAB No. 108, </w:t>
      </w:r>
      <w:r>
        <w:rPr>
          <w:rFonts w:ascii="Times New Roman" w:cs="Times New Roman" w:eastAsia="Times New Roman" w:hAnsi="Times New Roman"/>
          <w:sz w:val="18"/>
          <w:szCs w:val="18"/>
          <w:i w:val="1"/>
          <w:iCs w:val="1"/>
          <w:color w:val="auto"/>
        </w:rPr>
        <w:t>Considering the Effects of Prior Year Misstatements when Quantifying Misstatements in Current Year Financial Statements</w:t>
      </w:r>
      <w:r>
        <w:rPr>
          <w:rFonts w:ascii="Times New Roman" w:cs="Times New Roman" w:eastAsia="Times New Roman" w:hAnsi="Times New Roman"/>
          <w:sz w:val="18"/>
          <w:szCs w:val="18"/>
          <w:color w:val="auto"/>
        </w:rPr>
        <w:t>, we evaluated the quantitative and qualitative considerations of the error and determined that the related impact was not material to the results of operations, financial position, or cash flows for any historical annual or interim period. Prior year amounts have been adjusted to correct the immaterial error, which overstated general and administrative expenses by $620,000 and $1.5 million and understated income tax expense by $181,000 and $419,000 for the three and nine months ended January 31, 2025, respectively. Related changes to net income, corresponding line items within cash provided by operating activities, and related disclosures within the notes accompanying these financial statements reflect the immaterial correction.</w:t>
      </w:r>
    </w:p>
    <w:p>
      <w:pPr>
        <w:spacing w:after="0" w:line="1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Interim Financial Information </w:t>
      </w:r>
      <w:r>
        <w:rPr>
          <w:rFonts w:ascii="Times New Roman" w:cs="Times New Roman" w:eastAsia="Times New Roman" w:hAnsi="Times New Roman"/>
          <w:sz w:val="18"/>
          <w:szCs w:val="18"/>
          <w:color w:val="auto"/>
        </w:rPr>
        <w:t>— The condensed consolidated balance sheet as of January 31, 2026, the condensed consolidated statements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for the three and nine months ended January 31, 2026 and 2025, the condensed consolidated statements of changes in stockholders’ equity for the three and nine months ended January 31, 2026 and 2025, and the condensed consolidated statements of cash flows for the nine months ended January 31, 2026 and 2025 have been prepared by us without audit. In our opinion, all adjustments, which include only normal recurring adjustments necessary to fairly present the financial position, results of operations, changes in stockholders’ equity, and cash flows for the three and nine months ended January 31, 2026 and for the periods presented, have been included. All intercompany transactions have been eliminated in consolidation. The condensed consolidated balance sheet as of April 30, 2025 has been derived from our audited consolidated financial statements.</w:t>
      </w:r>
    </w:p>
    <w:p>
      <w:pPr>
        <w:spacing w:after="0" w:line="18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or GAAP, have been condensed or omitted. These condensed consolidated financial statements should be read in conjunction with the consolidated financial statements and notes thereto included in our Fiscal 2025 Form 10-K. The results of operations for the three and nine months ended January 31, 2026 may not be indicative of the results that may be expected for the fiscal year ending April 30, 2026, or any other period.</w:t>
      </w:r>
    </w:p>
    <w:p>
      <w:pPr>
        <w:spacing w:after="0" w:line="17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Marketable Securities </w:t>
      </w:r>
      <w:r>
        <w:rPr>
          <w:rFonts w:ascii="Times New Roman" w:cs="Times New Roman" w:eastAsia="Times New Roman" w:hAnsi="Times New Roman"/>
          <w:sz w:val="18"/>
          <w:szCs w:val="18"/>
          <w:color w:val="auto"/>
        </w:rPr>
        <w:t>— Marketable securities are defined as equity investments that are highly liquid and can be readily purchased or sold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established markets. As of January 31, 2026, we had marketable securities of $5.0 million, comprised of exchange-traded and mutual funds. These investments are reported at fair value on our condensed consolidated balance sheets, with the related unrealized gains and losses recorded in other income/(expense), net on our condensed consolidated statements of operations. Net unrealized gains and losses recognized on our marketable securities during the three and nine months ended January 31, 2026 totaled $90,000 and $407,000, respectively, all of which related to securities that we continued to hold as of January 31, 2026.</w:t>
      </w:r>
    </w:p>
    <w:p>
      <w:pPr>
        <w:spacing w:after="0" w:line="115"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Reclassifications </w:t>
      </w:r>
      <w:r>
        <w:rPr>
          <w:rFonts w:ascii="Times New Roman" w:cs="Times New Roman" w:eastAsia="Times New Roman" w:hAnsi="Times New Roman"/>
          <w:sz w:val="18"/>
          <w:szCs w:val="18"/>
          <w:color w:val="auto"/>
        </w:rPr>
        <w:t>— We have reclassified certain amounts relating to prior period results to conform to the current period presentation.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reclassifications have not changed the results of operations of prior periods.</w:t>
      </w:r>
    </w:p>
    <w:p>
      <w:pPr>
        <w:spacing w:after="0" w:line="15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Recently Issued Accounting Standards </w:t>
      </w:r>
      <w:r>
        <w:rPr>
          <w:rFonts w:ascii="Times New Roman" w:cs="Times New Roman" w:eastAsia="Times New Roman" w:hAnsi="Times New Roman"/>
          <w:sz w:val="18"/>
          <w:szCs w:val="18"/>
          <w:color w:val="auto"/>
        </w:rPr>
        <w:t>— In December 2023, the Financial Accounting Standards Board, or the FASB, issued Accounting Standards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Update, or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requires entities to disclose in their rate reconciliation table additional categories of information about federal, state, and foreign income taxes and provide more details about the reconciling items in some categories if items meet a quantitative threshold. Entities will have to provide qualitative disclosures about the new categories. The guidance will require all entities to disclose income taxes paid, net of refunds, disaggregated by federal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Nine Months Ended January 31, 2026 and 2025</w:t>
      </w:r>
    </w:p>
    <w:p>
      <w:pPr>
        <w:spacing w:after="0" w:line="3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(national), state, and foreign taxes for annual periods, and to disaggregate the information by jurisdiction based on a quantitative threshold. The guidance makes several other changes to the disclosure requirements. Entities are required to apply the guidance prospectively, with the option to apply it retrospectively. The guidance is effective for annual periods beginning after December 15, 2024, or the fiscal year ending April 30, 2026 for us. We are currently evaluating the impact, if any, that the adoption of this standard will have on our financial disclosures.</w:t>
      </w:r>
    </w:p>
    <w:p>
      <w:pPr>
        <w:spacing w:after="0" w:line="17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requires entities to disclose, in the notes to financial statements, specified information about certain costs and expenses included in each relevant expense caption presented on the face of the income statement. Entities will also be required to disclose qualitative descriptions of the amounts remaining in relevant expense captions that are not separately disaggregated quantitatively. Entities will need to disclose the total amount of selling expenses and, in annual reporting periods, an entity’s definition of selling expenses. Entities are required to apply the guidance prospectively, with the option to apply it retrospectively. The guidance is effective for annual periods beginning after December 15, 2026, or the fiscal year ending April 30, 2028 for us. We are currently evaluating the impact that the adoption of this standard will have on our financial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Notes and Loans Payable:</w:t>
      </w:r>
    </w:p>
    <w:p>
      <w:pPr>
        <w:spacing w:after="0" w:line="22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 On August 24, 2020, we and certain of our subsidiaries entered into an amended and restated credit agreement, or the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Restated Credit Agreement, with certain lenders, including TD Bank, N.A., as administrative agent; TD Securities (USA) LLC and Regions Bank, as joint lead arrangers and joint bookrunners; and Regions Bank, as syndication agent. The Amended and Restated Credit Agreement provided for a revolving line of credit of $100.0 million at any one time. On April 28, 2023, we entered into an amendment to the Amended and Restated Credit Agreement to, among other things, replace LIBOR with SOFR as the interest rate benchmark and amend the definition of “Consolidated Fixed Charge Coverage Ratio” to exclude unfinanced capital expenditures in connection with our plan to move our headquarters and significant elements of our operations to Maryville, Tennessee in 2023, or the Relocation. The revolving line bore interest at either the Base Rate (as defined in the Amended and Restated Credit Agreement) or the Adjusted Term SOFR rate, plus an applicable margin based on our consolidated leverage ratio.</w:t>
      </w:r>
    </w:p>
    <w:p>
      <w:pPr>
        <w:spacing w:after="0" w:line="187" w:lineRule="exact"/>
        <w:rPr>
          <w:sz w:val="20"/>
          <w:szCs w:val="20"/>
          <w:color w:val="auto"/>
        </w:rPr>
      </w:pPr>
    </w:p>
    <w:p>
      <w:pPr>
        <w:jc w:val="both"/>
        <w:ind w:firstLine="575"/>
        <w:spacing w:after="0" w:line="258" w:lineRule="auto"/>
        <w:rPr>
          <w:sz w:val="20"/>
          <w:szCs w:val="20"/>
          <w:color w:val="auto"/>
        </w:rPr>
      </w:pPr>
      <w:r>
        <w:rPr>
          <w:rFonts w:ascii="Times New Roman" w:cs="Times New Roman" w:eastAsia="Times New Roman" w:hAnsi="Times New Roman"/>
          <w:sz w:val="18"/>
          <w:szCs w:val="18"/>
          <w:color w:val="auto"/>
        </w:rPr>
        <w:t>On October 3, 2024, we entered into an amended and restated credit agreement, or the Second Amended and Restated Credit Agreement. The Second Amended and Restated Credit Agreement is currently unsecured; however, should any Springing Lien Trigger Event (as defined in the Second Amended and Restated Credit Agreement) occur, we and certain of our subsidiaries would be required to execute certain documents in favor of TD Bank, N.A., as administrative agent, and the lenders party to such documents would have a legal, valid, and enforceable first‎ priority lien on the collateral described therein.</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Second Amended and Restated Credit Agreement provides for a revolving line of credit of $175.0 million at any one time, or the Revolving Line. The Revolving Line bears interest at either the Base Rate (as defined in the Second Amended and Restated Credit Agreement) or the Adjusted Term SOFR rate, plus an applicable margin based on our consolidated leverage ratio. The Second Amended and Restated Credit Agreement also provides a swingline facility in the maximum amount of $5.0 million at any one time (subject to availability under the Revolving Line). Each Swingline Loan (as defined in the Second Amended and Restated Credit Agreement) bears interest at the Base Rate, plus an applicable margin based on our Adjusted Consolidated Leverage Ratio (as defined in the Second Amended and Restated Credit Agreement). Subject to the satisfaction of certain terms and conditions described in the Second Amended and Restated Credit Agreement, we have an option to increase the Revolving Line by an aggregate amount not exceeding $50.0 million. The Revolving Line matures on the earlier of October 3, 2029 or the date that is six months in advance of the earliest maturity of any Permitted Notes (as defined in the Second Amended and Restated Credit Agreement) under the Second Amended and Restated Credit Agreement.</w:t>
      </w:r>
    </w:p>
    <w:p>
      <w:pPr>
        <w:spacing w:after="0" w:line="1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August 15, 2025, we entered into a first amendment to the Second Amended and Restated Credit Agreement, or the First Amendment. The First Amendment provides for (a) in connection with the calculation of Consolidated Funded Indebtedness (as defined in the Second Amended and Restated Credit Agreement), the exclusion of any Indebtedness (as defined in the Second Amended and Restated Credit Agreement) of the guarantors relating to a particular guaranty; (b) in connection with the calculation of Consolidated Fixed Charge Coverage Ratio (as defined in the Second Amended and Restated Credit Agreement), a one-time exclusion of cash taxes paid by the loan parties during fiscal 2026 in connection with the filing of amended tax returns in fiscal 2026 covering particular periods; and (c) an amendment to the minimum Consolidated Fixed Charge Coverage Ratio for particular measurement periods.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Nine Months Ended January 31, 2026 and 2025</w:t>
      </w:r>
    </w:p>
    <w:p>
      <w:pPr>
        <w:spacing w:after="0" w:line="39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January 31, 2026, we had $75.0 million of borrowings outstanding on the Revolving Line, bearing interest at a weighted average rate of 5.75%, which is equal to the Adjusted Term SOFR rate plus an applicable margin.</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Second Amended and Restated Credit Agreement contains customary limitations, including limitations on indebtedness, liens, fundamental changes to business or organizational structure, investments, loans, advances, guarantees, and acquisitions, asset sales, dividends, stock repurchases, stock redemptions, the redemption or prepayment of other debt, and transactions with affiliates. We are also subject to financial covenants, including a minimum consolidated fixed charge coverage ratio and a maximum consolidated leverage ratio. As of January 31, 2026, we were compliant with all required financial covenants.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Letters of Credit </w:t>
      </w:r>
      <w:r>
        <w:rPr>
          <w:rFonts w:ascii="Times New Roman" w:cs="Times New Roman" w:eastAsia="Times New Roman" w:hAnsi="Times New Roman"/>
          <w:sz w:val="18"/>
          <w:szCs w:val="18"/>
          <w:color w:val="auto"/>
        </w:rPr>
        <w:t>— As of January 31, 2026, we had outstanding letters of credit aggregating $1.5 million.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w:t>
      </w:r>
    </w:p>
    <w:p>
      <w:pPr>
        <w:spacing w:after="0" w:line="11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We follow the provisions of Accounting Standards Codification, or ASC, 820-10, </w:t>
      </w:r>
      <w:r>
        <w:rPr>
          <w:rFonts w:ascii="Times New Roman" w:cs="Times New Roman" w:eastAsia="Times New Roman" w:hAnsi="Times New Roman"/>
          <w:sz w:val="18"/>
          <w:szCs w:val="18"/>
          <w:i w:val="1"/>
          <w:iCs w:val="1"/>
          <w:color w:val="auto"/>
        </w:rPr>
        <w:t>Fair Value Measurements and Disclosures Topic</w:t>
      </w:r>
      <w:r>
        <w:rPr>
          <w:rFonts w:ascii="Times New Roman" w:cs="Times New Roman" w:eastAsia="Times New Roman" w:hAnsi="Times New Roman"/>
          <w:sz w:val="18"/>
          <w:szCs w:val="18"/>
          <w:color w:val="auto"/>
        </w:rPr>
        <w:t>, or ASC 820-10, for our financial assets and liabilities. ASC 820-10 provides a framework for measuring fair value under GAAP and requires expanded disclosures regarding fair value measurements. 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also establishes a fair value hierarchy, which requires an entity to maximize the use of observable inputs, where available, and minimize the use of unobservable inputs when measuring fair value.</w:t>
      </w:r>
    </w:p>
    <w:p>
      <w:pPr>
        <w:spacing w:after="0" w:line="18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recorded on the accompanying condensed consolidated balance sheets are categorized based on the inputs to the valuation techniques as follows:</w:t>
      </w:r>
    </w:p>
    <w:p>
      <w:pPr>
        <w:spacing w:after="0" w:line="160"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Financial assets and liabilities whose values are based on unadjusted quoted prices for identical assets or liabilities in an active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we have the ability to access at the measurement date (e.g., active exchange-traded equity securities, listed derivatives, and most U.S. Government and agency securities).</w:t>
      </w:r>
    </w:p>
    <w:p>
      <w:pPr>
        <w:spacing w:after="0" w:line="1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cash and cash equivalents, which are measured at fair value on a recurring basis, totaled $18.4 million and $25.2 million as of January 31, 2026 and April 30, 2025, respectively. Our marketable securities, which are measured at fair value on a recurring basis, totaled $5.0 million as of January 31, 2026. The carrying value of our revolving line of credit approximated the fair value as of both January 31, 2026 and April 30, 2025. We utilized Level 1 of the value hierarchy to determine the fair values of these assets and liabilities.</w:t>
      </w:r>
    </w:p>
    <w:p>
      <w:pPr>
        <w:spacing w:after="0" w:line="178" w:lineRule="exact"/>
        <w:rPr>
          <w:sz w:val="20"/>
          <w:szCs w:val="20"/>
          <w:color w:val="auto"/>
        </w:rPr>
      </w:pPr>
    </w:p>
    <w:p>
      <w:pPr>
        <w:jc w:val="both"/>
        <w:ind w:firstLine="55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Financial assets and liabilities whose values are based on quoted prices in markets in which trading occurs infrequently or whose values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based on quoted prices of instruments with similar attributes in active markets. Level 2 inputs include the following:</w:t>
      </w:r>
    </w:p>
    <w:p>
      <w:pPr>
        <w:spacing w:after="0" w:line="52"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non-active markets (such as corporate and municipal bonds that trade infrequently);</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substantially the full term of the asset or liability (such as interest rate and currency swaps); and</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observable market data for substantially the full term of the asset or liability (such as certain securities and derivatives).</w:t>
      </w:r>
    </w:p>
    <w:p>
      <w:pPr>
        <w:spacing w:after="0" w:line="160"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Financial assets and liabilities whose values are based on prices or valuation techniques that require inputs that are both unobservable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to the overall fair value measurement. These inputs reflect our judgments about the assumptions a market participant would use in pricing the asset or liability.</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have any Level 2 or Level 3 financial assets or liabilities as of January 31,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Nine Months Ended January 31, 2026 and 2025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inventories, net of reserves, stated at lower of cost or net realizable value, as of January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2025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April 30, 2025</w:t>
            </w:r>
          </w:p>
        </w:tc>
        <w:tc>
          <w:tcPr>
            <w:tcW w:w="100" w:type="dxa"/>
            <w:vAlign w:val="bottom"/>
          </w:tcPr>
          <w:p>
            <w:pPr>
              <w:spacing w:after="0"/>
              <w:rPr>
                <w:sz w:val="15"/>
                <w:szCs w:val="15"/>
                <w:color w:val="auto"/>
              </w:rPr>
            </w:pPr>
          </w:p>
        </w:tc>
      </w:tr>
      <w:tr>
        <w:trPr>
          <w:trHeight w:val="21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102,900</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115,686</w:t>
            </w: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Finished parts</w:t>
            </w: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55,119</w:t>
            </w:r>
          </w:p>
        </w:tc>
        <w:tc>
          <w:tcPr>
            <w:tcW w:w="100" w:type="dxa"/>
            <w:vAlign w:val="bottom"/>
          </w:tcPr>
          <w:p>
            <w:pPr>
              <w:spacing w:after="0"/>
              <w:rPr>
                <w:sz w:val="18"/>
                <w:szCs w:val="18"/>
                <w:color w:val="auto"/>
              </w:rPr>
            </w:pP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3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6,037</w:t>
            </w: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Raw material</w:t>
            </w:r>
          </w:p>
        </w:tc>
        <w:tc>
          <w:tcPr>
            <w:tcW w:w="3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9,787</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12,998</w:t>
            </w:r>
          </w:p>
        </w:tc>
        <w:tc>
          <w:tcPr>
            <w:tcW w:w="100" w:type="dxa"/>
            <w:vAlign w:val="bottom"/>
          </w:tcPr>
          <w:p>
            <w:pPr>
              <w:spacing w:after="0"/>
              <w:rPr>
                <w:sz w:val="18"/>
                <w:szCs w:val="18"/>
                <w:color w:val="auto"/>
              </w:rPr>
            </w:pPr>
          </w:p>
        </w:tc>
      </w:tr>
      <w:tr>
        <w:trPr>
          <w:trHeight w:val="23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3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175,264</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189,840</w:t>
            </w:r>
          </w:p>
        </w:tc>
        <w:tc>
          <w:tcPr>
            <w:tcW w:w="100" w:type="dxa"/>
            <w:vAlign w:val="bottom"/>
            <w:shd w:val="clear" w:color="auto" w:fill="CFF0FC"/>
          </w:tcPr>
          <w:p>
            <w:pPr>
              <w:spacing w:after="0"/>
              <w:rPr>
                <w:sz w:val="19"/>
                <w:szCs w:val="19"/>
                <w:color w:val="auto"/>
              </w:rPr>
            </w:pP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3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 and Deferred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other accrued expenses and deferred revenue as of January 31, 2026 and April 30, 2025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April 30, 2025</w:t>
            </w:r>
          </w:p>
        </w:tc>
        <w:tc>
          <w:tcPr>
            <w:tcW w:w="100" w:type="dxa"/>
            <w:vAlign w:val="bottom"/>
          </w:tcPr>
          <w:p>
            <w:pPr>
              <w:spacing w:after="0"/>
              <w:rPr>
                <w:sz w:val="15"/>
                <w:szCs w:val="15"/>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taxes other than income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benefits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Accrued customer incentives and promotions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finance lease obligation</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obligation</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deferred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18,770</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24,678</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September 19, 2023, our Board of Directors authorized the repurchase of up to $50.0 million of our common stock, subject to certain conditions, in the open market or in privately negotiated transactions through September 19, 2024, or the 2023 Authorization. During fiscal 2025, we purchased 1,531,763 shares of our common stock for $21.4 million under the 2023 Authorization. The 2023 Authorization expired on September 19, 2024. On September 5, 2024, our Board of Directors authorized the repurchase of up to $50.0 million of our common stock, subject to certain conditions, in the open market or in privately negotiated transactions from September 20, 2024 through September 20, 2025, or the 2024 Authorization. As of January 31, 2026, we had repurchased 312,310 shares of our common stock for $4.1 million under the 2024 Authorization. On September 15, 2025, our Board of Directors authorized the repurchase of up to $50.0 million of our common stock, subject to certain conditions, in the open market or in privately negotiated transactions from September 21, 2025 through September 21, 2026, or the 2025 Authorization. As of January 31, 2026, we had not repurchased any shares of our common stock under the 2025 Authorization.</w:t>
      </w:r>
    </w:p>
    <w:p>
      <w:pPr>
        <w:spacing w:after="0" w:line="188"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January 31, 2026, there were no common stock repurchases. During the three months ended January 31, 2025, we repurchased a total of 219,773 shares of our common stock for $2.8 million. During the nine months ended January 31, 2025, we repurchased a total of 1,844,073 shares of our common stock for $25.5 million.</w:t>
      </w:r>
    </w:p>
    <w:p>
      <w:pPr>
        <w:spacing w:after="0" w:line="17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During the three months ended January 31, 2026, our Board of Directors authorized, and we executed, the retirement of 31,677,994 shares of our common stock held in treasury. Upon retirement, these shares were restored to the status of authorized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Nine Months Ended January 31, 2026 and 2025</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unissued. As a result, the accumulated cost associated with this stock was allocated to common stock, additional paid-in capital, and retained earnings.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the net income amounts and weighted average number of common and common equivalent shares used to determine basic and diluted earnings per common share for the three months ended January 31, 2026 and 2025 (in thousands, except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 Ended January 31,</w:t>
            </w: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20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6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right"/>
              <w:ind w:right="304"/>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200" w:type="dxa"/>
            <w:vAlign w:val="bottom"/>
          </w:tcPr>
          <w:p>
            <w:pPr>
              <w:spacing w:after="0"/>
              <w:rPr>
                <w:sz w:val="10"/>
                <w:szCs w:val="10"/>
                <w:color w:val="auto"/>
              </w:rPr>
            </w:pPr>
          </w:p>
        </w:tc>
        <w:tc>
          <w:tcPr>
            <w:tcW w:w="840" w:type="dxa"/>
            <w:vAlign w:val="bottom"/>
            <w:vMerge w:val="restart"/>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ind w:right="104"/>
              <w:spacing w:after="0" w:line="118" w:lineRule="exact"/>
              <w:rPr>
                <w:sz w:val="20"/>
                <w:szCs w:val="20"/>
                <w:color w:val="auto"/>
              </w:rPr>
            </w:pPr>
            <w:r>
              <w:rPr>
                <w:rFonts w:ascii="Times New Roman" w:cs="Times New Roman" w:eastAsia="Times New Roman" w:hAnsi="Times New Roman"/>
                <w:sz w:val="13"/>
                <w:szCs w:val="13"/>
                <w:b w:val="1"/>
                <w:bCs w:val="1"/>
                <w:color w:val="auto"/>
              </w:rPr>
              <w:t>Per Share</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3"/>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720" w:type="dxa"/>
            <w:vAlign w:val="bottom"/>
            <w:vMerge w:val="restart"/>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right"/>
              <w:ind w:right="164"/>
              <w:spacing w:after="0" w:line="118" w:lineRule="exact"/>
              <w:rPr>
                <w:sz w:val="20"/>
                <w:szCs w:val="20"/>
                <w:color w:val="auto"/>
              </w:rPr>
            </w:pPr>
            <w:r>
              <w:rPr>
                <w:rFonts w:ascii="Times New Roman" w:cs="Times New Roman" w:eastAsia="Times New Roman" w:hAnsi="Times New Roman"/>
                <w:sz w:val="13"/>
                <w:szCs w:val="13"/>
                <w:b w:val="1"/>
                <w:bCs w:val="1"/>
                <w:color w:val="auto"/>
              </w:rPr>
              <w:t>Per Share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Basic earnings</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3,753</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44,493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2,102</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44,038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Effect of dilutive stock awards</w:t>
            </w: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32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Diluted earnings</w:t>
            </w:r>
          </w:p>
        </w:tc>
        <w:tc>
          <w:tcPr>
            <w:tcW w:w="120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3,753</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44,982</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2,102</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44,398</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-162560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-162560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-162560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-162560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-162560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net income amounts and weighted average number of common and common equivalent shares used to determine basic and diluted earnings per common share for the nine months ended January 31, 2026 and 2025 (in thousands, except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Nine Months Ended January 31,</w:t>
            </w: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20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6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jc w:val="right"/>
              <w:ind w:right="304"/>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200" w:type="dxa"/>
            <w:vAlign w:val="bottom"/>
          </w:tcPr>
          <w:p>
            <w:pPr>
              <w:spacing w:after="0"/>
              <w:rPr>
                <w:sz w:val="10"/>
                <w:szCs w:val="10"/>
                <w:color w:val="auto"/>
              </w:rPr>
            </w:pPr>
          </w:p>
        </w:tc>
        <w:tc>
          <w:tcPr>
            <w:tcW w:w="84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ind w:right="104"/>
              <w:spacing w:after="0" w:line="118" w:lineRule="exact"/>
              <w:rPr>
                <w:sz w:val="20"/>
                <w:szCs w:val="20"/>
                <w:color w:val="auto"/>
              </w:rPr>
            </w:pPr>
            <w:r>
              <w:rPr>
                <w:rFonts w:ascii="Times New Roman" w:cs="Times New Roman" w:eastAsia="Times New Roman" w:hAnsi="Times New Roman"/>
                <w:sz w:val="13"/>
                <w:szCs w:val="13"/>
                <w:b w:val="1"/>
                <w:bCs w:val="1"/>
                <w:color w:val="auto"/>
              </w:rPr>
              <w:t>Per Share</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3"/>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740" w:type="dxa"/>
            <w:vAlign w:val="bottom"/>
            <w:vMerge w:val="restart"/>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right"/>
              <w:ind w:right="164"/>
              <w:spacing w:after="0" w:line="118" w:lineRule="exact"/>
              <w:rPr>
                <w:sz w:val="20"/>
                <w:szCs w:val="20"/>
                <w:color w:val="auto"/>
              </w:rPr>
            </w:pPr>
            <w:r>
              <w:rPr>
                <w:rFonts w:ascii="Times New Roman" w:cs="Times New Roman" w:eastAsia="Times New Roman" w:hAnsi="Times New Roman"/>
                <w:sz w:val="13"/>
                <w:szCs w:val="13"/>
                <w:b w:val="1"/>
                <w:bCs w:val="1"/>
                <w:color w:val="auto"/>
              </w:rPr>
              <w:t>Per Share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Basic earnings</w:t>
            </w: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2,259</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44,384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4,792</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44,627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Effect of dilutive stock awards</w:t>
            </w:r>
          </w:p>
        </w:tc>
        <w:tc>
          <w:tcPr>
            <w:tcW w:w="120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2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2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Diluted earnings</w:t>
            </w: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2,259</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44,825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4,792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45,069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-8255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-161925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-8255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-161925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-8255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-161925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-161925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-161925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-161925</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January 31, 2026 and 2025, there were 15,452 shares and 18,336 shares, respectively, excluded from the computation of diluted earnings because the effect would be antidilutive. For the nine months ended January 31, 2026 and 2025, there were 24,781 shares and 19,008 shares, respectively, excluded from the computation of diluted earnings per share because the effect would be antidilutive.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Stock and Employee Stock Purchase Plans</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two stock incentive plans: the 2013 Incentive Stock Plan and the 2022 Incentive Stock Plan, or, together, the Incentive Stock Plans, under which employees and non-employees may have been granted (in the case of the 2013 Incentive Stock Plan), or may be granted (in the case of the 2022 Incentive Stock Plan) stock options, restricted stock awards, restricted stock units, or RSUs, stock appreciation rights, bonus stock, and awards in lieu of obligations, performance awards, and dividend equivalents. No grants have been made under the 2013 Incentive Stock Plan since our stockholders approved the 2022 Incentive Stock Plan at our annual meeting of stockholders held in September 2022. All new grants are issued under the 2022 Incentive Stock Plan.</w:t>
      </w:r>
    </w:p>
    <w:p>
      <w:pPr>
        <w:spacing w:after="0" w:line="18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have an Employee Stock Purchase Plan, or the ESPP, under which each participant is granted an option to purchase our common stock at a discount on each subsequent exercise date during the offering period (as such terms are defined in the ESPP) in accordance with the terms of the ESPP.</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total stock-based compensation expense, including purchases under our ESPP and grants of RSUs and performance-based RSUs, or PSUs, under the Incentive Stock Plans, was $6.4 million and $5.7 million for the nine months ended January 31, 2026 and 2025, respectively. We include stock-based compensation expense in cost of sales, sales, marketing, and distribution, research and development, and general and administrative expenses.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grant RSUs to employees and non-employee members of our Board of Directors. The awards are made at no cost to the recipient. An RSU represents the right to receive one share of our common stock and does not carry voting or dividend rights. Except in specific circumstances, RSU grants to employees prior to fiscal 2026 vest over a period of four years and RSU grants to employees during fiscal 2026 vest over a period of three years with one-fourth and one-third, respectively, of the units vesting on each grant anniversary date. We amortize the aggregate fair value of our RSU grants to compensation expense over the vesting period.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Nine Months Ended January 31, 2026 and 2025</w:t>
      </w:r>
    </w:p>
    <w:p>
      <w:pPr>
        <w:spacing w:after="0" w:line="39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grant PSUs to our executive officers and, from time to time, certain management employees who are not executive officers. The PSUs vest, and the fair value of such PSUs will be recognized, over the corresponding three-year performance period.</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the nine months ended January 31, 2026, we granted an aggregate of 603,336 RSUs, including 289,376 RSUs to non-executive officer employees, 237,694 RSUs to our executive officers, and 76,266 RSUs to our directors. During the nine months ended January 31, 2026, we granted 237,691 PSUs to certain of our executive officers. During the nine months ended January 31, 2026, we cancelled 108,736 PSUs as a result of the failure to satisfy the performance metrics. During the nine months ended January 31, 2026, we cancelled 54,849 RSUs as a result of the service conditions not being met. In connection with the vesting of RSUs, during the nine months ended January 31, 2026, we delivered common stock to our employees (including our executive officers), former employees, and directors, with a total market value of $3.7 million.</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the nine months ended January 31, 2025, we granted an aggregate of 457,015 RSUs, including 259,467 RSUs to non-executive officer employees, 142,882 RSUs to our executive officers, and 54,666 RSUs to our directors. During the nine months ended January 31, 2025, we granted 142,878 PSUs to certain of our executive officers. During the nine months ended January 31, 2025, we cancelled 63,469 PSUs as a result of the failure to satisfy the performance metrics and 32,594 RSUs as a result of the service conditions not being met. In connection with the vesting of RSUs, during the nine months ended January 31, 2025, we delivered common stock to our employees (including our executive officers), former employees, and directors, with a total market value of $4.5 million.</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activity for unvested RSUs and PSUs for the nine months ended January 31, 2026 and 2025 is as follows: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and PSUs outstanding, beginning of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and PSUs outstanding, end of period</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For the Nine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35744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 # of</w:t>
            </w:r>
          </w:p>
        </w:tc>
        <w:tc>
          <w:tcPr>
            <w:tcW w:w="140" w:type="dxa"/>
            <w:vAlign w:val="bottom"/>
          </w:tcPr>
          <w:p>
            <w:pPr>
              <w:spacing w:after="0"/>
              <w:rPr>
                <w:sz w:val="10"/>
                <w:szCs w:val="10"/>
                <w:color w:val="auto"/>
              </w:rPr>
            </w:pPr>
          </w:p>
        </w:tc>
        <w:tc>
          <w:tcPr>
            <w:tcW w:w="940" w:type="dxa"/>
            <w:vAlign w:val="bottom"/>
          </w:tcPr>
          <w:p>
            <w:pPr>
              <w:jc w:val="center"/>
              <w:ind w:right="5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0" w:type="dxa"/>
            <w:vAlign w:val="bottom"/>
          </w:tcPr>
          <w:p>
            <w:pPr>
              <w:spacing w:after="0"/>
              <w:rPr>
                <w:sz w:val="10"/>
                <w:szCs w:val="10"/>
                <w:color w:val="auto"/>
              </w:rPr>
            </w:pPr>
          </w:p>
        </w:tc>
        <w:tc>
          <w:tcPr>
            <w:tcW w:w="1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 of</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9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9"/>
        </w:trPr>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40" w:type="dxa"/>
            <w:vAlign w:val="bottom"/>
          </w:tcPr>
          <w:p>
            <w:pPr>
              <w:spacing w:after="0"/>
              <w:rPr>
                <w:sz w:val="12"/>
                <w:szCs w:val="12"/>
                <w:color w:val="auto"/>
              </w:rPr>
            </w:pPr>
          </w:p>
        </w:tc>
        <w:tc>
          <w:tcPr>
            <w:tcW w:w="94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20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40" w:type="dxa"/>
            <w:vAlign w:val="bottom"/>
          </w:tcPr>
          <w:p>
            <w:pPr>
              <w:spacing w:after="0"/>
              <w:rPr>
                <w:sz w:val="15"/>
                <w:szCs w:val="15"/>
                <w:color w:val="auto"/>
              </w:rPr>
            </w:pPr>
          </w:p>
        </w:tc>
        <w:tc>
          <w:tcPr>
            <w:tcW w:w="94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5"/>
                <w:szCs w:val="15"/>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1,204,133</w:t>
            </w:r>
          </w:p>
        </w:tc>
        <w:tc>
          <w:tcPr>
            <w:tcW w:w="22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14.21</w:t>
            </w:r>
          </w:p>
        </w:tc>
        <w:tc>
          <w:tcPr>
            <w:tcW w:w="200" w:type="dxa"/>
            <w:vAlign w:val="bottom"/>
          </w:tcPr>
          <w:p>
            <w:pPr>
              <w:spacing w:after="0"/>
              <w:rPr>
                <w:sz w:val="16"/>
                <w:szCs w:val="16"/>
                <w:color w:val="auto"/>
              </w:rPr>
            </w:pPr>
          </w:p>
        </w:tc>
        <w:tc>
          <w:tcPr>
            <w:tcW w:w="1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1,000,347</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13.45</w:t>
            </w:r>
          </w:p>
        </w:tc>
        <w:tc>
          <w:tcPr>
            <w:tcW w:w="0" w:type="dxa"/>
            <w:vAlign w:val="bottom"/>
          </w:tcPr>
          <w:p>
            <w:pPr>
              <w:spacing w:after="0"/>
              <w:rPr>
                <w:sz w:val="1"/>
                <w:szCs w:val="1"/>
                <w:color w:val="auto"/>
              </w:rPr>
            </w:pPr>
          </w:p>
        </w:tc>
      </w:tr>
      <w:tr>
        <w:trPr>
          <w:trHeight w:val="216"/>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841,027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599,893</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0" w:type="dxa"/>
            <w:vAlign w:val="bottom"/>
          </w:tcPr>
          <w:p>
            <w:pPr>
              <w:spacing w:after="0"/>
              <w:rPr>
                <w:sz w:val="1"/>
                <w:szCs w:val="1"/>
                <w:color w:val="auto"/>
              </w:rPr>
            </w:pPr>
          </w:p>
        </w:tc>
      </w:tr>
      <w:tr>
        <w:trPr>
          <w:trHeight w:val="216"/>
        </w:trPr>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(379,890)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(285,812)</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0" w:type="dxa"/>
            <w:vAlign w:val="bottom"/>
          </w:tcPr>
          <w:p>
            <w:pPr>
              <w:spacing w:after="0"/>
              <w:rPr>
                <w:sz w:val="1"/>
                <w:szCs w:val="1"/>
                <w:color w:val="auto"/>
              </w:rPr>
            </w:pPr>
          </w:p>
        </w:tc>
      </w:tr>
      <w:tr>
        <w:trPr>
          <w:trHeight w:val="234"/>
        </w:trPr>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(163,585)</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(96,063)</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0" w:type="dxa"/>
            <w:vAlign w:val="bottom"/>
          </w:tcPr>
          <w:p>
            <w:pPr>
              <w:spacing w:after="0"/>
              <w:rPr>
                <w:sz w:val="1"/>
                <w:szCs w:val="1"/>
                <w:color w:val="auto"/>
              </w:rPr>
            </w:pPr>
          </w:p>
        </w:tc>
      </w:tr>
      <w:tr>
        <w:trPr>
          <w:trHeight w:val="209"/>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1,501,685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1,218,365</w:t>
            </w:r>
          </w:p>
        </w:tc>
        <w:tc>
          <w:tcPr>
            <w:tcW w:w="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-719455</wp:posOffset>
            </wp:positionV>
            <wp:extent cx="713232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-445135</wp:posOffset>
            </wp:positionV>
            <wp:extent cx="713232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-162560</wp:posOffset>
            </wp:positionV>
            <wp:extent cx="7132320" cy="1631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4900" w:space="720"/>
            <w:col w:w="5620"/>
          </w:cols>
          <w:pgMar w:left="320" w:top="765" w:right="339" w:bottom="1440" w:gutter="0" w:footer="0" w:header="0"/>
          <w:type w:val="continuous"/>
        </w:sect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January 31, 2026, there was $6.1 million of unrecognized compensation expense related to unvested RSUs and PSUs. This expense is expected to be recognized over a weighted average remaining contractual term of 1.2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January 2018, Gemini Technologies, Incorporated, or Gemini, commenced an action against us in the U.S. District Court for the District of Idaho, or the District Court. The complaint alleges, among other things, that we breached the earn-out and other provisions of the asset purchase agreement and ancillary agreements between the parties in connection with our acquisition of the Gemtech business from Gemini. The complaint seeks a declaratory judgment interpreting various terms of the asset purchase agreement and damages in the sum of $18.6 million. In November 2019, we filed an answer to Gemini’s complaint and a counterclaim against Gemini and its stockholders at the time the asset purchase agreement was signed. Plaintiffs amended their complaint to add a claim of fraud in the inducement. In September 2021, Gemini filed a motion for summary judgment seeking to dismiss our counterclaim. In June 2022, the District Court denied Gemini's motion for summary judgment. Gemini filed a second motion for summary judgment, and in August 2023, the District Court again denied Gemini’s motion. In November 2023, we entered into a settlement agreement with plaintiffs on the indemnity and counterclaims. On the same day, plaintiffs filed a motion for leave, seeking to file a second amended complaint. In January 2024, the District Court allowed plaintiffs’ amended allegations of fraud, and denied without prejudice their motion to add punitive damages. In August 2025, we filed a motion for summary judgment, and plaintiff filed a motion for leave to file a third amended complaint, seeking to properly name the defendants and to add punitive damages as relief. On January 23, 2026, the District Court (i) granted our motion for summary judgment, in part, dismissing with prejudice plaintiffs’ fraud in the inducement and breach of the implied covenant of fair dealing claims; (ii) denied our motion for summary judgment, in part, permitting plaintiffs’ breach of contract claim to proceed; (iii) denied plaintiffs’ motion to amend the complaint to add punitive damages as relief; and (iv) granted plaintiffs’ motion to properly name a successor-in-interest party. We believe the remaining breach of contract claim asserted in the complaint has no merit, and we intend to aggressively defend this action.</w:t>
      </w:r>
    </w:p>
    <w:p>
      <w:pPr>
        <w:sectPr>
          <w:pgSz w:w="11900" w:h="16838" w:orient="portrait"/>
          <w:cols w:equalWidth="0" w:num="1">
            <w:col w:w="11240"/>
          </w:cols>
          <w:pgMar w:left="320" w:top="765" w:right="339" w:bottom="1440" w:gutter="0" w:footer="0" w:header="0"/>
          <w:type w:val="continuous"/>
        </w:sectPr>
      </w:pP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4" w:name="page15"/>
    <w:bookmarkEnd w:id="14"/>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Nine Months Ended January 31, 2026 and 2025</w:t>
      </w:r>
    </w:p>
    <w:p>
      <w:pPr>
        <w:spacing w:after="0" w:line="39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a defendant in three product liability cases and are aware of five other product liability claims, primarily alleging defective product design, defective manufacturing, or failure to provide adequate warnings. In addition, we are a co-defendant in a case filed in August 1999 by the city of Gary, Indiana, or the City, against numerous firearm manufacturers, distributors, and dealers seeking to recover monetary damages, as well as injunctive relief, allegedly arising out of the misuse of firearms by third parties. In January 2018, the Lake Superior Court, County of Lake, Indiana granted defendants’ Motion for Judgment on the Pleadings, dismissing the case in its entirety. In February 2018, plaintiffs appealed the dismissal to the Indiana Court of Appeals. In May 2019, the Indiana Court of Appeals issued a decision, which affirmed in part and reversed in part, and remanded for further proceedings, the trial court’s dismissal of the City’s complaint. In March 2024, a bill was signed into law that purports to prohibit political subdivisions in Indiana from bringing certain legal actions against certain firearm industry members and to apply to actions or lawsuits filed before, after, or on August 27, 1999. Defendants subsequently filed a joint motion for judgment on the pleadings based on the new law. In August 2024, the trial court denied defendants’ joint motion for judgment on the pleadings and, in October 2024, stayed its proceedings pending an interlocutory appeal with the Indiana Court of Appeals. In November 2024, the Indiana Court of Appeals granted defendants’ motion to accept jurisdiction of the interlocutory appeal. In December 2025, the Indiana Court of Appeals held that the retroactive application of the legislation was constitutional, reversing the trial court’s order and remanding the action to the trial court for dismissal of the action. On January 28, 2026, the City filed a petition for rehearing with the Indiana Court of Appeals, which was denied on February 2, 2026. We believe the claims asserted in the complaint have no merit, and we intend to aggressively defend this action.</w:t>
      </w:r>
    </w:p>
    <w:p>
      <w:pPr>
        <w:spacing w:after="0" w:line="19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a defendant in a putative class proceeding before the Ontario Superior Court of Justice in Toronto, Canada that was filed in December 2019. The action claims CAD$50 million in aggregate general damages, CAD$100 million in aggregate punitive damages, special damages in an unspecified amount, together with interest and legal costs. The named plaintiffs are two victims of a shooting that took place in Toronto in July 2018 and their family members. One victim was shot and injured during the shooting. The other victim suffered unspecified injuries while fleeing the shooting. The plaintiffs sought to certify a claim on behalf of classes that include all persons who were killed or injured in the shooting and their immediate family members. The plaintiffs allege negligent design and public nuisance. In July 2020, we filed a Notice of Motion for an order striking the claim and dismissing the action in its entirety. In February 2021, the court granted our motion in part and dismissed the plaintiffs’ claims in public nuisance and strict liability. The court declined to strike the negligent design claim and ordered that the claim proceed to a certification motion. In March 2021, we filed a motion for leave to appeal the court’s refusal to strike the negligent design claim with the Divisional Court, Ontario Superior Court of Justice. In July 2021, plaintiffs filed a motion to stay our motion for leave to appeal with the Divisional Court, on grounds that the appeal is premature. In November 2021, the Divisional Court granted plaintiffs’ motion, staying our motion for leave to appeal until 30 days after the decision on the balance of plaintiffs’ certification motion. In March 2024, the court denied the plaintiffs’ motion for class certification. Three appeals were filed: (1) our appeal from the dismissal of our motion to strike the negligent design claim; (2) the plaintiffs’ appeal from the order striking out their public nuisance and strict liability claims; and (3) the plaintiffs’ appeal from the order dismissing their certification motion. In June 2025, the Court of Appeals for Ontario issued a decision: (1) dismissing our appeal from the dismissal of our motion to strike the negligent design claim; (2) dismissing plaintiffs’ appeal from the order striking out their public nuisance and strict liability claims; and (3) granting plaintiffs’ appeal from the order dismissing their certification order and certifying their negligence claim as a class proceeding. In September 2025, we filed an application with the Supreme Court of Canada, requesting that the court grant leave to appeal the duty of care issue related to our negligent design claim. In October 2025, plaintiffs filed both an opposition to our application seeking leave to appeal the duty of care issue related to our negligent design claim and a cross-appeal of the dismissal of their strict liability and public nuisance claims with the Supreme Court of Canada. Later in October 2025, the Court of Appeal issued and entered the formal order in the case, which was submitted to the Supreme Court of Canada.</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May 2020, we were named in an action related to the Chabad of Poway synagogue shooting that took place in April 2019. The complaint was filed in the Superior Court of the State of California for the County of San Diego – Central and asserts claims against us for product liability, unfair competition, negligence, and public nuisance. The plaintiffs allege they were present at the synagogue on the day of the incident and suffered physical and/or emotional injury. The plaintiffs seek compensatory and punitive damages, attorneys’ fees, and injunctive relief. In September 2020, we filed a demurrer and motion to strike, seeking to dismiss plaintiffs’ complaint. In July 2021, the court granted our motion in part and reversed it in part, ruling that</w:t>
      </w:r>
    </w:p>
    <w:p>
      <w:pPr>
        <w:spacing w:after="0" w:line="3" w:lineRule="exact"/>
        <w:rPr>
          <w:sz w:val="20"/>
          <w:szCs w:val="20"/>
          <w:color w:val="auto"/>
        </w:rPr>
      </w:pPr>
    </w:p>
    <w:p>
      <w:pPr>
        <w:jc w:val="both"/>
        <w:ind w:firstLine="8"/>
        <w:spacing w:after="0" w:line="251" w:lineRule="auto"/>
        <w:tabs>
          <w:tab w:leader="none" w:pos="27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Protection of Lawful Commerce in Arms Act barred plaintiffs’ product liability action; (2) plaintiffs did not have standing to maintain an action under the Unfair Competition Law for personal injury related damages, but the court gave plaintiffs leave to amend to plead an economic injury; and (3) the Protection of Lawful Commerce in Arms Act did not bar plaintiffs’ ordinary negligence and public nuisance actions because plaintiffs had alleged that we violated 18 U.S.C. Section 922(b)(4), which generally prohibits the sale of fully automatic “machineguns.” In August 2021, we filed a Petition for Writ of Mandate in the Court of Appeal of the State of California, Fourth Appellate District, Division One. In September 2021, the Court of Appeal denied our appeal. In February 2022, the court consolidated the case with three related cases, in which we are not a party. In March 2022, the court granted our motion, dismissing plaintiffs’ Unfair Competition Law claim, without further leave to amend. In February 2023, we filed a motion for summary judgment. In May 2023, the court denied our motion for summary judgment without prejudice and allowed plaintiffs time for additional discovery. In December 2024, the court granted our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Nine Months Ended January 31, 2026 and 2025</w:t>
      </w:r>
    </w:p>
    <w:p>
      <w:pPr>
        <w:spacing w:after="0" w:line="3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renewed motion for summary judgment and we later filed a proposed notice of final judgment with the court, requesting the court to enter a final judgment in our favor and to dismiss all claims against us. In February 2025, the court entered the final judgment. In April 2025, plaintiffs filed a notice of appeal with the California Court of Appeal and, in March 2026, they filed their opening appellate brief.</w:t>
      </w:r>
    </w:p>
    <w:p>
      <w:pPr>
        <w:spacing w:after="0" w:line="176"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In September 2022, we were named as defendants in 12 nearly identical, separate actions related to a shooting in Highland Park, Illinois on July 4, 2022. The complaints were filed in the Circuit Court of the Nineteenth Judicial Circuit in Lake County, Illinois and assert claims against us for negligence and deceptive and unfair practices under the Illinois Consumer Fraud and Deceptive Business Practices Act. The plaintiffs allege they were present at a parade at the time of the incident and suffered physical and/or emotional injury. The plaintiffs seek compensatory damages, attorneys’ fees, and injunctive relief. We filed motions for removal of each case to the U.S. District Court for the Northern District of Illinois. In November 2022, we filed a motion to consolidate the cases for preliminary motion purposes. In December 2022, plaintiffs filed motions to remand the cases back to the state court. In September 2023, the court granted plaintiffs’ motion to remand. In October 2023, we filed a notice of appeal to the U.S. Court of Appeals for the Seventh Circuit. In March 2024, three new lawsuits were filed in the Circuit Court of Lake County, Illinois. In April 2024, the Seventh Circuit affirmed the remand decision. In May 2024, plaintiffs filed a motion for attorneys’ fees incurred as a result of removal. In March 2025, the district court granted plaintiffs’ motion, ordering us to pay certain of plaintiffs’ attorneys’ fees. In June and July 2024, the district court remanded the 12 separate actions to state court, with some plaintiffs amending their complaints to remove references to violations of federal law and asserting additional claims against us, including claims alleging violation of the Illinois Uniform Deceptive Trade Practices Act, the Illinois Consumer Fraud and Deceptive Business Practices Act, negligent and intentional infliction of emotional distress, and negligent entrustment. We were also named in 13 additional separate cases against us in the same state court during the same time period, largely raising similar allegations against us as in the initial and amended complaints. In July 2024, the trial court consolidated all cases for purposes of motions to dismiss and discovery. In September 2024, we filed our motions to dismiss plaintiffs’ 25 separate complaints. In April 2025, the court granted our motion to dismiss without prejudice with respect to plaintiffs’ counts for violation of the Illinois Consumer Fraud and Deceptive Business Practices Act for lack of standing (with respect to the deceptive claims only) and negligent entrustment and denied all remaining counts. Later in April 2025, plaintiffs served their first set of written discovery and we filed a motion to certify issues for interlocutory appeal with the trial court. In May 2025, the court ordered an expedited briefing schedule for the motion and stayed discovery. In June 2025, the court certified several issues for interlocutory appeal, lifted the discovery stay, set an initial trial date for March 8, 2027, and scheduled a status conference. We also filed our answers to plaintiffs' complaints. In July 2025, we filed an application for interlocutory appeal with the Court of Appeal. In September 2025, the Court of Appeal denied our application. We filed a petition for leave for an interlocutory appeal to the Illinois Supreme Court in October 2025. On January 28, 2026, the Illinois Supreme Court issued an order directing the Court of Appeal to accept our application for interlocutory appeal. Discovery is ongoing.</w:t>
      </w:r>
    </w:p>
    <w:p>
      <w:pPr>
        <w:spacing w:after="0" w:line="20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December 2022, the City of Buffalo, New York filed a complaint in the Supreme Court of the State of New York, County of Erie, against numerous manufacturers, distributors, and retailers of firearms. Later in December 2022, the City of Rochester, New York filed an almost identical complaint in the Supreme Court of the State of New York, County of Monroe against the same defendants. The complaints allege violation of the New York General Business Law, public nuisance, and deceptive business practices in violation of the New York General Business Law. In January 2023, we filed notices of removal of the cases to the U.S. District Court for the Western District of New York. In March 2023, defendants filed a motion to stay both cases pending a ruling by the U.S. Court of Appeals for the Second Circuit in the NSSF v. James case. In June 2023, the court granted defendants’ motions to consolidate and to stay pending resolution of the NSSF v. James appeal. In July 2025, the U.S. Court of Appeals for the Second Circuit ruled against NSSF in the NSSF v. James appeal. Defendants filed a joint motion to dismiss in September 2025. On January 22, 2026, the Cities of Buffalo and Rochester filed amended complaints against us and three other manufacturers. The complaints state claims for violation of New York General Business Law 898-b(2) and common law public nuisance. Plaintiffs seek injunctive relief, compensatory and punitive/exemplary damages, costs, and interest.</w:t>
      </w:r>
    </w:p>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believe that the various allegations as described above are unfounded, and, in addition, that any incident and any results from them or any injuries were due to negligence or misuse of the firearm by the claimant or a third party.</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from time to time, we are involved in lawsuits, claims, investigations, and proceedings, including commercial, environmental, premises, and employment matters, which arise in the ordinary course of business.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relief sought in individual cases primarily includes compensatory and, sometimes, punitive damages. Certain of the cases and claims seek unspecified compensatory or punitive damages. In others, compensatory damages sought may range from less than $75,000 to approximately $50.0 million. In our experience, initial demands do not generally bear a reasonable relationship to the facts and circumstances of a particular matter. We believe that our accruals for product liability cases and claims are a reasonable quantitative measure of the cost to us of product liability cases and claims.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Nine Months Ended January 31, 2026 and 2025</w:t>
      </w:r>
    </w:p>
    <w:p>
      <w:pPr>
        <w:spacing w:after="0" w:line="39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involved in a putative stockholder derivative lawsuit filed in February 2025 in the U.S. District Court for the District of Nevada. The action was brought by plaintiffs seeking to act on our behalf against our directors and certain of our executive officers. The complaint alleges a breach of fiduciary duty (for allegedly allowing us to become exposed to significant liability for intentionally violating federal, state, and local laws through our manufacturing, marketing, and sales of “AR-15 style rifles” and similar semiautomatic firearms) and violations of Section 14(a) of the Exchange Act. The derivative plaintiffs seek, among other things, damages, as well as reforms and improvements to our compliance procedures and governance policies. In May 2025, we filed a motion to dismiss plaintiffs’ complaint. In June 2025, plaintiffs filed an opposition brief to our motion to dismiss. In July 2025, we filed a reply to plaintiffs’ opposition brief.</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were named in a putative class action lawsuit filed in April 2025 in the U.S. District for the Northern District of California. The complaint alleges violation of the California Invasion of Privacy Act, or CIPA, the California Privacy Act, invasion of privacy, intrusion upon seclusion, fraud/deceit/misrepresentation, breach of contract, breach of implied contract and fair dealing, trespass to chattels, and unjust enrichment. Plaintiffs allege that after they clicked on the “reject all” cookies button on our website, our website enabled third parties to place cookies and similar tracking technologies on their browsers and devices and/or to transmit their user data to third parties for their financial gain and other purposes. Plaintiffs seek compensatory damages (including statutory damages), punitive damages, nominal damages, restitution, disgorgement of revenues and profits, injunctive relief, and attorneys’ fees and costs. In May 2025, we filed a motion to dismiss plaintiffs’ complaint. In November 2025, the parties filed a stipulation and proposed order selecting an alternative dispute resolution process, notifying the court of their selection of a private mediator and their proposed June 30, 2026 deadline to mediate the case. On February 17, 2026, the court: (a) granted, in part, our motion to dismiss, dismissing with leave to amend plaintiffs’ CIPA, common law fraud (for one named-plaintiff), breach of contract, breach of implied covenant of good faith and fair dealing, and trespass to chattels claims; and (b) denied, in part, our motion to dismiss, permitting plaintiffs’ intrusion upon seclusion, invasion of privacy, common law fraud (for certain named-plaintiffs), and unjust enrichment claims to proceed. The parties are engaged in discovery.</w:t>
      </w:r>
    </w:p>
    <w:p>
      <w:pPr>
        <w:spacing w:after="0" w:line="19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are vigorously defending ourselves in the lawsuits to which we are subject. An unfavorable outcome or prolonged litigation could harm our business. Litigation of this nature also is expensive, time consuming, and diverts the time and attention of our management.</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monitor the status of known claims and the related product liability accrual, which includes amounts for defense costs for asserted and unasserted claims. After consultation with litigation counsel and a review of the merit of each claim, we have concluded that we are unable to reasonably estimate the probability or the estimated range of reasonably possible losses related to material adverse judgments related to such claims and, therefore, we have not accrued for any such judgments. In the future, should we determine that a loss (or an additional loss in excess of our accrual) is at least reasonably possible and material, we would then disclose an estimate of the possible loss or range of loss, if such estimate could be made, or disclose that an estimate could not be made. We believe that we have provided adequate accruals for defense costs.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this time, an estimated range of reasonably possible additional losses relating to unfavorable outcomes cannot be made.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22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Relocation, we entered into a project agreement, or the Project Agreement, with The Industrial Development Board of Blount County and the cities of Alcoa and Maryville, Tennessee, a public, nonprofit corporation organized and existing under the laws of the state of Tennessee, or the IDB. Pursuant to the Project Agreement, we represented to the IDB that we intend to incur, or cause to be incurred, no less than $120.0 million in aggregate capital expenditures on or before December 31, 2025, create no less than 620 new jobs, and sustain an average hourly wage of at least $25.97 at the facility. Further, pursuant to the Project Agreement, we are required to, among other things, (a) execute a facility lease and an equipment lease with the IDB; (b) cause the construction of the new facility at our sole cost and expense to commence on or before May 31, 2022; (c) incur, or cause to be incurred, aggregate capital expenditures in connection with the construction and equipping of the new facility in an aggregate amount of not less than $120.0 million on or before December 31, 2025; (d) cause the construction of the new facility to be substantially completed and for a certificate of occupancy to be issued therefore on or before December 31, 2023; (e) provide the IDB with a written report certified by one of our authorized officers, not later than January 31 of each year during the period between January 31, 2024 and January 31, 2031; and (f) make certain payments to the IDB in the event that our actual capital expenditures, number of employees, or average hourly wage of such employees are less than our projections.</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Relocation, we entered into an accountability agreement, or the Accountability Agreement, with the Tennessee Department of Economic and Community Development and the Blount Partnership economic development organization. Pursuant to the Accountability Agreement, the Blount Partnership received a grant in the amount of $9.0 million, which was paid to 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Nine Months Ended January 31, 2026 and 2025</w:t>
      </w:r>
    </w:p>
    <w:p>
      <w:pPr>
        <w:spacing w:after="0" w:line="3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a grant contract. Among other performance requirements in the Accountability Agreement, we committed that we would create and maintain 750 new jobs at the facility, measured as the average number of full-time jobs at the facility on three test dates: January 1, 2027, January 1, 2028, and January 1, 2029, or the Compliance Period. In the event that the three-year average number of full-time jobs during the Compliance Period equals or exceeds 90% of the 750-job commitment, no recapture payment will be required. If the three-year average number of full-time jobs during the Compliance Period is less than 90% of the committed number, but greater than 50% of such number, we will be required to make a recapture payment equal to the percentage of full-time jobs at the facility below the 750 jobs committed, times the grant amount. If the three-year average number of full-time jobs during the Compliance Period is less than 50% of the committed number, we will be required to make a recapture payment equal to the full amount of the grant. The payment, if any, would be made on a one-time basis and due no later than 45 days after the state’s demand, which would likely be in the second calendar quarter of 2029, if required.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Segment Reporting:</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operate our business as one operating segment, which also represents one reportable segment: firearms. Therefore, our operating results are reported on a consolidated basis for purposes of segment reporting, consistent with internal management reporting.</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firearms segment is engaged in the design, manufacture, and sale of a variety of firearms and firearm-related products. Our Chief Executive Officer has been identified as the chief operating decision maker, or CODM. The CODM manages and allocates resources on a consolidated basis. The determination of a single segment is consistent with the financial information regularly reviewed by the CODM for purposes of evaluating our performance and allocating resources, which is reviewed on a consolidated basis.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our CODM evaluates the financial performance of our firearms segment on a consolidated basis, the measure of segment performance is net income, as reflected in our consolidated statements of operations. The CODM uses net income to allocate resources on a consolidated basis, which enables the CODM to assess both the overall level of resources available and to optimize the distribution of resources in line with our long-term strategic goals. Our segment net sales, segment significant expenses, and segment profit, as provided to the CODM, align to the captions presented on our consolidated statements of operations. As we manage our assets on a consolidated basis, the measure of segment assets is total assets, as reflected in the consolidated balance sheets.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additional segment information not already disclosed elsewhere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3440" w:type="dxa"/>
            <w:vAlign w:val="bottom"/>
            <w:gridSpan w:val="7"/>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 the Three Months Ended January 31,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6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 the Nine Months Ended January 31,</w:t>
            </w:r>
          </w:p>
        </w:tc>
      </w:tr>
      <w:tr>
        <w:trPr>
          <w:trHeight w:val="196"/>
        </w:trPr>
        <w:tc>
          <w:tcPr>
            <w:tcW w:w="432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r>
      <w:tr>
        <w:trPr>
          <w:trHeight w:val="21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20" w:type="dxa"/>
            <w:vAlign w:val="bottom"/>
            <w:shd w:val="clear" w:color="auto" w:fill="CFF0FC"/>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(5,900)</w:t>
            </w:r>
          </w:p>
        </w:tc>
        <w:tc>
          <w:tcPr>
            <w:tcW w:w="3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(5,882)</w:t>
            </w:r>
          </w:p>
        </w:tc>
      </w:tr>
      <w:tr>
        <w:trPr>
          <w:trHeight w:val="20"/>
        </w:trPr>
        <w:tc>
          <w:tcPr>
            <w:tcW w:w="4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(1,527)</w:t>
            </w: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(1,723)</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(4,117)</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(3,875)</w:t>
            </w:r>
          </w:p>
        </w:tc>
      </w:tr>
      <w:tr>
        <w:trPr>
          <w:trHeight w:val="629"/>
        </w:trPr>
        <w:tc>
          <w:tcPr>
            <w:tcW w:w="432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63"/>
        </w:trPr>
        <w:tc>
          <w:tcPr>
            <w:tcW w:w="43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-933450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-916305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-933450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-916305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-933450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-916305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-916305</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ind w:right="396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Overview</w:t>
      </w: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Please refer to the Management’s Discussion and Analysis of Financial Condition and Results of Operations in our Fiscal 2025 Annual Report and our unaudited condensed consolidated financial statements included in Item 1 of this Quarterly Report on Form 10-Q. This section sets forth key objectives and performance indicators used by us as well as key industry data tracked by us.</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This section generally discusses year-to-year comparisons between the three and nine months ended January 31, 2026 and 2025. A discussion of our results of operations, liquidity, and capital resources for the three and nine months ended January 31, 2025 compared to January 31, 2024 is not included in this Quarterly Report on Form 10-Q and can be found in Item 2, "Management's Discussion and Analysis of Financial Condition and Results of Operations" of our Quarterly Report on Form 10-Q for the quarterly period ended January 31, 2025, filed with the Securities and Exchange Commission, or the SEC, on March 6, 2025. See also the discussion below related to an immaterial correction of an error.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Fiscal 2026 Highlights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results for the three months ended January 31, 2026 included the following:</w:t>
      </w:r>
    </w:p>
    <w:p>
      <w:pPr>
        <w:spacing w:after="0" w:line="117" w:lineRule="exact"/>
        <w:rPr>
          <w:sz w:val="20"/>
          <w:szCs w:val="20"/>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were $135.7 million, an increase of $19.8 million, or 17.1%, over the comparable quarter last year.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was 26.2% compared with gross margin of 24.1% for the comparable quarter last year.</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$3.8 million, or $0.08 per diluted share, compared with $2.1 million, or $0.05 per diluted share, for the comparable quarter last year.</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results for the nine months ended January 31, 2026 included the following:</w:t>
      </w:r>
    </w:p>
    <w:p>
      <w:pPr>
        <w:spacing w:after="0" w:line="117" w:lineRule="exact"/>
        <w:rPr>
          <w:sz w:val="20"/>
          <w:szCs w:val="20"/>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were $345.5 million, an increase of $11.6 million, or 3.5%, over the comparable period last year.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was 25.5% compared with gross margin of 25.9% for the comparable period last year.</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$2.3 million, or $0.05 per diluted share, compared with net income of $4.8 million, or $0.11 per diluted share, for the comparable period last year.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Immaterial Correction of an Error</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During the fourth quarter of fiscal 2025, we identified an immaterial error related to our accrual for certain legal expenses, resulting in an overstatement of general and administrative expenses in the interim and annual periods for the fiscal year ended April 30, 2024 and during the interim periods for the fiscal year ended April 30, 2025. In accordance with SAB No. 99, </w:t>
      </w:r>
      <w:r>
        <w:rPr>
          <w:rFonts w:ascii="Times New Roman" w:cs="Times New Roman" w:eastAsia="Times New Roman" w:hAnsi="Times New Roman"/>
          <w:sz w:val="18"/>
          <w:szCs w:val="18"/>
          <w:i w:val="1"/>
          <w:iCs w:val="1"/>
          <w:color w:val="auto"/>
        </w:rPr>
        <w:t>Materiality,</w:t>
      </w:r>
      <w:r>
        <w:rPr>
          <w:rFonts w:ascii="Times New Roman" w:cs="Times New Roman" w:eastAsia="Times New Roman" w:hAnsi="Times New Roman"/>
          <w:sz w:val="18"/>
          <w:szCs w:val="18"/>
          <w:color w:val="auto"/>
        </w:rPr>
        <w:t xml:space="preserve"> and SAB No. 108, </w:t>
      </w:r>
      <w:r>
        <w:rPr>
          <w:rFonts w:ascii="Times New Roman" w:cs="Times New Roman" w:eastAsia="Times New Roman" w:hAnsi="Times New Roman"/>
          <w:sz w:val="18"/>
          <w:szCs w:val="18"/>
          <w:i w:val="1"/>
          <w:iCs w:val="1"/>
          <w:color w:val="auto"/>
        </w:rPr>
        <w:t>Considering the Effects of Prior Year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Misstatements when Quantifying Misstatements in Current Year Financial Statements</w:t>
      </w:r>
      <w:r>
        <w:rPr>
          <w:rFonts w:ascii="Times New Roman" w:cs="Times New Roman" w:eastAsia="Times New Roman" w:hAnsi="Times New Roman"/>
          <w:sz w:val="18"/>
          <w:szCs w:val="18"/>
          <w:color w:val="auto"/>
        </w:rPr>
        <w:t>, we evaluated the quantitative and qualitative considerations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error and determined that the related impact was not material to the results of operations, financial position, or cash flows for any historical annual or interim period. Prior year amounts have been adjusted to correct the immaterial error, which overstated general and administrative expenses by $620,000 and $1.5 million and understated income tax expense by $181,000 and $419,000 for the three and nine months ended January 31, 2025, respectively. Related changes to net income, corresponding line items within cash provided by operating activities, and related disclosures within the notes accompanying these financial statements reflect the immaterial correction.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 and Gross Profit – For the Three Months Ended January 31, 2026</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net sales and gross profit for the three months ended January 31, 2026 and 2025 (dollars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5"/>
                <w:szCs w:val="15"/>
                <w:color w:val="auto"/>
              </w:rPr>
            </w:pPr>
          </w:p>
        </w:tc>
        <w:tc>
          <w:tcPr>
            <w:tcW w:w="14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107,393</w:t>
            </w:r>
          </w:p>
        </w:tc>
        <w:tc>
          <w:tcPr>
            <w:tcW w:w="24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79,764</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27,629</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34.6%</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Long guns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(8,410)</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-30.4%</w:t>
            </w:r>
          </w:p>
        </w:tc>
      </w:tr>
      <w:tr>
        <w:trPr>
          <w:trHeight w:val="216"/>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products &amp; services</w:t>
            </w: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9,061</w:t>
            </w: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8,456</w:t>
            </w:r>
          </w:p>
        </w:tc>
        <w:tc>
          <w:tcPr>
            <w:tcW w:w="3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6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7.2%</w:t>
            </w:r>
          </w:p>
        </w:tc>
      </w:tr>
      <w:tr>
        <w:trPr>
          <w:trHeight w:val="209"/>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net sales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135,709</w:t>
            </w:r>
          </w:p>
        </w:tc>
        <w:tc>
          <w:tcPr>
            <w:tcW w:w="24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115,885</w:t>
            </w:r>
          </w:p>
        </w:tc>
        <w:tc>
          <w:tcPr>
            <w:tcW w:w="3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19,824</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17.1%</w:t>
            </w:r>
          </w:p>
        </w:tc>
      </w:tr>
      <w:tr>
        <w:trPr>
          <w:trHeight w:val="216"/>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100,120</w:t>
            </w: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87,938</w:t>
            </w:r>
          </w:p>
        </w:tc>
        <w:tc>
          <w:tcPr>
            <w:tcW w:w="3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12,182</w:t>
            </w:r>
          </w:p>
        </w:tc>
        <w:tc>
          <w:tcPr>
            <w:tcW w:w="26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13.9%</w:t>
            </w:r>
          </w:p>
        </w:tc>
      </w:tr>
      <w:tr>
        <w:trPr>
          <w:trHeight w:val="209"/>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35,589</w:t>
            </w:r>
          </w:p>
        </w:tc>
        <w:tc>
          <w:tcPr>
            <w:tcW w:w="24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27,947</w:t>
            </w:r>
          </w:p>
        </w:tc>
        <w:tc>
          <w:tcPr>
            <w:tcW w:w="3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27.3%</w:t>
            </w:r>
          </w:p>
        </w:tc>
      </w:tr>
      <w:tr>
        <w:trPr>
          <w:trHeight w:val="216"/>
        </w:trPr>
        <w:tc>
          <w:tcPr>
            <w:tcW w:w="4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 of net sales (gross margin)</w:t>
            </w: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648"/>
        </w:trPr>
        <w:tc>
          <w:tcPr>
            <w:tcW w:w="4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763"/>
        </w:trPr>
        <w:tc>
          <w:tcPr>
            <w:tcW w:w="48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-1473835</wp:posOffset>
            </wp:positionV>
            <wp:extent cx="1111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-1473835</wp:posOffset>
            </wp:positionV>
            <wp:extent cx="1111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-1473835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-1190625</wp:posOffset>
            </wp:positionV>
            <wp:extent cx="1111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-1190625</wp:posOffset>
            </wp:positionV>
            <wp:extent cx="1111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-1190625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 w:name="page20"/>
    <w:bookmarkEnd w:id="19"/>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firearm units shipped by trade channel for the three months ended January 31, 2026 and 2025 (units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 Units Shipped</w:t>
            </w:r>
          </w:p>
        </w:tc>
        <w:tc>
          <w:tcPr>
            <w:tcW w:w="3620" w:type="dxa"/>
            <w:vAlign w:val="bottom"/>
            <w:gridSpan w:val="3"/>
          </w:tcPr>
          <w:p>
            <w:pPr>
              <w:spacing w:after="0"/>
              <w:rPr>
                <w:sz w:val="15"/>
                <w:szCs w:val="15"/>
                <w:color w:val="auto"/>
              </w:rPr>
            </w:pPr>
          </w:p>
        </w:tc>
        <w:tc>
          <w:tcPr>
            <w:tcW w:w="14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5"/>
                <w:szCs w:val="15"/>
                <w:color w:val="auto"/>
              </w:rPr>
            </w:pPr>
          </w:p>
        </w:tc>
        <w:tc>
          <w:tcPr>
            <w:tcW w:w="14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3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5"/>
                <w:szCs w:val="15"/>
                <w:color w:val="auto"/>
              </w:rPr>
            </w:pPr>
          </w:p>
        </w:tc>
        <w:tc>
          <w:tcPr>
            <w:tcW w:w="14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9"/>
        </w:trPr>
        <w:tc>
          <w:tcPr>
            <w:tcW w:w="48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28.0%</w:t>
            </w:r>
          </w:p>
        </w:tc>
      </w:tr>
      <w:tr>
        <w:trPr>
          <w:trHeight w:val="234"/>
        </w:trPr>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-21.7%</w:t>
            </w:r>
          </w:p>
        </w:tc>
      </w:tr>
      <w:tr>
        <w:trPr>
          <w:trHeight w:val="373"/>
        </w:trPr>
        <w:tc>
          <w:tcPr>
            <w:tcW w:w="2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Sporting Goods Channel Units Shipped</w:t>
            </w:r>
          </w:p>
        </w:tc>
        <w:tc>
          <w:tcPr>
            <w:tcW w:w="2420" w:type="dxa"/>
            <w:vAlign w:val="bottom"/>
          </w:tcPr>
          <w:p>
            <w:pPr>
              <w:spacing w:after="0"/>
              <w:rPr>
                <w:sz w:val="24"/>
                <w:szCs w:val="24"/>
                <w:color w:val="auto"/>
              </w:rPr>
            </w:pPr>
          </w:p>
        </w:tc>
        <w:tc>
          <w:tcPr>
            <w:tcW w:w="14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24"/>
                <w:szCs w:val="24"/>
                <w:color w:val="auto"/>
              </w:rPr>
            </w:pPr>
          </w:p>
        </w:tc>
        <w:tc>
          <w:tcPr>
            <w:tcW w:w="14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24"/>
                <w:szCs w:val="24"/>
                <w:color w:val="auto"/>
              </w:rPr>
            </w:pPr>
          </w:p>
        </w:tc>
        <w:tc>
          <w:tcPr>
            <w:tcW w:w="13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24"/>
                <w:szCs w:val="24"/>
                <w:color w:val="auto"/>
              </w:rPr>
            </w:pPr>
          </w:p>
        </w:tc>
        <w:tc>
          <w:tcPr>
            <w:tcW w:w="14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48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28.0%</w:t>
            </w:r>
          </w:p>
        </w:tc>
      </w:tr>
      <w:tr>
        <w:trPr>
          <w:trHeight w:val="234"/>
        </w:trPr>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-25.0%</w:t>
            </w:r>
          </w:p>
        </w:tc>
      </w:tr>
      <w:tr>
        <w:trPr>
          <w:trHeight w:val="387"/>
        </w:trPr>
        <w:tc>
          <w:tcPr>
            <w:tcW w:w="2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Professional Channel Units Shipped</w:t>
            </w:r>
          </w:p>
        </w:tc>
        <w:tc>
          <w:tcPr>
            <w:tcW w:w="2640" w:type="dxa"/>
            <w:vAlign w:val="bottom"/>
            <w:gridSpan w:val="2"/>
          </w:tcPr>
          <w:p>
            <w:pPr>
              <w:spacing w:after="0"/>
              <w:rPr>
                <w:sz w:val="24"/>
                <w:szCs w:val="24"/>
                <w:color w:val="auto"/>
              </w:rPr>
            </w:pPr>
          </w:p>
        </w:tc>
        <w:tc>
          <w:tcPr>
            <w:tcW w:w="14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24"/>
                <w:szCs w:val="24"/>
                <w:color w:val="auto"/>
              </w:rPr>
            </w:pPr>
          </w:p>
        </w:tc>
        <w:tc>
          <w:tcPr>
            <w:tcW w:w="14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24"/>
                <w:szCs w:val="24"/>
                <w:color w:val="auto"/>
              </w:rPr>
            </w:pPr>
          </w:p>
        </w:tc>
        <w:tc>
          <w:tcPr>
            <w:tcW w:w="13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24"/>
                <w:szCs w:val="24"/>
                <w:color w:val="auto"/>
              </w:rPr>
            </w:pPr>
          </w:p>
        </w:tc>
        <w:tc>
          <w:tcPr>
            <w:tcW w:w="14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9"/>
        </w:trPr>
        <w:tc>
          <w:tcPr>
            <w:tcW w:w="48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28.6%</w:t>
            </w:r>
          </w:p>
        </w:tc>
      </w:tr>
      <w:tr>
        <w:trPr>
          <w:trHeight w:val="234"/>
        </w:trPr>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r>
    </w:tbl>
    <w:p>
      <w:pPr>
        <w:spacing w:after="0" w:line="24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Sales of our handguns increased $27.6 million, or 34.6%, over the comparable quarter last year, primarily as a result of increased shipments of newly introduced products (defined as any new SKU not shipped in the comparable period last year), a shift in product mix to higher priced models, higher consumer demand, and a 2% to 3% price increase on select products that became effective on January 1, 2026. Shipments of new products represented 44.0% of handgun sales in the quarter. Handgun unit shipments into the sporting goods channel increased by 28.0% over the comparable quarter last year while overall demand for handguns decreased by 2.2% (as indicated by adjusted background checks reported in the National Instant Criminal Background Check System, or NICS) partially due to an increase in inventory at our distributors.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Sales of our long guns decreased $8.4 million, or 30.4%, from the comparable quarter last year, primarily as a result of the timing of new product launches in the comparable period last year and lower consumer demand during the period. Shipments of new products represented 27.5% of long gun sales in the period. Long gun unit shipments into the sporting goods channel decreased by 25.0% from the comparable quarter last year while overall demand for long guns decreased by 5.6% (as indicated by NICS). We believe the difference in our unit demand compared to NICS results was driven by stronger relative performance in categories in which we do not participate fully, specifically hunting, and a decrease in inventory at our distributors.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products and services revenue increased $605,000, or 7.2%, over the comparable quarter last year, primarily because of higher e-commerce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w:t>
      </w:r>
    </w:p>
    <w:p>
      <w:pPr>
        <w:spacing w:after="0" w:line="20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Newly introduced products represented 38.7% of net sales for the three months ended January 31, 2026 and included four new pistols, four new long guns, and many new product line extensions.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Gross margin for the three months ended January 31, 2026 was 26.2% compared with 24.1% for the comparable quarter last year, primarily driven by favorable fixed-cost absorption from higher production volumes, lower promotional costs, and lower federal firearms excise taxes as a result of the favorable completion of a recent audit, partially offset by higher tariffs on imported materials and components and higher labor costs. We estimate higher tariffs negatively impacted gross margin by approximately 160 basis points when compared to the comparable quarter last year.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 and Gross Profit – For the Nine Months Ended January 31, 2026</w:t>
      </w:r>
    </w:p>
    <w:p>
      <w:pPr>
        <w:spacing w:after="0" w:line="12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net sales and gross profit for the nine months ended January 31, 2026 and 2025 (dollars in thousands):</w:t>
      </w:r>
    </w:p>
    <w:tbl>
      <w:tblPr>
        <w:tblLayout w:type="fixed"/>
        <w:tblInd w:w="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3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r>
      <w:tr>
        <w:trPr>
          <w:trHeight w:val="21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6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263,107</w:t>
            </w:r>
          </w:p>
        </w:tc>
        <w:tc>
          <w:tcPr>
            <w:tcW w:w="2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226,853</w:t>
            </w:r>
          </w:p>
        </w:tc>
        <w:tc>
          <w:tcPr>
            <w:tcW w:w="2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36,254</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Long guns</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57,529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(19,988)</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products &amp; services</w:t>
            </w: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24,821</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29,529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(4,708)</w:t>
            </w: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(15.9)%</w:t>
            </w:r>
          </w:p>
        </w:tc>
      </w:tr>
      <w:tr>
        <w:trPr>
          <w:trHeight w:val="20"/>
        </w:trPr>
        <w:tc>
          <w:tcPr>
            <w:tcW w:w="350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09"/>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net sales</w:t>
            </w:r>
          </w:p>
        </w:tc>
        <w:tc>
          <w:tcPr>
            <w:tcW w:w="13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345,457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333,899</w:t>
            </w:r>
          </w:p>
        </w:tc>
        <w:tc>
          <w:tcPr>
            <w:tcW w:w="2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2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3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257,444</w:t>
            </w: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247,261</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10,183</w:t>
            </w:r>
          </w:p>
        </w:tc>
        <w:tc>
          <w:tcPr>
            <w:tcW w:w="2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r>
      <w:tr>
        <w:trPr>
          <w:trHeight w:val="209"/>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16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88,013</w:t>
            </w:r>
          </w:p>
        </w:tc>
        <w:tc>
          <w:tcPr>
            <w:tcW w:w="240" w:type="dxa"/>
            <w:vAlign w:val="bottom"/>
          </w:tcPr>
          <w:p>
            <w:pPr>
              <w:spacing w:after="0"/>
              <w:rPr>
                <w:sz w:val="18"/>
                <w:szCs w:val="18"/>
                <w:color w:val="auto"/>
              </w:rPr>
            </w:pP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86,638</w:t>
            </w:r>
          </w:p>
        </w:tc>
        <w:tc>
          <w:tcPr>
            <w:tcW w:w="2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 of net sales (gross margin)</w:t>
            </w: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648"/>
        </w:trPr>
        <w:tc>
          <w:tcPr>
            <w:tcW w:w="3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763"/>
        </w:trPr>
        <w:tc>
          <w:tcPr>
            <w:tcW w:w="35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-1473835</wp:posOffset>
            </wp:positionV>
            <wp:extent cx="1111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-1473835</wp:posOffset>
            </wp:positionV>
            <wp:extent cx="1111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-1473835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-1190625</wp:posOffset>
            </wp:positionV>
            <wp:extent cx="1111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-1190625</wp:posOffset>
            </wp:positionV>
            <wp:extent cx="1111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-1190625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20" w:name="page21"/>
    <w:bookmarkEnd w:id="20"/>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firearm units shipped by trade channel for the nine months ended January 31, 2026 and 2025 (units in thousands):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 Units Shipped</w:t>
            </w:r>
          </w:p>
        </w:tc>
        <w:tc>
          <w:tcPr>
            <w:tcW w:w="3560" w:type="dxa"/>
            <w:vAlign w:val="bottom"/>
            <w:gridSpan w:val="3"/>
          </w:tcPr>
          <w:p>
            <w:pPr>
              <w:spacing w:after="0"/>
              <w:rPr>
                <w:sz w:val="15"/>
                <w:szCs w:val="15"/>
                <w:color w:val="auto"/>
              </w:rPr>
            </w:pPr>
          </w:p>
        </w:tc>
        <w:tc>
          <w:tcPr>
            <w:tcW w:w="14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14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3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4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r>
      <w:tr>
        <w:trPr>
          <w:trHeight w:val="209"/>
        </w:trPr>
        <w:tc>
          <w:tcPr>
            <w:tcW w:w="48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15.7%</w:t>
            </w:r>
          </w:p>
        </w:tc>
      </w:tr>
      <w:tr>
        <w:trPr>
          <w:trHeight w:val="234"/>
        </w:trPr>
        <w:tc>
          <w:tcPr>
            <w:tcW w:w="4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w:t>
            </w:r>
          </w:p>
        </w:tc>
      </w:tr>
      <w:tr>
        <w:trPr>
          <w:trHeight w:val="373"/>
        </w:trPr>
        <w:tc>
          <w:tcPr>
            <w:tcW w:w="2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Sporting Goods Channel Units Shipped</w:t>
            </w:r>
          </w:p>
        </w:tc>
        <w:tc>
          <w:tcPr>
            <w:tcW w:w="2360" w:type="dxa"/>
            <w:vAlign w:val="bottom"/>
          </w:tcPr>
          <w:p>
            <w:pPr>
              <w:spacing w:after="0"/>
              <w:rPr>
                <w:sz w:val="24"/>
                <w:szCs w:val="24"/>
                <w:color w:val="auto"/>
              </w:rPr>
            </w:pPr>
          </w:p>
        </w:tc>
        <w:tc>
          <w:tcPr>
            <w:tcW w:w="14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24"/>
                <w:szCs w:val="24"/>
                <w:color w:val="auto"/>
              </w:rPr>
            </w:pPr>
          </w:p>
        </w:tc>
        <w:tc>
          <w:tcPr>
            <w:tcW w:w="14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24"/>
                <w:szCs w:val="24"/>
                <w:color w:val="auto"/>
              </w:rPr>
            </w:pPr>
          </w:p>
        </w:tc>
        <w:tc>
          <w:tcPr>
            <w:tcW w:w="13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24"/>
                <w:szCs w:val="24"/>
                <w:color w:val="auto"/>
              </w:rPr>
            </w:pPr>
          </w:p>
        </w:tc>
        <w:tc>
          <w:tcPr>
            <w:tcW w:w="14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24"/>
                <w:szCs w:val="24"/>
                <w:color w:val="auto"/>
              </w:rPr>
            </w:pPr>
          </w:p>
        </w:tc>
      </w:tr>
      <w:tr>
        <w:trPr>
          <w:trHeight w:val="209"/>
        </w:trPr>
        <w:tc>
          <w:tcPr>
            <w:tcW w:w="48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17.2%</w:t>
            </w:r>
          </w:p>
        </w:tc>
      </w:tr>
      <w:tr>
        <w:trPr>
          <w:trHeight w:val="234"/>
        </w:trPr>
        <w:tc>
          <w:tcPr>
            <w:tcW w:w="4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w:t>
            </w:r>
          </w:p>
        </w:tc>
      </w:tr>
      <w:tr>
        <w:trPr>
          <w:trHeight w:val="387"/>
        </w:trPr>
        <w:tc>
          <w:tcPr>
            <w:tcW w:w="2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Professional Channel Units Shipped</w:t>
            </w:r>
          </w:p>
        </w:tc>
        <w:tc>
          <w:tcPr>
            <w:tcW w:w="2580" w:type="dxa"/>
            <w:vAlign w:val="bottom"/>
            <w:gridSpan w:val="2"/>
          </w:tcPr>
          <w:p>
            <w:pPr>
              <w:spacing w:after="0"/>
              <w:rPr>
                <w:sz w:val="24"/>
                <w:szCs w:val="24"/>
                <w:color w:val="auto"/>
              </w:rPr>
            </w:pPr>
          </w:p>
        </w:tc>
        <w:tc>
          <w:tcPr>
            <w:tcW w:w="14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24"/>
                <w:szCs w:val="24"/>
                <w:color w:val="auto"/>
              </w:rPr>
            </w:pPr>
          </w:p>
        </w:tc>
        <w:tc>
          <w:tcPr>
            <w:tcW w:w="14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24"/>
                <w:szCs w:val="24"/>
                <w:color w:val="auto"/>
              </w:rPr>
            </w:pPr>
          </w:p>
        </w:tc>
        <w:tc>
          <w:tcPr>
            <w:tcW w:w="13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24"/>
                <w:szCs w:val="24"/>
                <w:color w:val="auto"/>
              </w:rPr>
            </w:pPr>
          </w:p>
        </w:tc>
        <w:tc>
          <w:tcPr>
            <w:tcW w:w="14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24"/>
                <w:szCs w:val="24"/>
                <w:color w:val="auto"/>
              </w:rPr>
            </w:pPr>
          </w:p>
        </w:tc>
      </w:tr>
      <w:tr>
        <w:trPr>
          <w:trHeight w:val="210"/>
        </w:trPr>
        <w:tc>
          <w:tcPr>
            <w:tcW w:w="48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r>
      <w:tr>
        <w:trPr>
          <w:trHeight w:val="234"/>
        </w:trPr>
        <w:tc>
          <w:tcPr>
            <w:tcW w:w="4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w:t>
            </w:r>
          </w:p>
        </w:tc>
      </w:tr>
    </w:tbl>
    <w:p>
      <w:pPr>
        <w:spacing w:after="0" w:line="26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Sales of our handguns increased $36.3 million, or 16%, over the comparable period last year, primarily as a result of increased shipments of newly introduced products, higher consumer demand, and a 2% to 3% price increase on select products that became effective on January 1, 2026. Shipments of new products represented 42.0% of handgun sales in the period. Handgun unit shipments into the sporting goods channel increased by 17.2% over the comparable period last year while overall consumer handgun demand was largely flat (as indicated by NICS).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Sales of our long guns decreased $20.0 million, or 25.8%, from the comparable period last year, primarily as a result of the timing of new product launches in the comparable period last year and lower consumer demand during the period. Shipments of new products represented 38.1% of long gun sales in the period. Long gun unit shipments into the sporting goods channel decreased by 19.1% from the comparable period last year while overall consumer demand for long guns decreased by 7.1% (as indicated by NICS). We believe the difference in our unit demand compared to NICS results was driven by stronger relative performance in categories in which we do not participate fully, specifically hunting.</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products and services revenue decreased $4.7 million, or 15.9%, from the comparable period last year, primarily because of lower business-to-business, parts, and suppressor sales; partially offset by higher e-commerce sales, which began in the third quarter of fiscal 2025.</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Newly introduced products represented 38.3% of net sales for the nine months ended January 31, 2026.</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Gross margin for the nine months ended January 31, 2026 was 25.5% compared with 25.9% for the comparable period last year, primarily driven by unfavorable fixed-cost absorption from lower production volumes, higher materials costs, and higher tariffs on imported materials and components, partially offset by favorable inventory adjustments (including standard cost revaluations, shrink, and excess inventory write downs), lower labor costs, lower promotional costs, and lower federal firearms excise taxes as a result of the favorable completion of a recent audit. We estimate higher tariffs negatively impacted gross margin by approximately 120 basis points when compared to the comparable period last year.</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Inventory balances decreased $14.6 million between April 30, 2025 and January 31, 2026 as a result of our proactive inventory management and production planning efforts intended to optimize inventory levels and cash flows. While inventory levels, both internally and in the distribution channel, in excess of demand may negatively impact future operating results, it is difficult to forecast the potential impact of distributor inventories on future revenue and income as demand is impacted by many factors, including seasonality, new product introductions, news events, political events, and consumer tastes. We expect our inventory levels to decline during the remainder of the fiscal year.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161616"/>
        </w:rPr>
        <w:t>Operating Expenses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expenses for the three months ended January 31, 2026 and 2025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2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5"/>
                <w:szCs w:val="15"/>
                <w:color w:val="auto"/>
              </w:rPr>
            </w:pPr>
          </w:p>
        </w:tc>
      </w:tr>
      <w:tr>
        <w:trPr>
          <w:trHeight w:val="21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2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(457)</w:t>
            </w: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2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12,379</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Gain on sale/disposition of assets</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(188)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(2,382)</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2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-92.1%</w:t>
            </w:r>
          </w:p>
        </w:tc>
      </w:tr>
      <w:tr>
        <w:trPr>
          <w:trHeight w:val="209"/>
        </w:trPr>
        <w:tc>
          <w:tcPr>
            <w:tcW w:w="5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28,876</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23,202</w:t>
            </w:r>
          </w:p>
        </w:tc>
        <w:tc>
          <w:tcPr>
            <w:tcW w:w="3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24.5%</w:t>
            </w:r>
          </w:p>
        </w:tc>
      </w:tr>
      <w:tr>
        <w:trPr>
          <w:trHeight w:val="234"/>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of net sales</w:t>
            </w:r>
          </w:p>
        </w:tc>
        <w:tc>
          <w:tcPr>
            <w:tcW w:w="28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decreased $457,000 from the prior year comparable quarter primarily because of materials and testing costs, which were elevated in the prior year quarter, partially offset by higher labor costs and higher profit-related compensation expenses in the current quarter. Selling, marketing, and distribution expenses increased $834,000, primarily as a result of higher profit-related compensation expenses. General and administrative expenses increased $3.1 million over the prior year comparable quarter, primarily as a result of higher profit-related and stock-based compensation expenses, and higher legal expenses. During the three months ended January 31, 2025, we sold certain real estate located adjacent to our former distribution center located in Columbia, Missouri for $2.3 million, net of transaction costs, and recognized a $2.3 million pre-tax gain on sale.</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expenses for the nine months ended January 31, 2026 and 2025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2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5"/>
                <w:szCs w:val="15"/>
                <w:color w:val="auto"/>
              </w:rPr>
            </w:pPr>
          </w:p>
        </w:tc>
      </w:tr>
      <w:tr>
        <w:trPr>
          <w:trHeight w:val="21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7,852</w:t>
            </w:r>
          </w:p>
        </w:tc>
        <w:tc>
          <w:tcPr>
            <w:tcW w:w="2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42,263</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40,959</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Gain on sale/disposition of assets, net</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(2,521)</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-90.8%</w:t>
            </w:r>
          </w:p>
        </w:tc>
      </w:tr>
      <w:tr>
        <w:trPr>
          <w:trHeight w:val="210"/>
        </w:trPr>
        <w:tc>
          <w:tcPr>
            <w:tcW w:w="5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80,143</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75,882</w:t>
            </w:r>
          </w:p>
        </w:tc>
        <w:tc>
          <w:tcPr>
            <w:tcW w:w="3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1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r>
      <w:tr>
        <w:trPr>
          <w:trHeight w:val="234"/>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of net sales</w:t>
            </w:r>
          </w:p>
        </w:tc>
        <w:tc>
          <w:tcPr>
            <w:tcW w:w="28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$247,000 over the prior year comparable period because of higher tooling-related costs, partially offset by materials and testing costs, which were elevated in the prior year period. Selling, marketing, and distribution expenses increased $420,000, primarily as a result of higher profit-related compensation expenses and one-time costs related to the grand opening event for the Smith &amp; Wesson Academy, partially offset by lower promotional costs. General and administrative expenses increased $1.3 million over the prior year comparable period, primarily as a result of higher profit-related and higher stock-based compensation expenses, higher insurance costs, and higher legal expenses, partially offset by lower labor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income for the three months ended January 31, 2026 and 2025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2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5"/>
                <w:szCs w:val="15"/>
                <w:color w:val="auto"/>
              </w:rPr>
            </w:pPr>
          </w:p>
        </w:tc>
      </w:tr>
      <w:tr>
        <w:trPr>
          <w:trHeight w:val="21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78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6,713</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4,745</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41.5%</w:t>
            </w:r>
          </w:p>
        </w:tc>
      </w:tr>
      <w:tr>
        <w:trPr>
          <w:trHeight w:val="234"/>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of net sales (operating margin)</w:t>
            </w:r>
          </w:p>
        </w:tc>
        <w:tc>
          <w:tcPr>
            <w:tcW w:w="78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 xml:space="preserve">Operating income for the three months ended January 31, 2026 increased </w:t>
      </w:r>
      <w:r>
        <w:rPr>
          <w:rFonts w:ascii="Times New Roman" w:cs="Times New Roman" w:eastAsia="Times New Roman" w:hAnsi="Times New Roman"/>
          <w:sz w:val="18"/>
          <w:szCs w:val="18"/>
          <w:color w:val="161616"/>
        </w:rPr>
        <w:t>$2.0 m</w:t>
      </w:r>
      <w:r>
        <w:rPr>
          <w:rFonts w:ascii="Times New Roman" w:cs="Times New Roman" w:eastAsia="Times New Roman" w:hAnsi="Times New Roman"/>
          <w:sz w:val="18"/>
          <w:szCs w:val="18"/>
          <w:color w:val="auto"/>
        </w:rPr>
        <w:t xml:space="preserve">illion over the comparable quarter last year, </w:t>
      </w:r>
      <w:r>
        <w:rPr>
          <w:rFonts w:ascii="Times New Roman" w:cs="Times New Roman" w:eastAsia="Times New Roman" w:hAnsi="Times New Roman"/>
          <w:sz w:val="18"/>
          <w:szCs w:val="18"/>
          <w:color w:val="161616"/>
        </w:rPr>
        <w:t>primarily</w:t>
      </w:r>
      <w:r>
        <w:rPr>
          <w:rFonts w:ascii="Times New Roman" w:cs="Times New Roman" w:eastAsia="Times New Roman" w:hAnsi="Times New Roman"/>
          <w:sz w:val="18"/>
          <w:szCs w:val="18"/>
          <w:color w:val="auto"/>
        </w:rPr>
        <w:t xml:space="preserve"> for the reasons outlined above.</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income for the nine months ended January 31, 2026 and 2025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2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r>
      <w:tr>
        <w:trPr>
          <w:trHeight w:val="21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760" w:type="dxa"/>
            <w:vAlign w:val="bottom"/>
            <w:shd w:val="clear" w:color="auto" w:fill="CFF0FC"/>
          </w:tcPr>
          <w:p>
            <w:pPr>
              <w:jc w:val="right"/>
              <w:ind w:right="60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7,870</w:t>
            </w:r>
          </w:p>
        </w:tc>
        <w:tc>
          <w:tcPr>
            <w:tcW w:w="2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10,756</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(2,886)</w:t>
            </w: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(26.8)%</w:t>
            </w:r>
          </w:p>
        </w:tc>
      </w:tr>
      <w:tr>
        <w:trPr>
          <w:trHeight w:val="234"/>
        </w:trPr>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of net sales (operating margin)</w:t>
            </w:r>
          </w:p>
        </w:tc>
        <w:tc>
          <w:tcPr>
            <w:tcW w:w="76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 xml:space="preserve">Operating income for the nine months ended January 31, 2026 decreased </w:t>
      </w:r>
      <w:r>
        <w:rPr>
          <w:rFonts w:ascii="Times New Roman" w:cs="Times New Roman" w:eastAsia="Times New Roman" w:hAnsi="Times New Roman"/>
          <w:sz w:val="18"/>
          <w:szCs w:val="18"/>
          <w:color w:val="161616"/>
        </w:rPr>
        <w:t>$2.9 m</w:t>
      </w:r>
      <w:r>
        <w:rPr>
          <w:rFonts w:ascii="Times New Roman" w:cs="Times New Roman" w:eastAsia="Times New Roman" w:hAnsi="Times New Roman"/>
          <w:sz w:val="18"/>
          <w:szCs w:val="18"/>
          <w:color w:val="auto"/>
        </w:rPr>
        <w:t xml:space="preserve">illion from the comparable quarter last year, </w:t>
      </w:r>
      <w:r>
        <w:rPr>
          <w:rFonts w:ascii="Times New Roman" w:cs="Times New Roman" w:eastAsia="Times New Roman" w:hAnsi="Times New Roman"/>
          <w:sz w:val="18"/>
          <w:szCs w:val="18"/>
          <w:color w:val="161616"/>
        </w:rPr>
        <w:t>primarily</w:t>
      </w:r>
      <w:r>
        <w:rPr>
          <w:rFonts w:ascii="Times New Roman" w:cs="Times New Roman" w:eastAsia="Times New Roman" w:hAnsi="Times New Roman"/>
          <w:sz w:val="18"/>
          <w:szCs w:val="18"/>
          <w:color w:val="auto"/>
        </w:rPr>
        <w:t xml:space="preserve"> for the reasons outlined above.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interest expense, net for the three months ended January 31, 2026 and 2025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3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5"/>
                <w:szCs w:val="15"/>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76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5"/>
              </w:rPr>
              <w:t>(1,527)</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(1,723)</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(196)</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r>
    </w:tbl>
    <w:p>
      <w:pPr>
        <w:spacing w:after="0" w:line="19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Interest expense, net decreased by $196,000 from the comparable quarter last year, primarily as a result of lower average debt balances and lower average interest rates on debt during the three months ended January 31, 2026 compared with the comparable quarter last year.</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interest expense, net for the nine months ended January 31, 2026 and 2025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3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5"/>
                <w:szCs w:val="15"/>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76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5"/>
              </w:rPr>
              <w:t>(4,117)</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(3,875)</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7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r>
    </w:tbl>
    <w:p>
      <w:pPr>
        <w:spacing w:after="0" w:line="19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Interest expense, net increased by $242,000 over the comparable period last year, primarily as a result of lower average cash balances and higher average debt balances, partially offset by lower average interest rates on debt during the nine months ended January 31, 2026 compared with the comparable period last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income tax expense for the three months ended January 31, 2026 and 2025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2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5"/>
                <w:szCs w:val="15"/>
                <w:color w:val="auto"/>
              </w:rPr>
            </w:pPr>
          </w:p>
        </w:tc>
      </w:tr>
      <w:tr>
        <w:trPr>
          <w:trHeight w:val="21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2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1,618</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66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75.9%</w:t>
            </w:r>
          </w:p>
        </w:tc>
      </w:tr>
      <w:tr>
        <w:trPr>
          <w:trHeight w:val="234"/>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of income from operations (effective tax rate)</w:t>
            </w: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30.1%</w:t>
            </w:r>
          </w:p>
        </w:tc>
        <w:tc>
          <w:tcPr>
            <w:tcW w:w="82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30.4%</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r>
    </w:tbl>
    <w:p>
      <w:pPr>
        <w:spacing w:after="0" w:line="20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Income tax expense increased $698,000 from the comparable quarter last year, primarily as a result of higher discrete items associated with stock-based compensation and higher operating income. Before adjusting for discrete items related to stock-based compensation, the effective tax rate was 28.9% in the current quarter and 30.5% in the prior year comparable quarter. The decrease in the effective tax rate before adjusting for discrete items was due to an increase in pre-tax profitability and changes in state apportionment.</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income tax expense for the nine months ended January 31, 2026 and 2025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2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60" w:type="dxa"/>
            <w:vAlign w:val="bottom"/>
            <w:shd w:val="clear" w:color="auto" w:fill="CFF0FC"/>
          </w:tcPr>
          <w:p>
            <w:pPr>
              <w:jc w:val="right"/>
              <w:ind w:right="60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2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of income from operations (effective tax rate)</w:t>
            </w:r>
          </w:p>
        </w:tc>
        <w:tc>
          <w:tcPr>
            <w:tcW w:w="76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30.2%</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17.0%</w:t>
            </w:r>
          </w:p>
        </w:tc>
      </w:tr>
    </w:tbl>
    <w:p>
      <w:pPr>
        <w:spacing w:after="0" w:line="20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Income tax expense decreased $61,000 from the comparable period last year, primarily as a result of lower operating income, partially offset by higher discrete items associated with stock-based compensation. Before adjusting for discrete items related to stock-based compensation, the effective tax rate was 29.0% in the current quarter and 28.2% in the prior year comparable quarter. The increase in the effective tax rate before adjusting for discrete items was due to a decrease in pre-tax profitability and changes in state apportionment.</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July 4, 2025, the reconciliation bill, commonly known as the One Big Beautiful Bill Act, or the OBBBA, was enacted into law. The OBBBA, among other things, eliminates the requirement to capitalize U.S. research and development expenses, permanently extends certain provisions of the Tax Cuts &amp; Jobs Act of 2017, and modifies certain international tax provisions, including changes to the foreign-derived intangible income regime, with effective dates beginning in calendar year 2025 and extending through calendar year 2027. As the OBBBA was enacted during the fiscal quarter ended July 31, 2025, we have considered and reflected the impacts on our consolidated financial statements. We do not expect the impact of these provisions to have a material impact on our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net income and the related per share data for the three months ended January 31, 2026 and 2025 (dollars in thousands, except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3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5"/>
                <w:szCs w:val="15"/>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7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78.5%</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7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60.0%</w:t>
            </w:r>
          </w:p>
        </w:tc>
      </w:tr>
      <w:tr>
        <w:trPr>
          <w:trHeight w:val="234"/>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60.0%</w:t>
            </w:r>
          </w:p>
        </w:tc>
      </w:tr>
    </w:tbl>
    <w:p>
      <w:pPr>
        <w:spacing w:after="0" w:line="17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 xml:space="preserve">Net income for the three months ended January 31, 2026 was $3.8 million </w:t>
      </w:r>
      <w:r>
        <w:rPr>
          <w:rFonts w:ascii="Times New Roman" w:cs="Times New Roman" w:eastAsia="Times New Roman" w:hAnsi="Times New Roman"/>
          <w:sz w:val="18"/>
          <w:szCs w:val="18"/>
          <w:color w:val="161616"/>
        </w:rPr>
        <w:t>co</w:t>
      </w:r>
      <w:r>
        <w:rPr>
          <w:rFonts w:ascii="Times New Roman" w:cs="Times New Roman" w:eastAsia="Times New Roman" w:hAnsi="Times New Roman"/>
          <w:sz w:val="18"/>
          <w:szCs w:val="18"/>
          <w:color w:val="auto"/>
        </w:rPr>
        <w:t xml:space="preserve">mpared with </w:t>
      </w:r>
      <w:r>
        <w:rPr>
          <w:rFonts w:ascii="Times New Roman" w:cs="Times New Roman" w:eastAsia="Times New Roman" w:hAnsi="Times New Roman"/>
          <w:sz w:val="18"/>
          <w:szCs w:val="18"/>
          <w:color w:val="161616"/>
        </w:rPr>
        <w:t>$2.1 million</w:t>
      </w:r>
      <w:r>
        <w:rPr>
          <w:rFonts w:ascii="Times New Roman" w:cs="Times New Roman" w:eastAsia="Times New Roman" w:hAnsi="Times New Roman"/>
          <w:sz w:val="18"/>
          <w:szCs w:val="18"/>
          <w:color w:val="auto"/>
        </w:rPr>
        <w:t xml:space="preserve"> for the comparable quarter last year for the reasons outlined above.</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net income and the related per share data for the nine months ended January 31, 2026 and 2025 (dollars in thousands, except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13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(2,533)</w:t>
            </w: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(52.9)%</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(0.06)</w:t>
            </w: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(54.5)%</w:t>
            </w:r>
          </w:p>
        </w:tc>
      </w:tr>
      <w:tr>
        <w:trPr>
          <w:trHeight w:val="234"/>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(0.06)</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(54.5)%</w:t>
            </w:r>
          </w:p>
        </w:tc>
      </w:tr>
    </w:tbl>
    <w:p>
      <w:pPr>
        <w:spacing w:after="0" w:line="1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 xml:space="preserve">Net income for the nine months ended January 31, 2026 was $2.3 million </w:t>
      </w:r>
      <w:r>
        <w:rPr>
          <w:rFonts w:ascii="Times New Roman" w:cs="Times New Roman" w:eastAsia="Times New Roman" w:hAnsi="Times New Roman"/>
          <w:sz w:val="18"/>
          <w:szCs w:val="18"/>
          <w:color w:val="161616"/>
        </w:rPr>
        <w:t>co</w:t>
      </w:r>
      <w:r>
        <w:rPr>
          <w:rFonts w:ascii="Times New Roman" w:cs="Times New Roman" w:eastAsia="Times New Roman" w:hAnsi="Times New Roman"/>
          <w:sz w:val="18"/>
          <w:szCs w:val="18"/>
          <w:color w:val="auto"/>
        </w:rPr>
        <w:t xml:space="preserve">mpared with net income of </w:t>
      </w:r>
      <w:r>
        <w:rPr>
          <w:rFonts w:ascii="Times New Roman" w:cs="Times New Roman" w:eastAsia="Times New Roman" w:hAnsi="Times New Roman"/>
          <w:sz w:val="18"/>
          <w:szCs w:val="18"/>
          <w:color w:val="161616"/>
        </w:rPr>
        <w:t>$4.8 million</w:t>
      </w:r>
      <w:r>
        <w:rPr>
          <w:rFonts w:ascii="Times New Roman" w:cs="Times New Roman" w:eastAsia="Times New Roman" w:hAnsi="Times New Roman"/>
          <w:sz w:val="18"/>
          <w:szCs w:val="18"/>
          <w:color w:val="auto"/>
        </w:rPr>
        <w:t xml:space="preserve"> for the comparable period last year for the reasons outlined above.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principal cash requirements are to finance the growth of our operations, including working capital and capital expenditures, and return capital to stockholders. Capital expenditures for new product development and repair and replacement of equipment represent important cash needs.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cash flow information for the nine months ended January 31, 2026 and 2025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5"/>
                <w:szCs w:val="15"/>
                <w:color w:val="auto"/>
              </w:rPr>
            </w:pPr>
          </w:p>
        </w:tc>
      </w:tr>
      <w:tr>
        <w:trPr>
          <w:trHeight w:val="21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39,614</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(48,051)</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87,665</w:t>
            </w:r>
          </w:p>
        </w:tc>
        <w:tc>
          <w:tcPr>
            <w:tcW w:w="260" w:type="dxa"/>
            <w:vAlign w:val="bottom"/>
            <w:shd w:val="clear" w:color="auto" w:fill="CFF0FC"/>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(23,474)</w:t>
            </w:r>
          </w:p>
        </w:tc>
        <w:tc>
          <w:tcPr>
            <w:tcW w:w="2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(11,678)</w:t>
            </w:r>
          </w:p>
        </w:tc>
      </w:tr>
      <w:tr>
        <w:trPr>
          <w:trHeight w:val="21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(22,950)</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25,712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(48,662)</w:t>
            </w:r>
          </w:p>
        </w:tc>
      </w:tr>
      <w:tr>
        <w:trPr>
          <w:trHeight w:val="20"/>
        </w:trPr>
        <w:tc>
          <w:tcPr>
            <w:tcW w:w="65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209"/>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cash flow</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(6,810)</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(34,135)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27,325</w:t>
            </w:r>
          </w:p>
        </w:tc>
        <w:tc>
          <w:tcPr>
            <w:tcW w:w="260" w:type="dxa"/>
            <w:vAlign w:val="bottom"/>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-170815</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-170815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-170815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was $39.6 million for the nine months ended January 31, 2026 compared with cash used in operating activities of $48.1 million for the nine months ended January 31, 2025. The improvement was primarily driven by a $87.9 million reduction in working capital usage.</w:t>
      </w:r>
    </w:p>
    <w:p>
      <w:pPr>
        <w:spacing w:after="0" w:line="54" w:lineRule="exact"/>
        <w:rPr>
          <w:sz w:val="20"/>
          <w:szCs w:val="20"/>
          <w:color w:val="auto"/>
        </w:rPr>
      </w:pPr>
    </w:p>
    <w:p>
      <w:pPr>
        <w:jc w:val="both"/>
        <w:ind w:firstLine="557"/>
        <w:spacing w:after="0" w:line="266" w:lineRule="auto"/>
        <w:rPr>
          <w:sz w:val="20"/>
          <w:szCs w:val="20"/>
          <w:color w:val="auto"/>
        </w:rPr>
      </w:pPr>
      <w:r>
        <w:rPr>
          <w:rFonts w:ascii="Times New Roman" w:cs="Times New Roman" w:eastAsia="Times New Roman" w:hAnsi="Times New Roman"/>
          <w:sz w:val="18"/>
          <w:szCs w:val="18"/>
          <w:color w:val="auto"/>
        </w:rPr>
        <w:t>Working capital usage for the nine months ended January 31, 2026 was favorably impacted by a $53.0 million reduction associated with inventory, a $15.9 million reduction associated with accounts payable, a $10.3 million reduction associated with accrued payroll and incentives, a $4.0 million reduction associated with accrued profit sharing, and a $3.4 million reduction associated with accounts receivable.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increased $11.7 million for the nine months ended January 31, 2026 compared with the prior year period, primarily as a result of a $4.6 million increase in capital expenditures, largely related to the Smith &amp; Wesson Academy, $4.6 million of purchases of marketable securities during the nine months ended January 31, 2026, and $2.3 million of proceeds included in the prior year period related to the sale of certain real estate located adjacent to our former distribution center located in Columbia, Missouri during the nine months ended January 31,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p>
      <w:pPr>
        <w:ind w:left="520"/>
        <w:spacing w:after="0"/>
        <w:rPr>
          <w:sz w:val="20"/>
          <w:szCs w:val="20"/>
          <w:color w:val="auto"/>
        </w:rPr>
      </w:pPr>
      <w:r>
        <w:rPr>
          <w:rFonts w:ascii="Times New Roman" w:cs="Times New Roman" w:eastAsia="Times New Roman" w:hAnsi="Times New Roman"/>
          <w:sz w:val="18"/>
          <w:szCs w:val="18"/>
          <w:color w:val="auto"/>
        </w:rPr>
        <w:t>We currently expect to spend $25.0 million to $30.0 million on capital expenditures in fiscal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Cash used by financing activities was $23.0 million for the nine months ended January 31, 2026 compared with $25.7 million of cash provided by financing activities for the nine months ended January 31, 2025. Cash used by financing activities during the nine months ended January 31, 2026 was primarily the result of $17.4 million in dividend distributions, and $5.0 million in net repayments under our revolving line of credit. Cash provided by financing activities for the nine months ended January 31, 2025 was primarily the result of $70.0 million of net borrowings, partially offset by $25.5 million of stock repurchases and $17.4 million in dividend distributions. We had no stock repurchases during the nine months ended January 31, 2026.</w:t>
      </w:r>
    </w:p>
    <w:p>
      <w:pPr>
        <w:spacing w:after="0" w:line="1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 We entered into the Second Amended and Restated Credit Agreement on October 3, 2024. The Second Amended and Restated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Agreement provides for a revolving line of credit of $175.0 million at any one time, or the Revolving Line. The Revolving Line bears interest at either the Base Rate (as defined in the Second Amended and Restated Credit Agreement) or the Adjusted Term SOFR rate, plus an applicable margin based on our consolidated leverage ratio. The Second Amended and Restated Credit Agreement also provides a swingline facility in the maximum amount of $5.0 million at any one time (subject to availability under the Revolving Line). Each Swingline Loan (as defined in the Second Amended and Restated Credit Agreement) bears interest at the Base Rate, plus an applicable margin based on our Adjusted Consolidated Leverage Ratio (as defined in the Second Amended and Restated Credit Agreement). Subject to the satisfaction of certain terms and conditions described in the Second Amended and Restated Credit Agreement, we have an option to increase the Revolving Line by an aggregate amount not exceeding $50.0 million. The Revolving Line matures on the earlier of October 3, 2029 or the date that is six months in advance of the earliest maturity of any Permitted Notes (as defined in the Second Amended and Restated Credit Agreement) under the Second Amended and Restated Credit Agreement.</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August 15, 2025, we entered into the First Amendment, which provides for (a) in connection with the calculation of Consolidated Funded Indebtedness (as defined in the Second Amended and Restated Credit Agreement), the exclusion of any Indebtedness (as defined in the Second Amended and Restated Credit Agreement) of the guarantors relating to a particular guaranty; (b) in connection with the calculation of Consolidated Fixed Charge Coverage Ratio (as defined in the Second Amended and Restated Credit Agreement), a one-time exclusion of cash taxes paid by the loan parties during fiscal 2026 in connection with the filing of amended tax returns in fiscal 2026 covering particular periods; and (c) an amendment to the minimum Consolidated Fixed Charge Coverage Ratio for particular measurement periods.</w:t>
      </w:r>
    </w:p>
    <w:p>
      <w:pPr>
        <w:spacing w:after="0" w:line="18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January 31, 2026, we had $75.0 million of borrowings outstanding on the Revolving Line, bearing interest at an average rate of 5.75%, which is equal to the Adjusted Term SOFR rate plus an applicable margin.</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Second Amended and Restated Credit Agreement contains financial covenants relating to maintaining maximum leverage and minimum debt service coverage. We were in compliance with all debt covenants as of January 31, 2026.</w:t>
      </w:r>
    </w:p>
    <w:p>
      <w:pPr>
        <w:spacing w:after="0" w:line="5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Share Repurchase Programs </w:t>
      </w:r>
      <w:r>
        <w:rPr>
          <w:rFonts w:ascii="Times New Roman" w:cs="Times New Roman" w:eastAsia="Times New Roman" w:hAnsi="Times New Roman"/>
          <w:sz w:val="18"/>
          <w:szCs w:val="18"/>
          <w:color w:val="auto"/>
        </w:rPr>
        <w:t>— On September 19, 2023, our Board of Directors authorized the repurchase of up to $50.0 million of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subject to certain conditions, in the open market or in privately negotiated transactions through September 19, 2024, or the 2023 Authorization. During fiscal 2025, we purchased 1,531,763 shares of our common stock for $21.4 million under the 2023 Authorization. The 2023 Authorization expired on September 19, 2024. On September 5, 2024, our Board of Directors authorized the repurchase of up to $50.0 million of our common stock, subject to certain conditions, in the open market or in privately negotiated transactions from September 20, 2024 through September 20, 2025, or the 2024 Authorization. As of January 31, 2026, we had repurchased 312,310 shares of our common stock for $4.1 million under the 2024 Authorization. On September 15, 2025, our Board of Directors authorized the repurchase of up to $50.0 million of our common stock, subject to certain conditions, in the open market or in privately negotiated transactions from September 21, 2025 through September 21, 2026, or the 2025 Authorization. As of January 31, 2026, we had not repurchased any shares of our common stock under the 2025 Authorization.</w:t>
      </w:r>
    </w:p>
    <w:p>
      <w:pPr>
        <w:spacing w:after="0" w:line="19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January 31, 2026, there were no common stock repurchases. During the three months ended January 31, 2025, we repurchased a total of 219,773 shares of our common stock for $2.8 million. During the nine months ended January 31, 2025, we repurchased a total of 1,844,073 shares of our common stock for $25.5 million.</w:t>
      </w:r>
    </w:p>
    <w:p>
      <w:pPr>
        <w:spacing w:after="0" w:line="17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During the three months ended January 31, 2026 our Board of Directors authorized, and we executed, the retirement of 31,677,994 shares of our common stock held in treasury. Upon retirement, these shares were restored to the status of authorized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unissued. As a result, the accumulated cost associated with this stock was allocated to common stock, additional paid-in capital, and retained earnings.</w:t>
      </w:r>
    </w:p>
    <w:p>
      <w:pPr>
        <w:spacing w:after="0" w:line="223" w:lineRule="exact"/>
        <w:rPr>
          <w:sz w:val="20"/>
          <w:szCs w:val="20"/>
          <w:color w:val="auto"/>
        </w:rPr>
      </w:pPr>
    </w:p>
    <w:p>
      <w:pPr>
        <w:jc w:val="both"/>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Dividends — </w:t>
      </w:r>
      <w:r>
        <w:rPr>
          <w:rFonts w:ascii="Times New Roman" w:cs="Times New Roman" w:eastAsia="Times New Roman" w:hAnsi="Times New Roman"/>
          <w:sz w:val="18"/>
          <w:szCs w:val="18"/>
          <w:color w:val="auto"/>
        </w:rPr>
        <w:t>Our Board of Directors has authorized a $0.13 per share quarterly dividend, which will be paid to stockholders of record on March 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with payment to be made on April 2, 2026.</w:t>
      </w:r>
    </w:p>
    <w:p>
      <w:pPr>
        <w:spacing w:after="0" w:line="16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net sales, the timing and extent of spending to support product development efforts, the expansion of sales and marketing activities, the timing of introductions of new products and enhancements to existing products, the costs to ensure access to adequate manufacturing capacity, and costs related to the Relocation. Future equity or debt financing may not be available to us on acceptable terms or at all. If sufficient funds are not available or are not available on acceptable terms, our ability to take advantage of unexpected business opportunities or to respond to competitive pressures could be limited or severely constrained.</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January 31, 2026, we had $18.4 million in cash and cash equivalents on hand. Based upon our current working capital position, current operating plans, and expected business conditions, we believe that our existing capital resources and credit facilities will be adequate to fund our operations for at least the next 12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us to make estimates and assumptions that affect the reported amounts of assets and liabilities at the date of the financial statements and the reported amounts of revenue and expenses during the reporting periods. Significant accounting policies are disclosed in Note 2 of the Notes to the Consolidated Financial Statements in our Fiscal 2025 Annual Report. The most significant areas involving our judgments and estimates are described in Management’s Discussion and Analysis of Financial Condition and Results of Operations in our Fiscal 2025 Annual Report, to which there have been no material changes. Actual results could differ from our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color w:val="auto"/>
        </w:rPr>
        <w:t>The nature and impact of recent accounting pronouncements, if any, are discussed in Note 2—</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xml:space="preserve"> to our condensed consolidated financial statements included elsewhere in this Quarterly Report on Form 10-Q, which is incorporated herein by reference.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period ended January 31, 2026, we did not enter into or transact any forward option contracts nor did we have any forward contracts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Based on this evaluation, our Chief Executive Officer and Chief Financial Officer concluded that, as of January 31, 2026, our disclosure controls and procedures (as defined in Rules 13a-15(e) and 15d-15(e) under the Exchange Act) were effective to ensure that information required to be disclosed by us in reports that we file or submit under the Exchange Act was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April 30, 2025, we identified a material weakness in our internal control over financial reporting, as defined in the standards established by the Sarbanes-Oxley Act of 2002. The material weakness was related to the operation of the control to review the accrual for certain legal expenses. During the nine months ended January 31, 2026, we executed on efforts designed to remediate the identified material weakness. Specifically, we improved the knowledge and experience level of relevant personnel and enhanced the process related to the reconciliation of the accrual for certain legal expenses.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tested and evaluated the implementation of new or revised processes and internal controls, in addition to all other financially relevant processes and internal controls, to ascertain whether they are designed and operating effectively to provide reasonable assurance that they will prevent or detect material errors in our financial statements and have concluded that the material weakness was remediated during our third fiscal quarter of 2026.</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than as stated above, no changes in our internal control over financial reporting (as defined in Rules 13a-15(f) and 15d-15(f) of the Exchange Act) that occurred during our third fiscal quarter of 2026 has materially affected or is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19"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color w:val="auto"/>
        </w:rPr>
        <w:t>The nature of legal proceedings against us is discussed in Note 8</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condensed consolidated financial statements included elsewhere in this Quarterly Report on Form 10-Q, which is incorporated herein by reference.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Investors should carefully review and consider the information regarding certain factors that could materially affect our business, results of operations, financial condition, and cash flows as set forth under Part I, Item 1A “Risk Factors” of our Fiscal 2025 Form 10-K. Additional risks and uncertainties not presently known to us or that we currently believe not to be material may also adversely impact our business, results of operations, financial position, and cash flows. We are aware of no material changes to the Risk Factors discussed in our Fiscal 2025 Form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January 31, 2026, there were no purchases of our common stock by us or any affiliated purchasers within the meaning of Rule 10b-18(a)(3) of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January 31, 2026, none of our directors or officers adopted or terminated a “Rule 10b5-1 trading arrangement” or a “non-Rule 10b5-1 trading arrangement” (in each case, as defined in Item 408 of Regulation S-K).</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exhibits listed on the Index to Exhibits (immediately preceding the signatures section of this Quarterly Report on Form 10-Q) are included herewith or incorporated herein by reference.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0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Principal Executive Officer</w:t>
            </w:r>
          </w:p>
        </w:tc>
        <w:tc>
          <w:tcPr>
            <w:tcW w:w="4860" w:type="dxa"/>
            <w:vAlign w:val="bottom"/>
          </w:tcPr>
          <w:p>
            <w:pPr>
              <w:spacing w:after="0"/>
              <w:rPr>
                <w:sz w:val="17"/>
                <w:szCs w:val="17"/>
                <w:color w:val="auto"/>
              </w:rPr>
            </w:pPr>
          </w:p>
        </w:tc>
      </w:tr>
      <w:tr>
        <w:trPr>
          <w:trHeight w:val="3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Rule 13a-14(a)/15d-14(a) Certification of Principal Financial Officer</w:t>
            </w:r>
          </w:p>
        </w:tc>
      </w:tr>
      <w:tr>
        <w:trPr>
          <w:trHeight w:val="3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Section 1350</w:t>
            </w:r>
          </w:p>
        </w:tc>
        <w:tc>
          <w:tcPr>
            <w:tcW w:w="3160" w:type="dxa"/>
            <w:vAlign w:val="bottom"/>
            <w:tcBorders>
              <w:top w:val="single" w:sz="8" w:color="0000FF"/>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w:t>
            </w:r>
          </w:p>
        </w:tc>
        <w:tc>
          <w:tcPr>
            <w:tcW w:w="840" w:type="dxa"/>
            <w:vAlign w:val="bottom"/>
            <w:tcBorders>
              <w:top w:val="single" w:sz="8" w:color="0000FF"/>
            </w:tcBorders>
          </w:tcPr>
          <w:p>
            <w:pPr>
              <w:spacing w:after="0"/>
              <w:rPr>
                <w:sz w:val="24"/>
                <w:szCs w:val="24"/>
                <w:color w:val="auto"/>
              </w:rPr>
            </w:pPr>
          </w:p>
        </w:tc>
        <w:tc>
          <w:tcPr>
            <w:tcW w:w="4920" w:type="dxa"/>
            <w:vAlign w:val="bottom"/>
            <w:gridSpan w:val="2"/>
          </w:tcPr>
          <w:p>
            <w:pPr>
              <w:spacing w:after="0"/>
              <w:rPr>
                <w:sz w:val="24"/>
                <w:szCs w:val="24"/>
                <w:color w:val="auto"/>
              </w:rPr>
            </w:pPr>
          </w:p>
        </w:tc>
      </w:tr>
      <w:tr>
        <w:trPr>
          <w:trHeight w:val="3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w w:val="99"/>
              </w:rPr>
              <w:t>Section 1350</w:t>
            </w:r>
          </w:p>
        </w:tc>
        <w:tc>
          <w:tcPr>
            <w:tcW w:w="89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Financial Officer</w:t>
            </w:r>
          </w:p>
        </w:tc>
      </w:tr>
      <w:tr>
        <w:trPr>
          <w:trHeight w:val="20"/>
        </w:trPr>
        <w:tc>
          <w:tcPr>
            <w:tcW w:w="1360" w:type="dxa"/>
            <w:vAlign w:val="bottom"/>
          </w:tcPr>
          <w:p>
            <w:pPr>
              <w:spacing w:after="0" w:line="20" w:lineRule="exact"/>
              <w:rPr>
                <w:sz w:val="1"/>
                <w:szCs w:val="1"/>
                <w:color w:val="auto"/>
              </w:rPr>
            </w:pPr>
          </w:p>
        </w:tc>
        <w:tc>
          <w:tcPr>
            <w:tcW w:w="4080" w:type="dxa"/>
            <w:vAlign w:val="bottom"/>
            <w:tcBorders>
              <w:right w:val="single" w:sz="8" w:color="0000EE"/>
            </w:tcBorders>
            <w:gridSpan w:val="2"/>
            <w:shd w:val="clear" w:color="auto" w:fill="0000FF"/>
          </w:tcPr>
          <w:p>
            <w:pPr>
              <w:spacing w:after="0" w:line="20" w:lineRule="exact"/>
              <w:rPr>
                <w:sz w:val="1"/>
                <w:szCs w:val="1"/>
                <w:color w:val="auto"/>
              </w:rPr>
            </w:pPr>
          </w:p>
        </w:tc>
        <w:tc>
          <w:tcPr>
            <w:tcW w:w="5800" w:type="dxa"/>
            <w:vAlign w:val="bottom"/>
            <w:gridSpan w:val="4"/>
          </w:tcPr>
          <w:p>
            <w:pPr>
              <w:spacing w:after="0" w:line="20" w:lineRule="exact"/>
              <w:rPr>
                <w:sz w:val="1"/>
                <w:szCs w:val="1"/>
                <w:color w:val="auto"/>
              </w:rPr>
            </w:pPr>
          </w:p>
        </w:tc>
      </w:tr>
      <w:tr>
        <w:trPr>
          <w:trHeight w:val="34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1360" w:type="dxa"/>
            <w:vAlign w:val="bottom"/>
          </w:tcPr>
          <w:p>
            <w:pPr>
              <w:spacing w:after="0"/>
              <w:rPr>
                <w:sz w:val="20"/>
                <w:szCs w:val="20"/>
                <w:color w:val="auto"/>
              </w:rPr>
            </w:pP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3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103" w:lineRule="exact"/>
        <w:rPr>
          <w:sz w:val="20"/>
          <w:szCs w:val="20"/>
          <w:color w:val="auto"/>
        </w:rPr>
      </w:pPr>
    </w:p>
    <w:p>
      <w:pPr>
        <w:ind w:right="4100" w:firstLine="8"/>
        <w:spacing w:after="0" w:line="673" w:lineRule="auto"/>
        <w:tabs>
          <w:tab w:leader="none" w:pos="135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9" w:name="page30"/>
    <w:bookmarkEnd w:id="2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7720" w:type="dxa"/>
            <w:vAlign w:val="bottom"/>
            <w:gridSpan w:val="2"/>
          </w:tcPr>
          <w:p>
            <w:pPr>
              <w:ind w:left="2980"/>
              <w:spacing w:after="0"/>
              <w:rPr>
                <w:sz w:val="20"/>
                <w:szCs w:val="20"/>
                <w:color w:val="auto"/>
              </w:rPr>
            </w:pPr>
            <w:r>
              <w:rPr>
                <w:rFonts w:ascii="Times New Roman" w:cs="Times New Roman" w:eastAsia="Times New Roman" w:hAnsi="Times New Roman"/>
                <w:sz w:val="18"/>
                <w:szCs w:val="18"/>
                <w:color w:val="auto"/>
              </w:rPr>
              <w:t>SMITH &amp; WESSON BRANDS, INC.</w:t>
            </w:r>
          </w:p>
        </w:tc>
      </w:tr>
      <w:tr>
        <w:trPr>
          <w:trHeight w:val="234"/>
        </w:trPr>
        <w:tc>
          <w:tcPr>
            <w:tcW w:w="3520" w:type="dxa"/>
            <w:vAlign w:val="bottom"/>
          </w:tcPr>
          <w:p>
            <w:pPr>
              <w:spacing w:after="0"/>
              <w:rPr>
                <w:sz w:val="20"/>
                <w:szCs w:val="20"/>
                <w:color w:val="auto"/>
              </w:rPr>
            </w:pPr>
          </w:p>
        </w:tc>
        <w:tc>
          <w:tcPr>
            <w:tcW w:w="7720" w:type="dxa"/>
            <w:vAlign w:val="bottom"/>
            <w:gridSpan w:val="2"/>
          </w:tcPr>
          <w:p>
            <w:pPr>
              <w:ind w:left="2980"/>
              <w:spacing w:after="0"/>
              <w:rPr>
                <w:sz w:val="20"/>
                <w:szCs w:val="20"/>
                <w:color w:val="auto"/>
              </w:rPr>
            </w:pPr>
            <w:r>
              <w:rPr>
                <w:rFonts w:ascii="Times New Roman" w:cs="Times New Roman" w:eastAsia="Times New Roman" w:hAnsi="Times New Roman"/>
                <w:sz w:val="18"/>
                <w:szCs w:val="18"/>
                <w:color w:val="auto"/>
              </w:rPr>
              <w:t>a Nevada corporation</w:t>
            </w:r>
          </w:p>
        </w:tc>
      </w:tr>
      <w:tr>
        <w:trPr>
          <w:trHeight w:val="337"/>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March 5, 2026</w:t>
            </w:r>
          </w:p>
        </w:tc>
        <w:tc>
          <w:tcPr>
            <w:tcW w:w="7720" w:type="dxa"/>
            <w:vAlign w:val="bottom"/>
            <w:gridSpan w:val="2"/>
          </w:tcPr>
          <w:p>
            <w:pPr>
              <w:ind w:left="29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Mark P. Smith</w:t>
            </w:r>
          </w:p>
        </w:tc>
      </w:tr>
      <w:tr>
        <w:trPr>
          <w:trHeight w:val="189"/>
        </w:trPr>
        <w:tc>
          <w:tcPr>
            <w:tcW w:w="35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43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Mark P. Smith</w:t>
            </w:r>
          </w:p>
        </w:tc>
      </w:tr>
      <w:tr>
        <w:trPr>
          <w:trHeight w:val="236"/>
        </w:trPr>
        <w:tc>
          <w:tcPr>
            <w:tcW w:w="35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45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March 5, 2026</w:t>
            </w:r>
          </w:p>
        </w:tc>
        <w:tc>
          <w:tcPr>
            <w:tcW w:w="7720" w:type="dxa"/>
            <w:vAlign w:val="bottom"/>
            <w:gridSpan w:val="2"/>
          </w:tcPr>
          <w:p>
            <w:pPr>
              <w:ind w:left="29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Deana L. McPherson</w:t>
            </w:r>
          </w:p>
        </w:tc>
      </w:tr>
      <w:tr>
        <w:trPr>
          <w:trHeight w:val="189"/>
        </w:trPr>
        <w:tc>
          <w:tcPr>
            <w:tcW w:w="35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43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Deana L. McPherson</w:t>
            </w:r>
          </w:p>
        </w:tc>
      </w:tr>
      <w:tr>
        <w:trPr>
          <w:trHeight w:val="216"/>
        </w:trPr>
        <w:tc>
          <w:tcPr>
            <w:tcW w:w="35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w:t>
            </w:r>
          </w:p>
        </w:tc>
      </w:tr>
      <w:tr>
        <w:trPr>
          <w:trHeight w:val="236"/>
        </w:trPr>
        <w:tc>
          <w:tcPr>
            <w:tcW w:w="35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Treasurer, and Assistant Secretary</w:t>
            </w:r>
          </w:p>
        </w:tc>
      </w:tr>
      <w:tr>
        <w:trPr>
          <w:trHeight w:val="648"/>
        </w:trPr>
        <w:tc>
          <w:tcPr>
            <w:tcW w:w="3520" w:type="dxa"/>
            <w:vAlign w:val="bottom"/>
          </w:tcPr>
          <w:p>
            <w:pPr>
              <w:spacing w:after="0"/>
              <w:rPr>
                <w:sz w:val="24"/>
                <w:szCs w:val="24"/>
                <w:color w:val="auto"/>
              </w:rPr>
            </w:pPr>
          </w:p>
        </w:tc>
        <w:tc>
          <w:tcPr>
            <w:tcW w:w="34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30</w:t>
            </w:r>
          </w:p>
        </w:tc>
        <w:tc>
          <w:tcPr>
            <w:tcW w:w="4300" w:type="dxa"/>
            <w:vAlign w:val="bottom"/>
          </w:tcPr>
          <w:p>
            <w:pPr>
              <w:spacing w:after="0"/>
              <w:rPr>
                <w:sz w:val="24"/>
                <w:szCs w:val="24"/>
                <w:color w:val="auto"/>
              </w:rPr>
            </w:pPr>
          </w:p>
        </w:tc>
      </w:tr>
      <w:tr>
        <w:trPr>
          <w:trHeight w:val="763"/>
        </w:trPr>
        <w:tc>
          <w:tcPr>
            <w:tcW w:w="352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spacing w:after="0" w:line="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P. Smith, certify that:</w:t>
      </w:r>
    </w:p>
    <w:p>
      <w:pPr>
        <w:spacing w:after="0" w:line="117" w:lineRule="exact"/>
        <w:rPr>
          <w:sz w:val="20"/>
          <w:szCs w:val="20"/>
          <w:color w:val="auto"/>
        </w:rPr>
      </w:pPr>
    </w:p>
    <w:p>
      <w:pPr>
        <w:ind w:left="700" w:hanging="183"/>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Smith &amp; Wesson Brands,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60" w:firstLine="517"/>
        <w:spacing w:after="0" w:line="266" w:lineRule="auto"/>
        <w:tabs>
          <w:tab w:leader="none" w:pos="68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firstLine="1026"/>
        <w:spacing w:after="0" w:line="266" w:lineRule="auto"/>
        <w:tabs>
          <w:tab w:leader="none" w:pos="126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1026"/>
        <w:spacing w:after="0" w:line="266" w:lineRule="auto"/>
        <w:tabs>
          <w:tab w:leader="none" w:pos="127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260" w:firstLine="1026"/>
        <w:spacing w:after="0" w:line="282" w:lineRule="auto"/>
        <w:tabs>
          <w:tab w:leader="none" w:pos="126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220" w:firstLine="1026"/>
        <w:spacing w:after="0" w:line="266" w:lineRule="auto"/>
        <w:tabs>
          <w:tab w:leader="none" w:pos="127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0" w:firstLine="517"/>
        <w:spacing w:after="0" w:line="282" w:lineRule="auto"/>
        <w:tabs>
          <w:tab w:leader="none" w:pos="68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480" w:firstLine="1026"/>
        <w:spacing w:after="0" w:line="282" w:lineRule="auto"/>
        <w:tabs>
          <w:tab w:leader="none" w:pos="126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60" w:firstLine="1026"/>
        <w:spacing w:after="0" w:line="282" w:lineRule="auto"/>
        <w:tabs>
          <w:tab w:leader="none" w:pos="127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6640"/>
        <w:spacing w:after="0"/>
        <w:tabs>
          <w:tab w:leader="none" w:pos="7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Mark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18415</wp:posOffset>
            </wp:positionV>
            <wp:extent cx="258889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Mark P. Smith</w:t>
      </w:r>
    </w:p>
    <w:p>
      <w:pPr>
        <w:spacing w:after="0" w:line="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1" w:name="page32"/>
    <w:bookmarkEnd w:id="31"/>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 13a-14(a)/15d-14(a) 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Deana L. McPherson, certify that:</w:t>
      </w:r>
    </w:p>
    <w:p>
      <w:pPr>
        <w:spacing w:after="0" w:line="117" w:lineRule="exact"/>
        <w:rPr>
          <w:sz w:val="20"/>
          <w:szCs w:val="20"/>
          <w:color w:val="auto"/>
        </w:rPr>
      </w:pPr>
    </w:p>
    <w:p>
      <w:pPr>
        <w:ind w:left="700" w:hanging="183"/>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Smith &amp; Wesson Brands,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60" w:firstLine="517"/>
        <w:spacing w:after="0" w:line="266" w:lineRule="auto"/>
        <w:tabs>
          <w:tab w:leader="none" w:pos="68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firstLine="1026"/>
        <w:spacing w:after="0" w:line="266" w:lineRule="auto"/>
        <w:tabs>
          <w:tab w:leader="none" w:pos="126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1026"/>
        <w:spacing w:after="0" w:line="266" w:lineRule="auto"/>
        <w:tabs>
          <w:tab w:leader="none" w:pos="127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260" w:firstLine="1026"/>
        <w:spacing w:after="0" w:line="282" w:lineRule="auto"/>
        <w:tabs>
          <w:tab w:leader="none" w:pos="126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220" w:firstLine="1026"/>
        <w:spacing w:after="0" w:line="266" w:lineRule="auto"/>
        <w:tabs>
          <w:tab w:leader="none" w:pos="127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0" w:firstLine="517"/>
        <w:spacing w:after="0" w:line="282" w:lineRule="auto"/>
        <w:tabs>
          <w:tab w:leader="none" w:pos="68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480" w:firstLine="1026"/>
        <w:spacing w:after="0" w:line="282" w:lineRule="auto"/>
        <w:tabs>
          <w:tab w:leader="none" w:pos="126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60" w:firstLine="1026"/>
        <w:spacing w:after="0" w:line="282" w:lineRule="auto"/>
        <w:tabs>
          <w:tab w:leader="none" w:pos="127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6640"/>
        <w:spacing w:after="0"/>
        <w:tabs>
          <w:tab w:leader="none" w:pos="7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Deana L. McPherson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18415</wp:posOffset>
            </wp:positionV>
            <wp:extent cx="258889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Deana L. McPherson</w:t>
      </w:r>
    </w:p>
    <w:p>
      <w:pPr>
        <w:spacing w:after="0" w:line="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w:t>
      </w:r>
    </w:p>
    <w:p>
      <w:pPr>
        <w:spacing w:after="0" w:line="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i w:val="1"/>
          <w:iCs w:val="1"/>
          <w:color w:val="auto"/>
        </w:rPr>
        <w:t>Treasurer, and Assistant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2" w:name="page33"/>
    <w:bookmarkEnd w:id="32"/>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8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Smith &amp; Wesson Brands, Inc. (the “Company”) for the quarterly period ended January 31, 2026 as filed with the Securities and Exchange Commission on the date hereof (the “Report”), I, Mark P. Smith, President and Chief Executive Officer of the Company, certify, to the best of my knowledge and belief, pursuant to 18 U.S.C. § 1350, as adopted pursuant to § 906 of the Sarbanes-Oxley Act of 2002, that:</w:t>
      </w:r>
    </w:p>
    <w:p>
      <w:pPr>
        <w:spacing w:after="0" w:line="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 The Report fully complies with the requirements of Section 13(a) or 15(d), as applicable, of the Securities Exchange Act of 1934,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w:t>
      </w:r>
    </w:p>
    <w:p>
      <w:pPr>
        <w:spacing w:after="0" w:line="9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32" w:lineRule="exact"/>
        <w:rPr>
          <w:sz w:val="20"/>
          <w:szCs w:val="20"/>
          <w:color w:val="auto"/>
        </w:rPr>
      </w:pPr>
    </w:p>
    <w:p>
      <w:pPr>
        <w:ind w:left="6640"/>
        <w:spacing w:after="0"/>
        <w:tabs>
          <w:tab w:leader="none" w:pos="7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Mark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18415</wp:posOffset>
            </wp:positionV>
            <wp:extent cx="258889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Mark P. Smith</w:t>
      </w:r>
    </w:p>
    <w:p>
      <w:pPr>
        <w:spacing w:after="0" w:line="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5, 2026</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on Form 10-Q to which it relates, is not deemed filed with the Securities and Exchange Commission, and is not to be incorporated by reference into any filing of Smith &amp; Wesson Brands, Inc. under the Securities Act of 1933, as amended, or the Securities Exchange Act of 1934, as amended (whether made before or after the date of the Quarterly Report on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3" w:name="page34"/>
    <w:bookmarkEnd w:id="33"/>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 AS ADOPTED PURSUANT TO SECTION 906 OF THE SARBANES-OXLEY ACT OF 2002</w:t>
      </w:r>
    </w:p>
    <w:p>
      <w:pPr>
        <w:spacing w:after="0" w:line="18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Smith &amp; Wesson Brands, Inc. (the “Company”) for the quarterly period ended January 31, 2026 as filed with the Securities and Exchange Commission on the date hereof (the “Report”), I, Deana L. McPherson, Executive Vice President, Chief Financial Officer, Treasurer, and Assistant Secretary of the Company, certify, to the best of my knowledge and belief, pursuant to 18 U.S.C. § 1350, as adopted pursuant to § 906 of the Sarbanes-Oxley Act of 2002, that:</w:t>
      </w:r>
    </w:p>
    <w:p>
      <w:pPr>
        <w:spacing w:after="0" w:line="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 The Report fully complies with the requirements of Section 13(a) or 15(d), as applicable, of the Securities Exchange Act of 1934,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w:t>
      </w:r>
    </w:p>
    <w:p>
      <w:pPr>
        <w:spacing w:after="0" w:line="9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32" w:lineRule="exact"/>
        <w:rPr>
          <w:sz w:val="20"/>
          <w:szCs w:val="20"/>
          <w:color w:val="auto"/>
        </w:rPr>
      </w:pPr>
    </w:p>
    <w:p>
      <w:pPr>
        <w:ind w:left="6640"/>
        <w:spacing w:after="0"/>
        <w:tabs>
          <w:tab w:leader="none" w:pos="7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Deana L. McPherson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18415</wp:posOffset>
            </wp:positionV>
            <wp:extent cx="258889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Deana L. McPherson</w:t>
      </w:r>
    </w:p>
    <w:p>
      <w:pPr>
        <w:spacing w:after="0" w:line="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Treasurer, and Assistant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5, 2026</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on Form 10-Q to which it relates, is not deemed filed with the Securities and Exchange Commission, and is not to be incorporated by reference into any filing of Smith &amp; Wesson Brands, Inc. under the Securities Act of 1933, as amended, or the Securities Exchange Act of 1934, as amended (whether made before or after the date of the Quarterly Report on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04"/>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2026-03-05T15:27:12Z</dcterms:created>
  <dcterms:modified xsi:type="dcterms:W3CDTF">2026-03-05T15:27:12Z</dcterms:modified>
</cp:coreProperties>
</file>