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JDH Capital I,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10/21/2026</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1111 TRAVIS ST.,</w:t>
            </w:r>
          </w:p>
        </w:tc>
        <w:tc>
          <w:tcPr>
            <w:tcW w:w="130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SMITH &amp; WESSON BRANDS,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SWBI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20" w:type="dxa"/>
            <w:vAlign w:val="bottom"/>
          </w:tcPr>
          <w:p>
            <w:pPr>
              <w:ind w:left="60"/>
              <w:spacing w:after="0"/>
              <w:rPr>
                <w:sz w:val="20"/>
                <w:szCs w:val="20"/>
                <w:color w:val="auto"/>
              </w:rPr>
            </w:pPr>
            <w:r>
              <w:rPr>
                <w:rFonts w:ascii="Arial" w:cs="Arial" w:eastAsia="Arial" w:hAnsi="Arial"/>
                <w:sz w:val="15"/>
                <w:szCs w:val="15"/>
                <w:color w:val="auto"/>
              </w:rPr>
              <w:t>5.</w:t>
            </w:r>
          </w:p>
        </w:tc>
        <w:tc>
          <w:tcPr>
            <w:tcW w:w="2500" w:type="dxa"/>
            <w:vAlign w:val="bottom"/>
          </w:tcPr>
          <w:p>
            <w:pPr>
              <w:ind w:left="2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60"/>
        </w:trPr>
        <w:tc>
          <w:tcPr>
            <w:tcW w:w="1740" w:type="dxa"/>
            <w:vAlign w:val="bottom"/>
          </w:tcPr>
          <w:p>
            <w:pPr>
              <w:spacing w:after="0" w:line="130" w:lineRule="exact"/>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5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520"/>
              <w:spacing w:after="0"/>
              <w:rPr>
                <w:sz w:val="20"/>
                <w:szCs w:val="20"/>
                <w:color w:val="auto"/>
              </w:rPr>
            </w:pPr>
            <w:r>
              <w:rPr>
                <w:rFonts w:ascii="Arial" w:cs="Arial" w:eastAsia="Arial" w:hAnsi="Arial"/>
                <w:sz w:val="15"/>
                <w:szCs w:val="15"/>
                <w:color w:val="auto"/>
              </w:rPr>
              <w:t>Director</w:t>
            </w:r>
          </w:p>
        </w:tc>
        <w:tc>
          <w:tcPr>
            <w:tcW w:w="1460" w:type="dxa"/>
            <w:vAlign w:val="bottom"/>
          </w:tcPr>
          <w:p>
            <w:pPr>
              <w:ind w:left="320"/>
              <w:spacing w:after="0"/>
              <w:rPr>
                <w:sz w:val="20"/>
                <w:szCs w:val="20"/>
                <w:color w:val="auto"/>
              </w:rPr>
            </w:pPr>
            <w:r>
              <w:rPr>
                <w:rFonts w:ascii="Arial" w:cs="Arial" w:eastAsia="Arial" w:hAnsi="Arial"/>
                <w:sz w:val="15"/>
                <w:szCs w:val="15"/>
                <w:color w:val="auto"/>
              </w:rPr>
              <w:t>10% Owner</w:t>
            </w:r>
          </w:p>
        </w:tc>
        <w:tc>
          <w:tcPr>
            <w:tcW w:w="220" w:type="dxa"/>
            <w:vAlign w:val="bottom"/>
          </w:tcPr>
          <w:p>
            <w:pPr>
              <w:ind w:left="60"/>
              <w:spacing w:after="0"/>
              <w:rPr>
                <w:sz w:val="20"/>
                <w:szCs w:val="20"/>
                <w:color w:val="auto"/>
              </w:rPr>
            </w:pPr>
            <w:r>
              <w:rPr>
                <w:rFonts w:ascii="Arial" w:cs="Arial" w:eastAsia="Arial" w:hAnsi="Arial"/>
                <w:sz w:val="15"/>
                <w:szCs w:val="15"/>
                <w:color w:val="auto"/>
              </w:rPr>
              <w:t>6.</w:t>
            </w:r>
          </w:p>
        </w:tc>
        <w:tc>
          <w:tcPr>
            <w:tcW w:w="2500" w:type="dxa"/>
            <w:vAlign w:val="bottom"/>
          </w:tcPr>
          <w:p>
            <w:pPr>
              <w:ind w:left="2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198"/>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720" w:type="dxa"/>
            <w:vAlign w:val="bottom"/>
            <w:gridSpan w:val="2"/>
          </w:tcPr>
          <w:p>
            <w:pPr>
              <w:ind w:left="60"/>
              <w:spacing w:after="0"/>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72"/>
        </w:trPr>
        <w:tc>
          <w:tcPr>
            <w:tcW w:w="17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500" w:type="dxa"/>
            <w:vAlign w:val="bottom"/>
            <w:vMerge w:val="restart"/>
          </w:tcPr>
          <w:p>
            <w:pPr>
              <w:ind w:left="30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105"/>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below)</w:t>
            </w:r>
          </w:p>
        </w:tc>
        <w:tc>
          <w:tcPr>
            <w:tcW w:w="2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7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vMerge w:val="restart"/>
          </w:tcPr>
          <w:p>
            <w:pPr>
              <w:ind w:left="30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r>
        <w:trPr>
          <w:trHeight w:val="105"/>
        </w:trPr>
        <w:tc>
          <w:tcPr>
            <w:tcW w:w="1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372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8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8,993,968</w:t>
            </w:r>
          </w:p>
        </w:tc>
        <w:tc>
          <w:tcPr>
            <w:tcW w:w="100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JDH Capital I, L.P.</w:t>
              </w:r>
            </w:hyperlink>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1111 TRAVIS ST.,</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77002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JDH Capital Co</w:t>
              </w:r>
            </w:hyperlink>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1111 TRAVIS ST.,</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77002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Hildebrand Enterprises Co</w:t>
        </w:r>
      </w:hyperlink>
    </w:p>
    <w:p>
      <w:pPr>
        <w:sectPr>
          <w:pgSz w:w="11900" w:h="16838" w:orient="portrait"/>
          <w:cols w:equalWidth="0" w:num="1">
            <w:col w:w="10940"/>
          </w:cols>
          <w:pgMar w:left="480" w:top="230" w:right="479" w:bottom="0" w:gutter="0" w:footer="0" w:header="0"/>
          <w:type w:val="continuous"/>
        </w:sectPr>
      </w:pPr>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20"/>
        <w:spacing w:after="0"/>
        <w:rPr>
          <w:sz w:val="20"/>
          <w:szCs w:val="20"/>
          <w:color w:val="auto"/>
        </w:rPr>
      </w:pPr>
      <w:r>
        <w:rPr>
          <w:rFonts w:ascii="Times New Roman" w:cs="Times New Roman" w:eastAsia="Times New Roman" w:hAnsi="Times New Roman"/>
          <w:sz w:val="20"/>
          <w:szCs w:val="20"/>
          <w:color w:val="0000FF"/>
        </w:rPr>
        <w:t>1111 TRAVIS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-135255</wp:posOffset>
            </wp:positionV>
            <wp:extent cx="2798445" cy="4824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4824730"/>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0000FF"/>
              </w:rPr>
              <w:t>TX</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24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4"/>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Hildebrand Jeffery D</w:t>
              </w:r>
            </w:hyperlink>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24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1111 TRAVIS ST.,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6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0000FF"/>
              </w:rPr>
              <w:t>TX</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24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4"/>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Hildebrand Melinda B</w:t>
              </w:r>
            </w:hyperlink>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24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1111 TRAVIS ST.,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9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6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0000FF"/>
              </w:rPr>
              <w:t>TX</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24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180" w:firstLine="5"/>
        <w:spacing w:after="0" w:line="239" w:lineRule="auto"/>
        <w:tabs>
          <w:tab w:leader="none" w:pos="17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JDH Capital I, L.P. JDH Capital Company is the general partner of JDH Capital I, L.P. JDH Capital Company is wholly owned by Hildebrand Enterprises Company. Hildebrand Enterprises Company is wholly owned by Jeffery D. Hildebrand and Melinda B. Hildebrand. Accordingly, each of the foregoing entities and persons may be deemed to share beneficial ownership of the securities held of record by JDH Capital I, L.P. Each of them disclaims any such beneficial ownership except to the extent of their pecuniary interest therein, if any.</w:t>
      </w:r>
    </w:p>
    <w:p>
      <w:pPr>
        <w:sectPr>
          <w:pgSz w:w="11900" w:h="16838" w:orient="portrait"/>
          <w:cols w:equalWidth="0" w:num="1">
            <w:col w:w="10840"/>
          </w:cols>
          <w:pgMar w:left="500" w:top="124" w:right="559" w:bottom="1440" w:gutter="0" w:footer="0" w:header="0"/>
        </w:sectPr>
      </w:pPr>
    </w:p>
    <w:p>
      <w:pPr>
        <w:spacing w:after="0" w:line="6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JDH Capital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8364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JDH Capital Company,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921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29921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459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16459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Michael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255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82550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615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JDH Capital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5125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5125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By: /s/ Michael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8364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615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Hildebrand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4554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Company, By: /s/ 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9982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9982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Derivaux,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4142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4142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8600" w:space="140"/>
            <w:col w:w="2100"/>
          </w:cols>
          <w:pgMar w:left="500" w:top="124" w:right="559" w:bottom="1440" w:gutter="0" w:footer="0" w:header="0"/>
          <w:type w:val="continuous"/>
        </w:sectPr>
      </w:pPr>
    </w:p>
    <w:tbl>
      <w:tblPr>
        <w:tblLayout w:type="fixed"/>
        <w:tblInd w:w="656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Jeffery D. Hildebrand</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10/28/2026</w:t>
            </w:r>
          </w:p>
        </w:tc>
      </w:tr>
      <w:tr>
        <w:trPr>
          <w:trHeight w:val="20"/>
        </w:trPr>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80"/>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Melinda B. Hildebrand</w:t>
            </w:r>
          </w:p>
        </w:tc>
        <w:tc>
          <w:tcPr>
            <w:tcW w:w="14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10/28/2026</w:t>
            </w:r>
          </w:p>
        </w:tc>
      </w:tr>
    </w:tbl>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60" w:firstLine="5"/>
        <w:spacing w:after="0" w:line="335" w:lineRule="auto"/>
        <w:tabs>
          <w:tab w:leader="none" w:pos="17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10" Type="http://schemas.openxmlformats.org/officeDocument/2006/relationships/hyperlink" Target="http://www.sec.gov/cgi-bin/browse-edgar?action=getcompany&amp;CIK=0002162355" TargetMode="External"/><Relationship Id="rId11" Type="http://schemas.openxmlformats.org/officeDocument/2006/relationships/hyperlink" Target="http://www.sec.gov/cgi-bin/browse-edgar?action=getcompany&amp;CIK=0001092796" TargetMode="External"/><Relationship Id="rId12" Type="http://schemas.openxmlformats.org/officeDocument/2006/relationships/hyperlink" Target="http://www.sec.gov/cgi-bin/browse-edgar?action=getcompany&amp;CIK=0001783559" TargetMode="External"/><Relationship Id="rId13" Type="http://schemas.openxmlformats.org/officeDocument/2006/relationships/hyperlink" Target="http://www.sec.gov/cgi-bin/browse-edgar?action=getcompany&amp;CIK=0001783561" TargetMode="External"/><Relationship Id="rId15" Type="http://schemas.openxmlformats.org/officeDocument/2006/relationships/hyperlink" Target="http://www.sec.gov/cgi-bin/browse-edgar?action=getcompany&amp;CIK=0001783513" TargetMode="External"/><Relationship Id="rId16" Type="http://schemas.openxmlformats.org/officeDocument/2006/relationships/hyperlink" Target="http://www.sec.gov/cgi-bin/browse-edgar?action=getcompany&amp;CIK=00017835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2026-10-28T16:30:05Z</dcterms:created>
  <dcterms:modified xsi:type="dcterms:W3CDTF">2026-10-28T16:30:05Z</dcterms:modified>
</cp:coreProperties>
</file>