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8"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31"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January 31, 2021</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No. 001-31552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200025</wp:posOffset>
            </wp:positionV>
            <wp:extent cx="2554605" cy="582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5460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Smith &amp; Wesson Brands,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5" w:lineRule="exact"/>
        <w:rPr>
          <w:sz w:val="24"/>
          <w:szCs w:val="24"/>
          <w:color w:val="auto"/>
        </w:rPr>
      </w:pPr>
    </w:p>
    <w:tbl>
      <w:tblPr>
        <w:tblLayout w:type="fixed"/>
        <w:tblInd w:w="520" w:type="dxa"/>
        <w:tblCellMar>
          <w:top w:w="0" w:type="dxa"/>
          <w:left w:w="0" w:type="dxa"/>
          <w:bottom w:w="0" w:type="dxa"/>
          <w:right w:w="0" w:type="dxa"/>
        </w:tblCellMar>
      </w:tblPr>
      <w:tr>
        <w:trPr>
          <w:trHeight w:val="214"/>
        </w:trPr>
        <w:tc>
          <w:tcPr>
            <w:tcW w:w="3460" w:type="dxa"/>
            <w:vAlign w:val="bottom"/>
          </w:tcPr>
          <w:p>
            <w:pPr>
              <w:jc w:val="center"/>
              <w:ind w:left="958"/>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0" w:type="dxa"/>
            <w:vAlign w:val="bottom"/>
          </w:tcPr>
          <w:p>
            <w:pPr>
              <w:jc w:val="right"/>
              <w:ind w:right="1780"/>
              <w:spacing w:after="0"/>
              <w:rPr>
                <w:sz w:val="20"/>
                <w:szCs w:val="20"/>
                <w:color w:val="auto"/>
              </w:rPr>
            </w:pPr>
            <w:r>
              <w:rPr>
                <w:rFonts w:ascii="Times New Roman" w:cs="Times New Roman" w:eastAsia="Times New Roman" w:hAnsi="Times New Roman"/>
                <w:sz w:val="18"/>
                <w:szCs w:val="18"/>
                <w:b w:val="1"/>
                <w:bCs w:val="1"/>
                <w:color w:val="auto"/>
              </w:rPr>
              <w:t>87-0543688</w:t>
            </w:r>
          </w:p>
        </w:tc>
      </w:tr>
      <w:tr>
        <w:trPr>
          <w:trHeight w:val="149"/>
        </w:trPr>
        <w:tc>
          <w:tcPr>
            <w:tcW w:w="3460" w:type="dxa"/>
            <w:vAlign w:val="bottom"/>
          </w:tcPr>
          <w:p>
            <w:pPr>
              <w:jc w:val="center"/>
              <w:ind w:left="93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0" w:type="dxa"/>
            <w:vAlign w:val="bottom"/>
          </w:tcPr>
          <w:p>
            <w:pPr>
              <w:jc w:val="center"/>
              <w:ind w:right="128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460" w:type="dxa"/>
            <w:vAlign w:val="bottom"/>
          </w:tcPr>
          <w:p>
            <w:pPr>
              <w:jc w:val="center"/>
              <w:ind w:left="93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0" w:type="dxa"/>
            <w:vAlign w:val="bottom"/>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3460" w:type="dxa"/>
            <w:vAlign w:val="bottom"/>
          </w:tcPr>
          <w:p>
            <w:pPr>
              <w:jc w:val="center"/>
              <w:ind w:left="938"/>
              <w:spacing w:after="0"/>
              <w:rPr>
                <w:sz w:val="20"/>
                <w:szCs w:val="20"/>
                <w:color w:val="auto"/>
              </w:rPr>
            </w:pPr>
            <w:r>
              <w:rPr>
                <w:rFonts w:ascii="Times New Roman" w:cs="Times New Roman" w:eastAsia="Times New Roman" w:hAnsi="Times New Roman"/>
                <w:sz w:val="18"/>
                <w:szCs w:val="18"/>
                <w:b w:val="1"/>
                <w:bCs w:val="1"/>
                <w:color w:val="auto"/>
                <w:w w:val="99"/>
              </w:rPr>
              <w:t>2100 Roosevelt Avenue</w:t>
            </w:r>
          </w:p>
        </w:tc>
        <w:tc>
          <w:tcPr>
            <w:tcW w:w="5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14"/>
        </w:trPr>
        <w:tc>
          <w:tcPr>
            <w:tcW w:w="3460" w:type="dxa"/>
            <w:vAlign w:val="bottom"/>
          </w:tcPr>
          <w:p>
            <w:pPr>
              <w:jc w:val="center"/>
              <w:ind w:left="958"/>
              <w:spacing w:after="0"/>
              <w:rPr>
                <w:sz w:val="20"/>
                <w:szCs w:val="20"/>
                <w:color w:val="auto"/>
              </w:rPr>
            </w:pPr>
            <w:r>
              <w:rPr>
                <w:rFonts w:ascii="Times New Roman" w:cs="Times New Roman" w:eastAsia="Times New Roman" w:hAnsi="Times New Roman"/>
                <w:sz w:val="18"/>
                <w:szCs w:val="18"/>
                <w:b w:val="1"/>
                <w:bCs w:val="1"/>
                <w:color w:val="auto"/>
                <w:w w:val="99"/>
              </w:rPr>
              <w:t>Springfield, Massachusetts</w:t>
            </w:r>
          </w:p>
        </w:tc>
        <w:tc>
          <w:tcPr>
            <w:tcW w:w="5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0" w:type="dxa"/>
            <w:vAlign w:val="bottom"/>
          </w:tcPr>
          <w:p>
            <w:pPr>
              <w:jc w:val="right"/>
              <w:ind w:right="1980"/>
              <w:spacing w:after="0"/>
              <w:rPr>
                <w:sz w:val="20"/>
                <w:szCs w:val="20"/>
                <w:color w:val="auto"/>
              </w:rPr>
            </w:pPr>
            <w:r>
              <w:rPr>
                <w:rFonts w:ascii="Times New Roman" w:cs="Times New Roman" w:eastAsia="Times New Roman" w:hAnsi="Times New Roman"/>
                <w:sz w:val="18"/>
                <w:szCs w:val="18"/>
                <w:b w:val="1"/>
                <w:bCs w:val="1"/>
                <w:color w:val="auto"/>
              </w:rPr>
              <w:t>01104</w:t>
            </w:r>
          </w:p>
        </w:tc>
      </w:tr>
      <w:tr>
        <w:trPr>
          <w:trHeight w:val="190"/>
        </w:trPr>
        <w:tc>
          <w:tcPr>
            <w:tcW w:w="3460" w:type="dxa"/>
            <w:vAlign w:val="bottom"/>
          </w:tcPr>
          <w:p>
            <w:pPr>
              <w:jc w:val="center"/>
              <w:ind w:left="9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0" w:type="dxa"/>
            <w:vAlign w:val="bottom"/>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2"/>
        </w:trPr>
        <w:tc>
          <w:tcPr>
            <w:tcW w:w="3460" w:type="dxa"/>
            <w:vAlign w:val="bottom"/>
          </w:tcPr>
          <w:p>
            <w:pPr>
              <w:spacing w:after="0"/>
              <w:rPr>
                <w:sz w:val="24"/>
                <w:szCs w:val="24"/>
                <w:color w:val="auto"/>
              </w:rPr>
            </w:pPr>
          </w:p>
        </w:tc>
        <w:tc>
          <w:tcPr>
            <w:tcW w:w="2760" w:type="dxa"/>
            <w:vAlign w:val="bottom"/>
            <w:gridSpan w:val="2"/>
          </w:tcPr>
          <w:p>
            <w:pPr>
              <w:jc w:val="center"/>
              <w:ind w:left="439"/>
              <w:spacing w:after="0"/>
              <w:rPr>
                <w:sz w:val="20"/>
                <w:szCs w:val="20"/>
                <w:color w:val="auto"/>
              </w:rPr>
            </w:pPr>
            <w:r>
              <w:rPr>
                <w:rFonts w:ascii="Times New Roman" w:cs="Times New Roman" w:eastAsia="Times New Roman" w:hAnsi="Times New Roman"/>
                <w:sz w:val="18"/>
                <w:szCs w:val="18"/>
                <w:b w:val="1"/>
                <w:bCs w:val="1"/>
                <w:color w:val="auto"/>
                <w:w w:val="99"/>
              </w:rPr>
              <w:t>(800) 331-0852</w:t>
            </w:r>
          </w:p>
        </w:tc>
        <w:tc>
          <w:tcPr>
            <w:tcW w:w="8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190"/>
        </w:trPr>
        <w:tc>
          <w:tcPr>
            <w:tcW w:w="3460" w:type="dxa"/>
            <w:vAlign w:val="bottom"/>
          </w:tcPr>
          <w:p>
            <w:pPr>
              <w:spacing w:after="0"/>
              <w:rPr>
                <w:sz w:val="16"/>
                <w:szCs w:val="16"/>
                <w:color w:val="auto"/>
              </w:rPr>
            </w:pPr>
          </w:p>
        </w:tc>
        <w:tc>
          <w:tcPr>
            <w:tcW w:w="36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200" w:type="dxa"/>
            <w:vAlign w:val="bottom"/>
          </w:tcPr>
          <w:p>
            <w:pPr>
              <w:spacing w:after="0"/>
              <w:rPr>
                <w:sz w:val="16"/>
                <w:szCs w:val="16"/>
                <w:color w:val="auto"/>
              </w:rPr>
            </w:pPr>
          </w:p>
        </w:tc>
      </w:tr>
      <w:tr>
        <w:trPr>
          <w:trHeight w:val="131"/>
        </w:trPr>
        <w:tc>
          <w:tcPr>
            <w:tcW w:w="3980" w:type="dxa"/>
            <w:vAlign w:val="bottom"/>
            <w:gridSpan w:val="2"/>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3200" w:type="dxa"/>
            <w:vAlign w:val="bottom"/>
          </w:tcPr>
          <w:p>
            <w:pPr>
              <w:spacing w:after="0"/>
              <w:rPr>
                <w:sz w:val="11"/>
                <w:szCs w:val="11"/>
                <w:color w:val="auto"/>
              </w:rPr>
            </w:pPr>
          </w:p>
        </w:tc>
      </w:tr>
      <w:tr>
        <w:trPr>
          <w:trHeight w:val="318"/>
        </w:trPr>
        <w:tc>
          <w:tcPr>
            <w:tcW w:w="7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200" w:type="dxa"/>
            <w:vAlign w:val="bottom"/>
          </w:tcPr>
          <w:p>
            <w:pPr>
              <w:spacing w:after="0"/>
              <w:rPr>
                <w:sz w:val="24"/>
                <w:szCs w:val="24"/>
                <w:color w:val="auto"/>
              </w:rPr>
            </w:pPr>
          </w:p>
        </w:tc>
      </w:tr>
      <w:tr>
        <w:trPr>
          <w:trHeight w:val="315"/>
        </w:trPr>
        <w:tc>
          <w:tcPr>
            <w:tcW w:w="3460" w:type="dxa"/>
            <w:vAlign w:val="bottom"/>
          </w:tcPr>
          <w:p>
            <w:pPr>
              <w:jc w:val="center"/>
              <w:ind w:right="638"/>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520" w:type="dxa"/>
            <w:vAlign w:val="bottom"/>
          </w:tcPr>
          <w:p>
            <w:pPr>
              <w:spacing w:after="0"/>
              <w:rPr>
                <w:sz w:val="24"/>
                <w:szCs w:val="24"/>
                <w:color w:val="auto"/>
              </w:rPr>
            </w:pPr>
          </w:p>
        </w:tc>
        <w:tc>
          <w:tcPr>
            <w:tcW w:w="30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rPr>
              <w:t>Trading Symbol</w:t>
            </w:r>
          </w:p>
        </w:tc>
        <w:tc>
          <w:tcPr>
            <w:tcW w:w="3200" w:type="dxa"/>
            <w:vAlign w:val="bottom"/>
          </w:tcPr>
          <w:p>
            <w:pPr>
              <w:jc w:val="center"/>
              <w:ind w:left="300"/>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188"/>
        </w:trPr>
        <w:tc>
          <w:tcPr>
            <w:tcW w:w="3460" w:type="dxa"/>
            <w:vAlign w:val="bottom"/>
          </w:tcPr>
          <w:p>
            <w:pPr>
              <w:jc w:val="center"/>
              <w:ind w:right="638"/>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520" w:type="dxa"/>
            <w:vAlign w:val="bottom"/>
          </w:tcPr>
          <w:p>
            <w:pPr>
              <w:spacing w:after="0"/>
              <w:rPr>
                <w:sz w:val="16"/>
                <w:szCs w:val="16"/>
                <w:color w:val="auto"/>
              </w:rPr>
            </w:pPr>
          </w:p>
        </w:tc>
        <w:tc>
          <w:tcPr>
            <w:tcW w:w="308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color w:val="auto"/>
              </w:rPr>
              <w:t>SWBI</w:t>
            </w:r>
          </w:p>
        </w:tc>
        <w:tc>
          <w:tcPr>
            <w:tcW w:w="3200" w:type="dxa"/>
            <w:vAlign w:val="bottom"/>
          </w:tcPr>
          <w:p>
            <w:pPr>
              <w:jc w:val="center"/>
              <w:ind w:left="300"/>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86" w:lineRule="exact"/>
        <w:rPr>
          <w:sz w:val="24"/>
          <w:szCs w:val="24"/>
          <w:color w:val="auto"/>
        </w:rPr>
      </w:pPr>
    </w:p>
    <w:p>
      <w:pPr>
        <w:jc w:val="both"/>
        <w:ind w:right="40" w:firstLine="51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right="20" w:firstLine="51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7"/>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83" w:lineRule="exact"/>
        <w:rPr>
          <w:sz w:val="24"/>
          <w:szCs w:val="24"/>
          <w:color w:val="auto"/>
        </w:rPr>
      </w:pPr>
    </w:p>
    <w:p>
      <w:pPr>
        <w:ind w:firstLine="51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520" w:right="120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registrant had 53,249,177 shares of common stock, par value $0.001, outstanding as of March 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00"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SMITH &amp; WESSON BRANDS, INC.</w:t>
            </w:r>
          </w:p>
        </w:tc>
        <w:tc>
          <w:tcPr>
            <w:tcW w:w="1620" w:type="dxa"/>
            <w:vAlign w:val="bottom"/>
          </w:tcPr>
          <w:p>
            <w:pPr>
              <w:spacing w:after="0"/>
              <w:rPr>
                <w:sz w:val="20"/>
                <w:szCs w:val="20"/>
                <w:color w:val="auto"/>
              </w:rPr>
            </w:pPr>
          </w:p>
        </w:tc>
      </w:tr>
      <w:tr>
        <w:trPr>
          <w:trHeight w:val="410"/>
        </w:trPr>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w:t>
            </w:r>
          </w:p>
        </w:tc>
        <w:tc>
          <w:tcPr>
            <w:tcW w:w="1620" w:type="dxa"/>
            <w:vAlign w:val="bottom"/>
          </w:tcPr>
          <w:p>
            <w:pPr>
              <w:spacing w:after="0"/>
              <w:rPr>
                <w:sz w:val="24"/>
                <w:szCs w:val="24"/>
                <w:color w:val="auto"/>
              </w:rPr>
            </w:pPr>
          </w:p>
        </w:tc>
      </w:tr>
      <w:tr>
        <w:trPr>
          <w:trHeight w:val="238"/>
        </w:trPr>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For the Three and Nine Months Ended January 31, 2021 and 2020</w:t>
            </w:r>
          </w:p>
        </w:tc>
        <w:tc>
          <w:tcPr>
            <w:tcW w:w="1620" w:type="dxa"/>
            <w:vAlign w:val="bottom"/>
          </w:tcPr>
          <w:p>
            <w:pPr>
              <w:spacing w:after="0"/>
              <w:rPr>
                <w:sz w:val="20"/>
                <w:szCs w:val="20"/>
                <w:color w:val="auto"/>
              </w:rPr>
            </w:pPr>
          </w:p>
        </w:tc>
      </w:tr>
      <w:tr>
        <w:trPr>
          <w:trHeight w:val="459"/>
        </w:trPr>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620" w:type="dxa"/>
            <w:vAlign w:val="bottom"/>
          </w:tcPr>
          <w:p>
            <w:pPr>
              <w:spacing w:after="0"/>
              <w:rPr>
                <w:sz w:val="24"/>
                <w:szCs w:val="24"/>
                <w:color w:val="auto"/>
              </w:rPr>
            </w:pPr>
          </w:p>
        </w:tc>
      </w:tr>
      <w:tr>
        <w:trPr>
          <w:trHeight w:val="441"/>
        </w:trPr>
        <w:tc>
          <w:tcPr>
            <w:tcW w:w="9620" w:type="dxa"/>
            <w:vAlign w:val="bottom"/>
            <w:gridSpan w:val="3"/>
          </w:tcPr>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PART I - FINANCIAL INFORMATION</w:t>
              </w:r>
            </w:hyperlink>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40" w:type="dxa"/>
            <w:vAlign w:val="bottom"/>
          </w:tcPr>
          <w:p>
            <w:pPr>
              <w:jc w:val="right"/>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Item</w:t>
              </w:r>
            </w:hyperlink>
          </w:p>
        </w:tc>
        <w:tc>
          <w:tcPr>
            <w:tcW w:w="180" w:type="dxa"/>
            <w:vAlign w:val="bottom"/>
          </w:tcPr>
          <w:p>
            <w:pPr>
              <w:jc w:val="right"/>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1.</w:t>
              </w:r>
            </w:hyperlink>
          </w:p>
        </w:tc>
        <w:tc>
          <w:tcPr>
            <w:tcW w:w="8800" w:type="dxa"/>
            <w:vAlign w:val="bottom"/>
          </w:tcPr>
          <w:p>
            <w:pPr>
              <w:ind w:left="2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Financial Statements (Unaudited)</w:t>
              </w:r>
            </w:hyperlink>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40" w:type="dxa"/>
            <w:vAlign w:val="bottom"/>
          </w:tcPr>
          <w:p>
            <w:pPr>
              <w:jc w:val="right"/>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Item</w:t>
              </w:r>
            </w:hyperlink>
          </w:p>
        </w:tc>
        <w:tc>
          <w:tcPr>
            <w:tcW w:w="180" w:type="dxa"/>
            <w:vAlign w:val="bottom"/>
          </w:tcPr>
          <w:p>
            <w:pPr>
              <w:jc w:val="right"/>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2.</w:t>
              </w:r>
            </w:hyperlink>
          </w:p>
        </w:tc>
        <w:tc>
          <w:tcPr>
            <w:tcW w:w="8800" w:type="dxa"/>
            <w:vAlign w:val="bottom"/>
          </w:tcPr>
          <w:p>
            <w:pPr>
              <w:ind w:left="20"/>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640" w:type="dxa"/>
            <w:vAlign w:val="bottom"/>
          </w:tcPr>
          <w:p>
            <w:pPr>
              <w:jc w:val="right"/>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Item</w:t>
              </w:r>
            </w:hyperlink>
          </w:p>
        </w:tc>
        <w:tc>
          <w:tcPr>
            <w:tcW w:w="180" w:type="dxa"/>
            <w:vAlign w:val="bottom"/>
          </w:tcPr>
          <w:p>
            <w:pPr>
              <w:jc w:val="right"/>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3.</w:t>
              </w:r>
            </w:hyperlink>
          </w:p>
        </w:tc>
        <w:tc>
          <w:tcPr>
            <w:tcW w:w="8800" w:type="dxa"/>
            <w:vAlign w:val="bottom"/>
          </w:tcPr>
          <w:p>
            <w:pPr>
              <w:ind w:left="20"/>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Quantitative and Qualitative Disclosures About Market Risk</w:t>
              </w:r>
            </w:hyperlink>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640" w:type="dxa"/>
            <w:vAlign w:val="bottom"/>
          </w:tcPr>
          <w:p>
            <w:pPr>
              <w:jc w:val="right"/>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Item</w:t>
              </w:r>
            </w:hyperlink>
          </w:p>
        </w:tc>
        <w:tc>
          <w:tcPr>
            <w:tcW w:w="180" w:type="dxa"/>
            <w:vAlign w:val="bottom"/>
          </w:tcPr>
          <w:p>
            <w:pPr>
              <w:jc w:val="right"/>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4.</w:t>
              </w:r>
            </w:hyperlink>
          </w:p>
        </w:tc>
        <w:tc>
          <w:tcPr>
            <w:tcW w:w="8800" w:type="dxa"/>
            <w:vAlign w:val="bottom"/>
          </w:tcPr>
          <w:p>
            <w:pPr>
              <w:ind w:left="20"/>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Controls and Procedures</w:t>
              </w:r>
            </w:hyperlink>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19"/>
        </w:trPr>
        <w:tc>
          <w:tcPr>
            <w:tcW w:w="9620" w:type="dxa"/>
            <w:vAlign w:val="bottom"/>
            <w:gridSpan w:val="3"/>
          </w:tcPr>
          <w:p>
            <w:pPr>
              <w:spacing w:after="0"/>
              <w:rPr>
                <w:rFonts w:ascii="Times New Roman" w:cs="Times New Roman" w:eastAsia="Times New Roman" w:hAnsi="Times New Roman"/>
                <w:sz w:val="18"/>
                <w:szCs w:val="18"/>
                <w:b w:val="1"/>
                <w:bCs w:val="1"/>
                <w:u w:val="single" w:color="auto"/>
                <w:color w:val="0000EE"/>
              </w:rPr>
            </w:pPr>
            <w:hyperlink w:anchor="page30">
              <w:r>
                <w:rPr>
                  <w:rFonts w:ascii="Times New Roman" w:cs="Times New Roman" w:eastAsia="Times New Roman" w:hAnsi="Times New Roman"/>
                  <w:sz w:val="18"/>
                  <w:szCs w:val="18"/>
                  <w:b w:val="1"/>
                  <w:bCs w:val="1"/>
                  <w:u w:val="single" w:color="auto"/>
                  <w:color w:val="0000EE"/>
                </w:rPr>
                <w:t>PART II - OTHER INFORMATION</w:t>
              </w:r>
            </w:hyperlink>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640" w:type="dxa"/>
            <w:vAlign w:val="bottom"/>
          </w:tcPr>
          <w:p>
            <w:pPr>
              <w:jc w:val="right"/>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Item</w:t>
              </w:r>
            </w:hyperlink>
          </w:p>
        </w:tc>
        <w:tc>
          <w:tcPr>
            <w:tcW w:w="180" w:type="dxa"/>
            <w:vAlign w:val="bottom"/>
          </w:tcPr>
          <w:p>
            <w:pPr>
              <w:jc w:val="right"/>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1.</w:t>
              </w:r>
            </w:hyperlink>
          </w:p>
        </w:tc>
        <w:tc>
          <w:tcPr>
            <w:tcW w:w="8800" w:type="dxa"/>
            <w:vAlign w:val="bottom"/>
          </w:tcPr>
          <w:p>
            <w:pPr>
              <w:ind w:left="20"/>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Legal Proceedings</w:t>
              </w:r>
            </w:hyperlink>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640" w:type="dxa"/>
            <w:vAlign w:val="bottom"/>
          </w:tcPr>
          <w:p>
            <w:pPr>
              <w:jc w:val="right"/>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Item</w:t>
              </w:r>
            </w:hyperlink>
          </w:p>
        </w:tc>
        <w:tc>
          <w:tcPr>
            <w:tcW w:w="180" w:type="dxa"/>
            <w:vAlign w:val="bottom"/>
          </w:tcPr>
          <w:p>
            <w:pPr>
              <w:jc w:val="right"/>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2.</w:t>
              </w:r>
            </w:hyperlink>
          </w:p>
        </w:tc>
        <w:tc>
          <w:tcPr>
            <w:tcW w:w="8800" w:type="dxa"/>
            <w:vAlign w:val="bottom"/>
          </w:tcPr>
          <w:p>
            <w:pPr>
              <w:ind w:left="20"/>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Unregistered Sales of Equity Securities and Use of Proceeds</w:t>
              </w:r>
            </w:hyperlink>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640" w:type="dxa"/>
            <w:vAlign w:val="bottom"/>
          </w:tcPr>
          <w:p>
            <w:pPr>
              <w:jc w:val="right"/>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Item</w:t>
              </w:r>
            </w:hyperlink>
          </w:p>
        </w:tc>
        <w:tc>
          <w:tcPr>
            <w:tcW w:w="180" w:type="dxa"/>
            <w:vAlign w:val="bottom"/>
          </w:tcPr>
          <w:p>
            <w:pPr>
              <w:jc w:val="right"/>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5.</w:t>
              </w:r>
            </w:hyperlink>
          </w:p>
        </w:tc>
        <w:tc>
          <w:tcPr>
            <w:tcW w:w="8800" w:type="dxa"/>
            <w:vAlign w:val="bottom"/>
          </w:tcPr>
          <w:p>
            <w:pPr>
              <w:ind w:left="20"/>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Other Information</w:t>
              </w:r>
            </w:hyperlink>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640" w:type="dxa"/>
            <w:vAlign w:val="bottom"/>
          </w:tcPr>
          <w:p>
            <w:pPr>
              <w:jc w:val="right"/>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Item</w:t>
              </w:r>
            </w:hyperlink>
          </w:p>
        </w:tc>
        <w:tc>
          <w:tcPr>
            <w:tcW w:w="180" w:type="dxa"/>
            <w:vAlign w:val="bottom"/>
          </w:tcPr>
          <w:p>
            <w:pPr>
              <w:jc w:val="right"/>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6.</w:t>
              </w:r>
            </w:hyperlink>
          </w:p>
        </w:tc>
        <w:tc>
          <w:tcPr>
            <w:tcW w:w="8800" w:type="dxa"/>
            <w:vAlign w:val="bottom"/>
          </w:tcPr>
          <w:p>
            <w:pPr>
              <w:ind w:left="20"/>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Exhibits</w:t>
              </w:r>
            </w:hyperlink>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20" w:type="dxa"/>
            <w:vAlign w:val="bottom"/>
            <w:gridSpan w:val="2"/>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Signatures</w:t>
              </w:r>
            </w:hyperlink>
          </w:p>
        </w:tc>
        <w:tc>
          <w:tcPr>
            <w:tcW w:w="88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EX-31.1</w:t>
            </w:r>
          </w:p>
        </w:tc>
        <w:tc>
          <w:tcPr>
            <w:tcW w:w="18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EX-31.2</w:t>
            </w:r>
          </w:p>
        </w:tc>
        <w:tc>
          <w:tcPr>
            <w:tcW w:w="18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EX-32.1</w:t>
            </w:r>
          </w:p>
        </w:tc>
        <w:tc>
          <w:tcPr>
            <w:tcW w:w="18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EX-32.2</w:t>
            </w:r>
          </w:p>
        </w:tc>
        <w:tc>
          <w:tcPr>
            <w:tcW w:w="18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pacing w:after="0" w:line="198"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Smith &amp; Wesson®, S&amp;W®, M&amp;P®, M&amp;P Shield®, Performance Center®, Airlite®, Airweight®, Armornite®, Bodyguard®, Chiefs Special®, EZ®, Governor®, Lever Lock®, Magnum®, SW22 Victory®, T/C ®, America’s Master Gunmaker ®, Compass®, Contender®, Dimension®, Encore®, Flextech®, Mag Express®, Maxi-Hunter®, Maxima®, Number 13®, Power Rod®, QLA®, Quick Load Accurizer®, Speed Breech®, Speed Breach XT®, Swing Hammer®, T17®, T/CR22®, Triumph®, U-View®, Weather Shield®, Gemtech®, Arrow®, Aurora®, Aurora-II®, Blast Jacket®, Dagger®, G-Core®, GM®, Halo®, Integra®, Lunar®, Mist-22®, Quickmount®, Shield®, Silencer Subsonic®, The Professional’s Choice for Decades®, Trek®, Viper®, World Class Silencers®, Smith &amp; Wesson Precision Components®, and Put A Legend On Your Line®, are some of the registered U.S. trademarks of our company or one of our subsidiaries. 460XVR™, C.O.R.E.™, E-Series™, M2.0™, S&amp;W500™, SD™, SDVE™, Sport™, SW1911™, Thompson/Center Arms™, Cheap Shot™, Impact!™, Impact!SB™, Katahdin™, Maxi-Ball™, Natural Lube 1000 Plus™, Pro Hunter™, Pro Hunter FX™, Pro Hunter XT™, Quickshot™, Speed Shot™, Strike™, Super Glide™, Venture™, Alpine™, GMT-Halo™, One™, Patrolman™, and Tracker™, are some of the unregistered trademarks of our company or one of our subsidiaries. This report also may contain trademarks and trade names of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750570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 Regarding Forward-Looking Information</w:t>
      </w:r>
    </w:p>
    <w:p>
      <w:pPr>
        <w:spacing w:after="0" w:line="256"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All statements other than statements of historical facts contained or incorporated herein by reference in this Quarterly Report on Form 10-Q, including statements regarding our future operating results, future financial position, business strategy, objectives, goals, plans, prospects, markets, and plans and objectives for future operations, are forward-looking statements. In some cases, you can identify forward-looking statements by terms such as “anticipates,” “believes,” “estimates,” “expects,” “intends,” “targets,” “contemplates,” “projects,” “predicts,” “may,” “might,” “plan,” “will,” “would,” “should,” “could,” “may,” “can,” “potential,” “continue,” “objective,” or the negative of those terms, or similar expressions intended to identify forward-looking statements. However, not all forward-looking statements contain these identifying words. Specific forward-looking statements in this Quarterly Report on Form 10-Q include statements regarding the impact, if any, of recently issued accounting standards on our consolidated financial statements; the features of our outstanding debt; lease payments for future periods; estimated amortization expense of intangible assets for future periods; the outcome of the lawsuits to which we are subject and their effect on us; our belief with respect to the various matters described in the Litigation section, that the allegations are unfounded and the claims asserted against us have no merit; our intention to aggressively defend these actions; our belief that any incident and any injuries were due to negligence or misuse of the firearm by the claimant or a third party; our belief that we have strong defenses; our belief that our accruals for product liability cases and claims are a reasonable quantitative measure of the cost to us of product liability cases and claims; our belief that we have provided adequate accruals for defense costs; our expectation that firearms inventory balances will remain relatively flat throughout our next fiscal quarter; our expectation on spending for capital expenditures in fiscal 2021; factors affecting our future capital requirements; availability of equity or debt financing on acceptable terms, if at all; our belief that our existing capital resources and credit facilities will be adequate to fund our operations, including our outstanding debt and other commitments, for the next 12 months; and our belief that our improved processes and procedures will assist in the remediation of our material weakness, though management is still evaluating the design of these new controls and procedures. All forward-looking statements included herein are based on information available to us as of the date hereof and speak only as of such date. Except as required by law, we undertake no obligation to update any forward-looking statements to reflect events or circumstances after the date of such statements. The forward-looking statements contained in or incorporated by reference into this Quarterly Report on Form 10-Q reflect our views as of the date of this Quarterly Report on Form 10-Q about future events and are subject to risks, uncertainties, assumptions, and changes in circumstances that may cause our actual results, performance, or achievements to differ significantly from those expressed or implied in any forward-looking statement. Although we believe that the expectations reflected in the forward-looking statements are reasonable, we cannot guarantee future events, results, performance, or achievements. A number of factors could cause actual results to differ materially from those indicated by the forward-looking statements. Such factors include, among other, economic, social, political, legislative, and regulatory factors; the potential for increased regulation of firearms and firearm-related products; actions of social activists that could have an adverse effect on our business; the impact of lawsuits; the demand for our products; the state of the U.S. economy in general and the firearm industry in particular; general economic conditions and consumer spending patterns; our competitive environment; the supply, availability, and costs of raw materials and components; speculation surrounding fears of terrorism and crime; our anticipated growth and growth opportunities; our ability to increase demand for our products in various markets, including consumer, law enforcement, and military channels, domestically and internationally; our penetration rates in new and existing markets; our strategies; our ability to maintain and enhance brand recognition and reputation; our ability to introduce new products; the success of new products; our ability to expand our markets; our ability to integrate acquired businesses in a successful manner; the potential for cancellation of orders from our backlog; and other factors detailed from time to time in our reports filed with the Securities and Exchange Commission, or the SEC, including our Annual Report on Form 10-K for the fiscal year ended April 30, 2020, filed with the SEC on June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As of:</w:t>
            </w:r>
          </w:p>
        </w:tc>
        <w:tc>
          <w:tcPr>
            <w:tcW w:w="1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January 31, 2021</w:t>
            </w: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April 30, 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7720" w:type="dxa"/>
            <w:vAlign w:val="bottom"/>
            <w:vMerge w:val="restart"/>
          </w:tcPr>
          <w:p>
            <w:pPr>
              <w:ind w:left="52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tcPr>
          <w:p>
            <w:pPr>
              <w:spacing w:after="0"/>
              <w:rPr>
                <w:sz w:val="21"/>
                <w:szCs w:val="21"/>
                <w:color w:val="auto"/>
              </w:rPr>
            </w:pPr>
          </w:p>
        </w:tc>
        <w:tc>
          <w:tcPr>
            <w:tcW w:w="3320" w:type="dxa"/>
            <w:vAlign w:val="bottom"/>
            <w:gridSpan w:val="5"/>
          </w:tcPr>
          <w:p>
            <w:pPr>
              <w:jc w:val="right"/>
              <w:ind w:right="560"/>
              <w:spacing w:after="0"/>
              <w:rPr>
                <w:sz w:val="20"/>
                <w:szCs w:val="20"/>
                <w:color w:val="auto"/>
              </w:rPr>
            </w:pPr>
            <w:r>
              <w:rPr>
                <w:rFonts w:ascii="Times New Roman" w:cs="Times New Roman" w:eastAsia="Times New Roman" w:hAnsi="Times New Roman"/>
                <w:sz w:val="13"/>
                <w:szCs w:val="13"/>
                <w:color w:val="auto"/>
              </w:rPr>
              <w:t>(In thousands, except par value and share data)</w:t>
            </w:r>
          </w:p>
        </w:tc>
        <w:tc>
          <w:tcPr>
            <w:tcW w:w="0" w:type="dxa"/>
            <w:vAlign w:val="bottom"/>
          </w:tcPr>
          <w:p>
            <w:pPr>
              <w:spacing w:after="0"/>
              <w:rPr>
                <w:sz w:val="1"/>
                <w:szCs w:val="1"/>
                <w:color w:val="auto"/>
              </w:rPr>
            </w:pPr>
          </w:p>
        </w:tc>
      </w:tr>
      <w:tr>
        <w:trPr>
          <w:trHeight w:val="202"/>
        </w:trPr>
        <w:tc>
          <w:tcPr>
            <w:tcW w:w="77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59,676</w:t>
            </w:r>
          </w:p>
        </w:tc>
        <w:tc>
          <w:tcPr>
            <w:tcW w:w="28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720" w:type="dxa"/>
            <w:vAlign w:val="bottom"/>
            <w:shd w:val="clear" w:color="auto" w:fill="CFF0FC"/>
          </w:tcPr>
          <w:p>
            <w:pPr>
              <w:ind w:left="260"/>
              <w:spacing w:after="0" w:line="194" w:lineRule="exact"/>
              <w:rPr>
                <w:sz w:val="20"/>
                <w:szCs w:val="20"/>
                <w:color w:val="auto"/>
              </w:rPr>
            </w:pPr>
            <w:r>
              <w:rPr>
                <w:rFonts w:ascii="Times New Roman" w:cs="Times New Roman" w:eastAsia="Times New Roman" w:hAnsi="Times New Roman"/>
                <w:sz w:val="17"/>
                <w:szCs w:val="17"/>
                <w:color w:val="auto"/>
              </w:rPr>
              <w:t>Accounts receivable, net of allowances for credit losses of $151 on</w:t>
            </w: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January 31, 2021 and $1,038 on April 30, 2020</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61,564</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60,879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Inventories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84,446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103,741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8,574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Current assets of discontinued operations</w:t>
            </w:r>
          </w:p>
        </w:tc>
        <w:tc>
          <w:tcPr>
            <w:tcW w:w="20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94,673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Income tax receivable</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9,277</w:t>
            </w:r>
          </w:p>
        </w:tc>
        <w:tc>
          <w:tcPr>
            <w:tcW w:w="2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1,595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223,537</w:t>
            </w:r>
          </w:p>
        </w:tc>
        <w:tc>
          <w:tcPr>
            <w:tcW w:w="2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393,455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145,398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147,739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Intangibles, net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Goodwill</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19,024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19,024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Other assets of discontinued operations</w:t>
            </w:r>
          </w:p>
        </w:tc>
        <w:tc>
          <w:tcPr>
            <w:tcW w:w="20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148,485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13,456</w:t>
            </w:r>
          </w:p>
        </w:tc>
        <w:tc>
          <w:tcPr>
            <w:tcW w:w="2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16,437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7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405,851</w:t>
            </w:r>
          </w:p>
        </w:tc>
        <w:tc>
          <w:tcPr>
            <w:tcW w:w="2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729,515</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720" w:type="dxa"/>
            <w:vAlign w:val="bottom"/>
            <w:shd w:val="clear" w:color="auto" w:fill="CFF0FC"/>
          </w:tcPr>
          <w:p>
            <w:pPr>
              <w:ind w:left="370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Accounts payable</w:t>
            </w: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49,166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31,476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Accrued expenses and deferred revenue</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37,805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Accrued payroll and incentives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14,488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12,448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Accrued income taxes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Accrued profit sharing</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10,860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Accrued warranty</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Current liabilities of discontinued operations</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17,372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116,374</w:t>
            </w: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129,971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Notes and loans payable, net of current portion</w:t>
            </w:r>
          </w:p>
        </w:tc>
        <w:tc>
          <w:tcPr>
            <w:tcW w:w="20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159,171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Finance lease payable, net of current portion</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39,060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39,873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Other non-current liabilities of discontinued operations</w:t>
            </w:r>
          </w:p>
        </w:tc>
        <w:tc>
          <w:tcPr>
            <w:tcW w:w="20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11,935</w:t>
            </w:r>
          </w:p>
        </w:tc>
        <w:tc>
          <w:tcPr>
            <w:tcW w:w="2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10,626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168,142</w:t>
            </w:r>
          </w:p>
        </w:tc>
        <w:tc>
          <w:tcPr>
            <w:tcW w:w="2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342,397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Commitments and contingencies (Note 11)</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720" w:type="dxa"/>
            <w:vAlign w:val="bottom"/>
            <w:shd w:val="clear" w:color="auto" w:fill="CFF0FC"/>
          </w:tcPr>
          <w:p>
            <w:pPr>
              <w:ind w:left="260"/>
              <w:spacing w:after="0" w:line="194" w:lineRule="exact"/>
              <w:rPr>
                <w:sz w:val="20"/>
                <w:szCs w:val="20"/>
                <w:color w:val="auto"/>
              </w:rPr>
            </w:pPr>
            <w:r>
              <w:rPr>
                <w:rFonts w:ascii="Times New Roman" w:cs="Times New Roman" w:eastAsia="Times New Roman" w:hAnsi="Times New Roman"/>
                <w:sz w:val="17"/>
                <w:szCs w:val="17"/>
                <w:color w:val="auto"/>
              </w:rPr>
              <w:t>Preferred stock, $.001 par value, 20,000,000 shares authorized, no shares</w:t>
            </w: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issued or outstanding</w:t>
            </w: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4"/>
        </w:trPr>
        <w:tc>
          <w:tcPr>
            <w:tcW w:w="7720" w:type="dxa"/>
            <w:vAlign w:val="bottom"/>
          </w:tcPr>
          <w:p>
            <w:pPr>
              <w:ind w:left="260"/>
              <w:spacing w:after="0" w:line="194" w:lineRule="exact"/>
              <w:rPr>
                <w:sz w:val="20"/>
                <w:szCs w:val="20"/>
                <w:color w:val="auto"/>
              </w:rPr>
            </w:pPr>
            <w:r>
              <w:rPr>
                <w:rFonts w:ascii="Times New Roman" w:cs="Times New Roman" w:eastAsia="Times New Roman" w:hAnsi="Times New Roman"/>
                <w:sz w:val="17"/>
                <w:szCs w:val="17"/>
                <w:color w:val="auto"/>
              </w:rPr>
              <w:t>Common stock, $.001 par value, 100,000,000 shares authorized, 74,153,528 issued</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and 53,249,177 shares outstanding on January 31, 2021 and 73,526,790 shares</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issued and 55,359,928 shares outstanding on April 30, 2020</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271,222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267,630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238,715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341,716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720" w:type="dxa"/>
            <w:vAlign w:val="bottom"/>
          </w:tcPr>
          <w:p>
            <w:pPr>
              <w:ind w:left="260"/>
              <w:spacing w:after="0" w:line="194" w:lineRule="exact"/>
              <w:rPr>
                <w:sz w:val="20"/>
                <w:szCs w:val="20"/>
                <w:color w:val="auto"/>
              </w:rPr>
            </w:pPr>
            <w:r>
              <w:rPr>
                <w:rFonts w:ascii="Times New Roman" w:cs="Times New Roman" w:eastAsia="Times New Roman" w:hAnsi="Times New Roman"/>
                <w:sz w:val="17"/>
                <w:szCs w:val="17"/>
                <w:color w:val="auto"/>
              </w:rPr>
              <w:t>Treasury stock, at cost (20,904,351 shares on January 31, 2021 and 18,166,862 on</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April 30, 2020)</w:t>
            </w:r>
          </w:p>
        </w:tc>
        <w:tc>
          <w:tcPr>
            <w:tcW w:w="20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(272,375)</w:t>
            </w:r>
          </w:p>
        </w:tc>
        <w:tc>
          <w:tcPr>
            <w:tcW w:w="2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(222,375)</w:t>
            </w:r>
          </w:p>
        </w:tc>
        <w:tc>
          <w:tcPr>
            <w:tcW w:w="0" w:type="dxa"/>
            <w:vAlign w:val="bottom"/>
          </w:tcPr>
          <w:p>
            <w:pPr>
              <w:spacing w:after="0"/>
              <w:rPr>
                <w:sz w:val="1"/>
                <w:szCs w:val="1"/>
                <w:color w:val="auto"/>
              </w:rPr>
            </w:pPr>
          </w:p>
        </w:tc>
      </w:tr>
      <w:tr>
        <w:trPr>
          <w:trHeight w:val="210"/>
        </w:trPr>
        <w:tc>
          <w:tcPr>
            <w:tcW w:w="772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237,709</w:t>
            </w:r>
          </w:p>
        </w:tc>
        <w:tc>
          <w:tcPr>
            <w:tcW w:w="2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387,118</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405,851</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729,515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CONDENSED CONSOLIDATED STATEMENTS OF INCOME/(LOSS) AND COMPREHENSIVE INCOME/(LOSS) (Unaudited)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6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For the Three Months Ended January 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6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 the Nine Months Ended January 31,</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2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257,634</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127,416</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736,247</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336,575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147,955</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91,729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433,073</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232,989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109,679</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35,687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303,174</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17,054</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62,061</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29,298</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99,674</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84,255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from continuing operations</w:t>
            </w: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80,381</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203,500</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income/(expense), net</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(550)</w:t>
            </w:r>
          </w:p>
        </w:tc>
        <w:tc>
          <w:tcPr>
            <w:tcW w:w="24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(2,885)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(3,356)</w:t>
            </w: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(8,572)</w:t>
            </w: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other income/(expense), net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80,783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201,855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18,520</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47,176</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62,263</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154,679</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Income/(loss) from discontinued operations, net of tax</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(1,839)</w:t>
            </w: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62,390</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163,013</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income/(loss):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60" w:type="dxa"/>
            <w:vAlign w:val="bottom"/>
            <w:shd w:val="clear" w:color="auto" w:fill="CCECFF"/>
          </w:tcPr>
          <w:p>
            <w:pPr>
              <w:spacing w:after="0"/>
              <w:rPr>
                <w:sz w:val="19"/>
                <w:szCs w:val="19"/>
                <w:color w:val="auto"/>
              </w:rPr>
            </w:pPr>
          </w:p>
        </w:tc>
        <w:tc>
          <w:tcPr>
            <w:tcW w:w="14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CFF"/>
          </w:tcPr>
          <w:p>
            <w:pPr>
              <w:spacing w:after="0"/>
              <w:rPr>
                <w:sz w:val="19"/>
                <w:szCs w:val="19"/>
                <w:color w:val="auto"/>
              </w:rPr>
            </w:pPr>
          </w:p>
        </w:tc>
        <w:tc>
          <w:tcPr>
            <w:tcW w:w="12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4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CFF"/>
          </w:tcPr>
          <w:p>
            <w:pPr>
              <w:spacing w:after="0"/>
              <w:rPr>
                <w:sz w:val="19"/>
                <w:szCs w:val="19"/>
                <w:color w:val="auto"/>
              </w:rPr>
            </w:pPr>
          </w:p>
        </w:tc>
        <w:tc>
          <w:tcPr>
            <w:tcW w:w="11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63"/>
        </w:trPr>
        <w:tc>
          <w:tcPr>
            <w:tcW w:w="502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62,390</w:t>
            </w:r>
          </w:p>
        </w:tc>
        <w:tc>
          <w:tcPr>
            <w:tcW w:w="260" w:type="dxa"/>
            <w:vAlign w:val="bottom"/>
            <w:tcBorders>
              <w:bottom w:val="single" w:sz="8" w:color="CCEC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5,665</w:t>
            </w:r>
          </w:p>
        </w:tc>
        <w:tc>
          <w:tcPr>
            <w:tcW w:w="140" w:type="dxa"/>
            <w:vAlign w:val="bottom"/>
            <w:tcBorders>
              <w:bottom w:val="single" w:sz="8" w:color="CCECFF"/>
            </w:tcBorders>
          </w:tcPr>
          <w:p>
            <w:pPr>
              <w:spacing w:after="0"/>
              <w:rPr>
                <w:sz w:val="22"/>
                <w:szCs w:val="22"/>
                <w:color w:val="auto"/>
              </w:rPr>
            </w:pPr>
          </w:p>
        </w:tc>
        <w:tc>
          <w:tcPr>
            <w:tcW w:w="80" w:type="dxa"/>
            <w:vAlign w:val="bottom"/>
            <w:tcBorders>
              <w:bottom w:val="single" w:sz="8" w:color="CCEC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163,013</w:t>
            </w:r>
          </w:p>
        </w:tc>
        <w:tc>
          <w:tcPr>
            <w:tcW w:w="220" w:type="dxa"/>
            <w:vAlign w:val="bottom"/>
            <w:tcBorders>
              <w:bottom w:val="single" w:sz="8" w:color="CCEC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120" w:type="dxa"/>
            <w:vAlign w:val="bottom"/>
            <w:tcBorders>
              <w:bottom w:val="single" w:sz="8" w:color="CCEC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6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12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5020" w:type="dxa"/>
            <w:vAlign w:val="bottom"/>
            <w:tcBorders>
              <w:bottom w:val="single" w:sz="8" w:color="CCECFF"/>
            </w:tcBorders>
          </w:tcPr>
          <w:p>
            <w:pPr>
              <w:ind w:left="260"/>
              <w:spacing w:after="0"/>
              <w:rPr>
                <w:sz w:val="20"/>
                <w:szCs w:val="20"/>
                <w:color w:val="auto"/>
              </w:rPr>
            </w:pPr>
            <w:r>
              <w:rPr>
                <w:rFonts w:ascii="Times New Roman" w:cs="Times New Roman" w:eastAsia="Times New Roman" w:hAnsi="Times New Roman"/>
                <w:sz w:val="18"/>
                <w:szCs w:val="18"/>
                <w:color w:val="auto"/>
              </w:rPr>
              <w:t>Basic - continuing operations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tcBorders>
              <w:bottom w:val="single" w:sz="8" w:color="CCECFF"/>
            </w:tcBorders>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Borders>
              <w:bottom w:val="single" w:sz="8" w:color="CCECFF"/>
            </w:tcBorders>
          </w:tcPr>
          <w:p>
            <w:pPr>
              <w:spacing w:after="0"/>
              <w:rPr>
                <w:sz w:val="23"/>
                <w:szCs w:val="23"/>
                <w:color w:val="auto"/>
              </w:rPr>
            </w:pPr>
          </w:p>
        </w:tc>
        <w:tc>
          <w:tcPr>
            <w:tcW w:w="80" w:type="dxa"/>
            <w:vAlign w:val="bottom"/>
            <w:tcBorders>
              <w:bottom w:val="single" w:sz="8" w:color="CCEC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tcBorders>
              <w:bottom w:val="single" w:sz="8" w:color="CCECFF"/>
            </w:tcBorders>
          </w:tcPr>
          <w:p>
            <w:pPr>
              <w:spacing w:after="0"/>
              <w:rPr>
                <w:sz w:val="23"/>
                <w:szCs w:val="23"/>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Borders>
              <w:bottom w:val="single" w:sz="8" w:color="CCEC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020" w:type="dxa"/>
            <w:vAlign w:val="bottom"/>
            <w:tcBorders>
              <w:bottom w:val="single" w:sz="8" w:color="CCECFF"/>
            </w:tcBorders>
            <w:shd w:val="clear" w:color="auto" w:fill="CCECFF"/>
          </w:tcPr>
          <w:p>
            <w:pPr>
              <w:ind w:left="260"/>
              <w:spacing w:after="0"/>
              <w:rPr>
                <w:sz w:val="20"/>
                <w:szCs w:val="20"/>
                <w:color w:val="auto"/>
              </w:rPr>
            </w:pPr>
            <w:r>
              <w:rPr>
                <w:rFonts w:ascii="Times New Roman" w:cs="Times New Roman" w:eastAsia="Times New Roman" w:hAnsi="Times New Roman"/>
                <w:sz w:val="18"/>
                <w:szCs w:val="18"/>
                <w:color w:val="auto"/>
              </w:rPr>
              <w:t>Basic - net income</w:t>
            </w:r>
          </w:p>
        </w:tc>
        <w:tc>
          <w:tcPr>
            <w:tcW w:w="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2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Diluted - continuing operations</w:t>
            </w: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CFF"/>
            </w:tcBorders>
            <w:vMerge w:val="continue"/>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tcBorders>
              <w:bottom w:val="single" w:sz="8" w:color="CCEC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Borders>
              <w:bottom w:val="single" w:sz="8" w:color="CCECFF"/>
            </w:tcBorders>
          </w:tcPr>
          <w:p>
            <w:pPr>
              <w:spacing w:after="0"/>
              <w:rPr>
                <w:sz w:val="21"/>
                <w:szCs w:val="21"/>
                <w:color w:val="auto"/>
              </w:rPr>
            </w:pPr>
          </w:p>
        </w:tc>
        <w:tc>
          <w:tcPr>
            <w:tcW w:w="80" w:type="dxa"/>
            <w:vAlign w:val="bottom"/>
            <w:tcBorders>
              <w:bottom w:val="single" w:sz="8" w:color="CCEC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20" w:type="dxa"/>
            <w:vAlign w:val="bottom"/>
            <w:tcBorders>
              <w:bottom w:val="single" w:sz="8" w:color="CCEC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Borders>
              <w:bottom w:val="single" w:sz="8" w:color="CCECFF"/>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020" w:type="dxa"/>
            <w:vAlign w:val="bottom"/>
            <w:tcBorders>
              <w:bottom w:val="single" w:sz="8" w:color="CCECFF"/>
            </w:tcBorders>
            <w:shd w:val="clear" w:color="auto" w:fill="CCECFF"/>
          </w:tcPr>
          <w:p>
            <w:pPr>
              <w:ind w:left="260"/>
              <w:spacing w:after="0"/>
              <w:rPr>
                <w:sz w:val="20"/>
                <w:szCs w:val="20"/>
                <w:color w:val="auto"/>
              </w:rPr>
            </w:pPr>
            <w:r>
              <w:rPr>
                <w:rFonts w:ascii="Times New Roman" w:cs="Times New Roman" w:eastAsia="Times New Roman" w:hAnsi="Times New Roman"/>
                <w:sz w:val="18"/>
                <w:szCs w:val="18"/>
                <w:color w:val="auto"/>
              </w:rPr>
              <w:t>Diluted - net income</w:t>
            </w:r>
          </w:p>
        </w:tc>
        <w:tc>
          <w:tcPr>
            <w:tcW w:w="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CFF"/>
          </w:tcPr>
          <w:p>
            <w:pPr>
              <w:spacing w:after="0"/>
              <w:rPr>
                <w:sz w:val="19"/>
                <w:szCs w:val="19"/>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55,137</w:t>
            </w:r>
          </w:p>
        </w:tc>
        <w:tc>
          <w:tcPr>
            <w:tcW w:w="26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55,064</w:t>
            </w:r>
          </w:p>
        </w:tc>
        <w:tc>
          <w:tcPr>
            <w:tcW w:w="14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55,515</w:t>
            </w:r>
          </w:p>
        </w:tc>
        <w:tc>
          <w:tcPr>
            <w:tcW w:w="22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54,919</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55,702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56,258</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CONDENSED CONSOLIDATED STATEMENTS OF CHANGES IN STOCKHOLDERS’ EQUITY (Unaudited)</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640" w:type="dxa"/>
            <w:vAlign w:val="bottom"/>
            <w:gridSpan w:val="4"/>
          </w:tcPr>
          <w:p>
            <w:pPr>
              <w:jc w:val="right"/>
              <w:ind w:right="508"/>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20" w:type="dxa"/>
            <w:vAlign w:val="bottom"/>
          </w:tcPr>
          <w:p>
            <w:pPr>
              <w:spacing w:after="0"/>
              <w:rPr>
                <w:sz w:val="12"/>
                <w:szCs w:val="12"/>
                <w:color w:val="auto"/>
              </w:rPr>
            </w:pP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3660" w:type="dxa"/>
            <w:vAlign w:val="bottom"/>
          </w:tcPr>
          <w:p>
            <w:pPr>
              <w:spacing w:after="0"/>
              <w:rPr>
                <w:sz w:val="13"/>
                <w:szCs w:val="13"/>
                <w:color w:val="auto"/>
              </w:rPr>
            </w:pPr>
          </w:p>
        </w:tc>
        <w:tc>
          <w:tcPr>
            <w:tcW w:w="1040" w:type="dxa"/>
            <w:vAlign w:val="bottom"/>
            <w:gridSpan w:val="3"/>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3"/>
                <w:szCs w:val="13"/>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18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880" w:type="dxa"/>
            <w:vAlign w:val="bottom"/>
            <w:gridSpan w:val="5"/>
          </w:tcPr>
          <w:p>
            <w:pPr>
              <w:jc w:val="right"/>
              <w:ind w:right="619"/>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366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(In thousands)</w:t>
            </w:r>
          </w:p>
        </w:tc>
        <w:tc>
          <w:tcPr>
            <w:tcW w:w="940" w:type="dxa"/>
            <w:vAlign w:val="bottom"/>
            <w:tcBorders>
              <w:top w:val="single" w:sz="8" w:color="auto"/>
            </w:tcBorders>
            <w:gridSpan w:val="2"/>
          </w:tcPr>
          <w:p>
            <w:pPr>
              <w:ind w:left="18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2"/>
                <w:szCs w:val="12"/>
                <w:color w:val="auto"/>
              </w:rPr>
            </w:pPr>
          </w:p>
        </w:tc>
        <w:tc>
          <w:tcPr>
            <w:tcW w:w="76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8"/>
              </w:rPr>
              <w:t>Earnings</w:t>
            </w:r>
          </w:p>
        </w:tc>
        <w:tc>
          <w:tcPr>
            <w:tcW w:w="100" w:type="dxa"/>
            <w:vAlign w:val="bottom"/>
          </w:tcPr>
          <w:p>
            <w:pPr>
              <w:spacing w:after="0"/>
              <w:rPr>
                <w:sz w:val="12"/>
                <w:szCs w:val="12"/>
                <w:color w:val="auto"/>
              </w:rPr>
            </w:pPr>
          </w:p>
        </w:tc>
        <w:tc>
          <w:tcPr>
            <w:tcW w:w="1080" w:type="dxa"/>
            <w:vAlign w:val="bottom"/>
            <w:gridSpan w:val="3"/>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9"/>
              </w:rPr>
              <w:t>(Loss)/Income</w:t>
            </w:r>
          </w:p>
        </w:tc>
        <w:tc>
          <w:tcPr>
            <w:tcW w:w="700" w:type="dxa"/>
            <w:vAlign w:val="bottom"/>
            <w:tcBorders>
              <w:top w:val="single" w:sz="8" w:color="auto"/>
            </w:tcBorders>
          </w:tcPr>
          <w:p>
            <w:pPr>
              <w:jc w:val="right"/>
              <w:ind w:right="109"/>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56"/>
        </w:trPr>
        <w:tc>
          <w:tcPr>
            <w:tcW w:w="366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at October 31, 2019</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73,226</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73</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266,582</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402,131</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139</w:t>
            </w:r>
          </w:p>
        </w:tc>
        <w:tc>
          <w:tcPr>
            <w:tcW w:w="24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18,167</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(222,375)</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446,550</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(1,672)</w:t>
            </w: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(1,672)</w:t>
            </w:r>
          </w:p>
        </w:tc>
        <w:tc>
          <w:tcPr>
            <w:tcW w:w="0" w:type="dxa"/>
            <w:vAlign w:val="bottom"/>
          </w:tcPr>
          <w:p>
            <w:pPr>
              <w:spacing w:after="0"/>
              <w:rPr>
                <w:sz w:val="1"/>
                <w:szCs w:val="1"/>
                <w:color w:val="auto"/>
              </w:rPr>
            </w:pPr>
          </w:p>
        </w:tc>
      </w:tr>
      <w:tr>
        <w:trPr>
          <w:trHeight w:val="139"/>
        </w:trPr>
        <w:tc>
          <w:tcPr>
            <w:tcW w:w="36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Change in unrealized loss on interest rate swap,</w:t>
            </w:r>
          </w:p>
        </w:tc>
        <w:tc>
          <w:tcPr>
            <w:tcW w:w="9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(66)</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71"/>
        </w:trPr>
        <w:tc>
          <w:tcPr>
            <w:tcW w:w="3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of tax effect</w:t>
            </w:r>
          </w:p>
        </w:tc>
        <w:tc>
          <w:tcPr>
            <w:tcW w:w="9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6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stock under restricted stock</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71"/>
        </w:trPr>
        <w:tc>
          <w:tcPr>
            <w:tcW w:w="3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unit awards, net of shares surrendered</w:t>
            </w: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5,731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5,731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660" w:type="dxa"/>
            <w:vAlign w:val="bottom"/>
            <w:tcBorders>
              <w:bottom w:val="single" w:sz="8" w:color="CFF0FC"/>
            </w:tcBorders>
          </w:tcPr>
          <w:p>
            <w:pPr>
              <w:spacing w:after="0" w:line="155" w:lineRule="exact"/>
              <w:rPr>
                <w:sz w:val="20"/>
                <w:szCs w:val="20"/>
                <w:color w:val="auto"/>
              </w:rPr>
            </w:pPr>
            <w:r>
              <w:rPr>
                <w:rFonts w:ascii="Times New Roman" w:cs="Times New Roman" w:eastAsia="Times New Roman" w:hAnsi="Times New Roman"/>
                <w:sz w:val="14"/>
                <w:szCs w:val="14"/>
                <w:color w:val="auto"/>
              </w:rPr>
              <w:t>Balance at January 31, 2020</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73,235</w:t>
            </w:r>
          </w:p>
        </w:tc>
        <w:tc>
          <w:tcPr>
            <w:tcW w:w="24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73</w:t>
            </w:r>
          </w:p>
        </w:tc>
        <w:tc>
          <w:tcPr>
            <w:tcW w:w="22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264,866</w:t>
            </w:r>
          </w:p>
        </w:tc>
        <w:tc>
          <w:tcPr>
            <w:tcW w:w="22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407,862</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73</w:t>
            </w:r>
          </w:p>
        </w:tc>
        <w:tc>
          <w:tcPr>
            <w:tcW w:w="240" w:type="dxa"/>
            <w:vAlign w:val="bottom"/>
            <w:tcBorders>
              <w:bottom w:val="single" w:sz="8" w:color="CFF0FC"/>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18,167</w:t>
            </w:r>
          </w:p>
        </w:tc>
        <w:tc>
          <w:tcPr>
            <w:tcW w:w="24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(222,375</w:t>
            </w:r>
          </w:p>
        </w:tc>
        <w:tc>
          <w:tcPr>
            <w:tcW w:w="220" w:type="dxa"/>
            <w:vAlign w:val="bottom"/>
            <w:tcBorders>
              <w:bottom w:val="single" w:sz="8" w:color="CFF0FC"/>
            </w:tcBorders>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450,499</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6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Balance at April 30, 2019</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72,864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263,180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402,946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18,167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(222,375)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444,444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Proceeds from exercise of employee stock options</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Shares issued under employee stock purchase plan</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6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Change in unrealized loss on interest rate swap,</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(547)</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(547)</w:t>
            </w:r>
          </w:p>
        </w:tc>
        <w:tc>
          <w:tcPr>
            <w:tcW w:w="0" w:type="dxa"/>
            <w:vAlign w:val="bottom"/>
          </w:tcPr>
          <w:p>
            <w:pPr>
              <w:spacing w:after="0"/>
              <w:rPr>
                <w:sz w:val="1"/>
                <w:szCs w:val="1"/>
                <w:color w:val="auto"/>
              </w:rPr>
            </w:pPr>
          </w:p>
        </w:tc>
      </w:tr>
      <w:tr>
        <w:trPr>
          <w:trHeight w:val="171"/>
        </w:trPr>
        <w:tc>
          <w:tcPr>
            <w:tcW w:w="3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of tax effect</w:t>
            </w: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6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stock under restricted stock</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(594)</w:t>
            </w:r>
          </w:p>
        </w:tc>
        <w:tc>
          <w:tcPr>
            <w:tcW w:w="8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(594)</w:t>
            </w:r>
          </w:p>
        </w:tc>
        <w:tc>
          <w:tcPr>
            <w:tcW w:w="0" w:type="dxa"/>
            <w:vAlign w:val="bottom"/>
          </w:tcPr>
          <w:p>
            <w:pPr>
              <w:spacing w:after="0"/>
              <w:rPr>
                <w:sz w:val="1"/>
                <w:szCs w:val="1"/>
                <w:color w:val="auto"/>
              </w:rPr>
            </w:pPr>
          </w:p>
        </w:tc>
      </w:tr>
      <w:tr>
        <w:trPr>
          <w:trHeight w:val="171"/>
        </w:trPr>
        <w:tc>
          <w:tcPr>
            <w:tcW w:w="3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unit awards, net of shares surrendered</w:t>
            </w:r>
          </w:p>
        </w:tc>
        <w:tc>
          <w:tcPr>
            <w:tcW w:w="7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6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at January 31, 2020</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73,235</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73</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264,866</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407,862</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73</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18,167</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(222,375</w:t>
            </w:r>
          </w:p>
        </w:tc>
        <w:tc>
          <w:tcPr>
            <w:tcW w:w="220" w:type="dxa"/>
            <w:vAlign w:val="bottom"/>
            <w:tcBorders>
              <w:top w:val="single" w:sz="8" w:color="CFF0FC"/>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450,499</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Balance at October 31, 2020</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74,123</w:t>
            </w: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269,911</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179,195</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240" w:type="dxa"/>
            <w:vAlign w:val="bottom"/>
            <w:shd w:val="clear" w:color="auto" w:fill="CCECFF"/>
          </w:tcPr>
          <w:p>
            <w:pPr>
              <w:spacing w:after="0"/>
              <w:rPr>
                <w:sz w:val="14"/>
                <w:szCs w:val="14"/>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18,167</w:t>
            </w: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40" w:type="dxa"/>
            <w:vAlign w:val="bottom"/>
            <w:gridSpan w:val="2"/>
            <w:shd w:val="clear" w:color="auto" w:fill="CCECFF"/>
          </w:tcPr>
          <w:p>
            <w:pPr>
              <w:jc w:val="right"/>
              <w:ind w:right="139"/>
              <w:spacing w:after="0"/>
              <w:rPr>
                <w:sz w:val="20"/>
                <w:szCs w:val="20"/>
                <w:color w:val="auto"/>
              </w:rPr>
            </w:pPr>
            <w:r>
              <w:rPr>
                <w:rFonts w:ascii="Times New Roman" w:cs="Times New Roman" w:eastAsia="Times New Roman" w:hAnsi="Times New Roman"/>
                <w:sz w:val="14"/>
                <w:szCs w:val="14"/>
                <w:color w:val="auto"/>
              </w:rPr>
              <w:t>(222,375)</w:t>
            </w: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226,878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exercise of employee stock options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7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40" w:type="dxa"/>
            <w:vAlign w:val="bottom"/>
            <w:gridSpan w:val="2"/>
            <w:shd w:val="clear" w:color="auto" w:fill="CCECFF"/>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6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stock under restricted stock</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71"/>
        </w:trPr>
        <w:tc>
          <w:tcPr>
            <w:tcW w:w="3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unit awards, net of shares surrendered</w:t>
            </w: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Repurchase of treasury stock</w:t>
            </w:r>
          </w:p>
        </w:tc>
        <w:tc>
          <w:tcPr>
            <w:tcW w:w="9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CFF"/>
          </w:tcPr>
          <w:p>
            <w:pPr>
              <w:spacing w:after="0"/>
              <w:rPr>
                <w:sz w:val="14"/>
                <w:szCs w:val="14"/>
                <w:color w:val="auto"/>
              </w:rPr>
            </w:pPr>
          </w:p>
        </w:tc>
        <w:tc>
          <w:tcPr>
            <w:tcW w:w="7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2,737</w:t>
            </w: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40" w:type="dxa"/>
            <w:vAlign w:val="bottom"/>
            <w:gridSpan w:val="2"/>
            <w:shd w:val="clear" w:color="auto" w:fill="CCECFF"/>
          </w:tcPr>
          <w:p>
            <w:pPr>
              <w:jc w:val="right"/>
              <w:ind w:right="139"/>
              <w:spacing w:after="0"/>
              <w:rPr>
                <w:sz w:val="20"/>
                <w:szCs w:val="20"/>
                <w:color w:val="auto"/>
              </w:rPr>
            </w:pPr>
            <w:r>
              <w:rPr>
                <w:rFonts w:ascii="Times New Roman" w:cs="Times New Roman" w:eastAsia="Times New Roman" w:hAnsi="Times New Roman"/>
                <w:sz w:val="14"/>
                <w:szCs w:val="14"/>
                <w:color w:val="auto"/>
              </w:rPr>
              <w:t>(50,000)</w:t>
            </w: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7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Dividends issued</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(2,799)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(2,799)</w:t>
            </w:r>
          </w:p>
        </w:tc>
        <w:tc>
          <w:tcPr>
            <w:tcW w:w="0" w:type="dxa"/>
            <w:vAlign w:val="bottom"/>
          </w:tcPr>
          <w:p>
            <w:pPr>
              <w:spacing w:after="0"/>
              <w:rPr>
                <w:sz w:val="1"/>
                <w:szCs w:val="1"/>
                <w:color w:val="auto"/>
              </w:rPr>
            </w:pPr>
          </w:p>
        </w:tc>
      </w:tr>
      <w:tr>
        <w:trPr>
          <w:trHeight w:val="139"/>
        </w:trPr>
        <w:tc>
          <w:tcPr>
            <w:tcW w:w="3660" w:type="dxa"/>
            <w:vAlign w:val="bottom"/>
            <w:shd w:val="clear" w:color="auto" w:fill="CCECFF"/>
          </w:tcPr>
          <w:p>
            <w:pPr>
              <w:spacing w:after="0" w:line="139" w:lineRule="exact"/>
              <w:rPr>
                <w:sz w:val="20"/>
                <w:szCs w:val="20"/>
                <w:color w:val="auto"/>
              </w:rPr>
            </w:pPr>
            <w:r>
              <w:rPr>
                <w:rFonts w:ascii="Times New Roman" w:cs="Times New Roman" w:eastAsia="Times New Roman" w:hAnsi="Times New Roman"/>
                <w:sz w:val="14"/>
                <w:szCs w:val="14"/>
                <w:color w:val="auto"/>
              </w:rPr>
              <w:t>Spin off of outdoor products and accessories</w:t>
            </w:r>
          </w:p>
        </w:tc>
        <w:tc>
          <w:tcPr>
            <w:tcW w:w="940" w:type="dxa"/>
            <w:vAlign w:val="bottom"/>
            <w:gridSpan w:val="2"/>
            <w:vMerge w:val="restart"/>
            <w:shd w:val="clear" w:color="auto" w:fill="CCEC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2"/>
                <w:szCs w:val="12"/>
                <w:color w:val="auto"/>
              </w:rPr>
            </w:pPr>
          </w:p>
        </w:tc>
        <w:tc>
          <w:tcPr>
            <w:tcW w:w="6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20" w:type="dxa"/>
            <w:vAlign w:val="bottom"/>
            <w:gridSpan w:val="2"/>
            <w:vMerge w:val="restart"/>
            <w:shd w:val="clear" w:color="auto" w:fill="CCEC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CFF"/>
          </w:tcPr>
          <w:p>
            <w:pPr>
              <w:spacing w:after="0"/>
              <w:rPr>
                <w:sz w:val="12"/>
                <w:szCs w:val="12"/>
                <w:color w:val="auto"/>
              </w:rPr>
            </w:pPr>
          </w:p>
        </w:tc>
        <w:tc>
          <w:tcPr>
            <w:tcW w:w="760" w:type="dxa"/>
            <w:vAlign w:val="bottom"/>
            <w:gridSpan w:val="2"/>
            <w:vMerge w:val="restart"/>
            <w:shd w:val="clear" w:color="auto" w:fill="CCECFF"/>
          </w:tcPr>
          <w:p>
            <w:pPr>
              <w:jc w:val="right"/>
              <w:ind w:right="80"/>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920" w:type="dxa"/>
            <w:vAlign w:val="bottom"/>
            <w:gridSpan w:val="2"/>
            <w:vMerge w:val="restart"/>
            <w:shd w:val="clear" w:color="auto" w:fill="CCEC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vMerge w:val="restart"/>
            <w:shd w:val="clear" w:color="auto" w:fill="CCECFF"/>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40" w:type="dxa"/>
            <w:vAlign w:val="bottom"/>
            <w:gridSpan w:val="2"/>
            <w:vMerge w:val="restart"/>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71"/>
        </w:trPr>
        <w:tc>
          <w:tcPr>
            <w:tcW w:w="36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4"/>
                <w:szCs w:val="14"/>
                <w:color w:val="auto"/>
              </w:rPr>
              <w:t>business</w:t>
            </w:r>
          </w:p>
        </w:tc>
        <w:tc>
          <w:tcPr>
            <w:tcW w:w="940" w:type="dxa"/>
            <w:vAlign w:val="bottom"/>
            <w:gridSpan w:val="2"/>
            <w:vMerge w:val="continue"/>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00" w:type="dxa"/>
            <w:vAlign w:val="bottom"/>
            <w:vMerge w:val="continue"/>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20" w:type="dxa"/>
            <w:vAlign w:val="bottom"/>
            <w:gridSpan w:val="2"/>
            <w:vMerge w:val="continue"/>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760" w:type="dxa"/>
            <w:vAlign w:val="bottom"/>
            <w:gridSpan w:val="2"/>
            <w:vMerge w:val="continue"/>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920" w:type="dxa"/>
            <w:vAlign w:val="bottom"/>
            <w:gridSpan w:val="2"/>
            <w:vMerge w:val="continue"/>
            <w:shd w:val="clear" w:color="auto" w:fill="CCECFF"/>
          </w:tcPr>
          <w:p>
            <w:pPr>
              <w:spacing w:after="0"/>
              <w:rPr>
                <w:sz w:val="14"/>
                <w:szCs w:val="14"/>
                <w:color w:val="auto"/>
              </w:rPr>
            </w:pPr>
          </w:p>
        </w:tc>
        <w:tc>
          <w:tcPr>
            <w:tcW w:w="700" w:type="dxa"/>
            <w:vAlign w:val="bottom"/>
            <w:vMerge w:val="continue"/>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40" w:type="dxa"/>
            <w:vAlign w:val="bottom"/>
            <w:gridSpan w:val="2"/>
            <w:vMerge w:val="continue"/>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740" w:type="dxa"/>
            <w:vAlign w:val="bottom"/>
            <w:gridSpan w:val="2"/>
            <w:vMerge w:val="continue"/>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62"/>
        </w:trPr>
        <w:tc>
          <w:tcPr>
            <w:tcW w:w="366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CFF"/>
          </w:tcPr>
          <w:p>
            <w:pPr>
              <w:spacing w:after="0"/>
              <w:rPr>
                <w:sz w:val="14"/>
                <w:szCs w:val="14"/>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62,390</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40" w:type="dxa"/>
            <w:vAlign w:val="bottom"/>
            <w:gridSpan w:val="2"/>
            <w:shd w:val="clear" w:color="auto" w:fill="CCECFF"/>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62,390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660" w:type="dxa"/>
            <w:vAlign w:val="bottom"/>
            <w:tcBorders>
              <w:bottom w:val="single" w:sz="8" w:color="CCECFF"/>
            </w:tcBorders>
          </w:tcPr>
          <w:p>
            <w:pPr>
              <w:spacing w:after="0" w:line="155" w:lineRule="exact"/>
              <w:rPr>
                <w:sz w:val="20"/>
                <w:szCs w:val="20"/>
                <w:color w:val="auto"/>
              </w:rPr>
            </w:pPr>
            <w:r>
              <w:rPr>
                <w:rFonts w:ascii="Times New Roman" w:cs="Times New Roman" w:eastAsia="Times New Roman" w:hAnsi="Times New Roman"/>
                <w:sz w:val="14"/>
                <w:szCs w:val="14"/>
                <w:color w:val="auto"/>
              </w:rPr>
              <w:t>Balance at January 31, 2021</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74,153</w:t>
            </w:r>
          </w:p>
        </w:tc>
        <w:tc>
          <w:tcPr>
            <w:tcW w:w="240" w:type="dxa"/>
            <w:vAlign w:val="bottom"/>
            <w:tcBorders>
              <w:bottom w:val="single" w:sz="8" w:color="CCEC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74</w:t>
            </w:r>
          </w:p>
        </w:tc>
        <w:tc>
          <w:tcPr>
            <w:tcW w:w="220" w:type="dxa"/>
            <w:vAlign w:val="bottom"/>
            <w:tcBorders>
              <w:bottom w:val="single" w:sz="8" w:color="CCEC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271,222</w:t>
            </w:r>
          </w:p>
        </w:tc>
        <w:tc>
          <w:tcPr>
            <w:tcW w:w="220" w:type="dxa"/>
            <w:vAlign w:val="bottom"/>
            <w:tcBorders>
              <w:bottom w:val="single" w:sz="8" w:color="CCEC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238,715</w:t>
            </w:r>
          </w:p>
        </w:tc>
        <w:tc>
          <w:tcPr>
            <w:tcW w:w="140" w:type="dxa"/>
            <w:vAlign w:val="bottom"/>
            <w:tcBorders>
              <w:bottom w:val="single" w:sz="8" w:color="CCECFF"/>
            </w:tcBorders>
          </w:tcPr>
          <w:p>
            <w:pPr>
              <w:spacing w:after="0"/>
              <w:rPr>
                <w:sz w:val="17"/>
                <w:szCs w:val="17"/>
                <w:color w:val="auto"/>
              </w:rPr>
            </w:pPr>
          </w:p>
        </w:tc>
        <w:tc>
          <w:tcPr>
            <w:tcW w:w="100" w:type="dxa"/>
            <w:vAlign w:val="bottom"/>
            <w:tcBorders>
              <w:bottom w:val="single" w:sz="8" w:color="CCEC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73</w:t>
            </w:r>
          </w:p>
        </w:tc>
        <w:tc>
          <w:tcPr>
            <w:tcW w:w="240" w:type="dxa"/>
            <w:vAlign w:val="bottom"/>
            <w:tcBorders>
              <w:bottom w:val="single" w:sz="8" w:color="CCEC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20,904</w:t>
            </w:r>
          </w:p>
        </w:tc>
        <w:tc>
          <w:tcPr>
            <w:tcW w:w="240" w:type="dxa"/>
            <w:vAlign w:val="bottom"/>
            <w:tcBorders>
              <w:bottom w:val="single" w:sz="8" w:color="CCEC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(272,375</w:t>
            </w:r>
          </w:p>
        </w:tc>
        <w:tc>
          <w:tcPr>
            <w:tcW w:w="220" w:type="dxa"/>
            <w:vAlign w:val="bottom"/>
            <w:tcBorders>
              <w:bottom w:val="single" w:sz="8" w:color="CCECFF"/>
            </w:tcBorders>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CCEC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237,709</w:t>
            </w: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6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Balance at April 30, 2020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73,527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267,630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341,716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18,167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(222,375)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387,118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Proceeds from exercise of employee stock options</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7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40" w:type="dxa"/>
            <w:vAlign w:val="bottom"/>
            <w:gridSpan w:val="2"/>
            <w:shd w:val="clear" w:color="auto" w:fill="CCECFF"/>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 continuing operations</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660" w:type="dxa"/>
            <w:vAlign w:val="bottom"/>
            <w:shd w:val="clear" w:color="auto" w:fill="CCECFF"/>
          </w:tcPr>
          <w:p>
            <w:pPr>
              <w:spacing w:after="0" w:line="139" w:lineRule="exact"/>
              <w:rPr>
                <w:sz w:val="20"/>
                <w:szCs w:val="20"/>
                <w:color w:val="auto"/>
              </w:rPr>
            </w:pPr>
            <w:r>
              <w:rPr>
                <w:rFonts w:ascii="Times New Roman" w:cs="Times New Roman" w:eastAsia="Times New Roman" w:hAnsi="Times New Roman"/>
                <w:sz w:val="14"/>
                <w:szCs w:val="14"/>
                <w:color w:val="auto"/>
              </w:rPr>
              <w:t>Stock-based compensation - discontinued</w:t>
            </w:r>
          </w:p>
        </w:tc>
        <w:tc>
          <w:tcPr>
            <w:tcW w:w="940" w:type="dxa"/>
            <w:vAlign w:val="bottom"/>
            <w:gridSpan w:val="2"/>
            <w:vMerge w:val="restart"/>
            <w:shd w:val="clear" w:color="auto" w:fill="CCEC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2"/>
                <w:szCs w:val="12"/>
                <w:color w:val="auto"/>
              </w:rPr>
            </w:pPr>
          </w:p>
        </w:tc>
        <w:tc>
          <w:tcPr>
            <w:tcW w:w="6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gridSpan w:val="2"/>
            <w:vMerge w:val="restart"/>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920" w:type="dxa"/>
            <w:vAlign w:val="bottom"/>
            <w:gridSpan w:val="2"/>
            <w:vMerge w:val="restart"/>
            <w:shd w:val="clear" w:color="auto" w:fill="CCEC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vMerge w:val="restart"/>
            <w:shd w:val="clear" w:color="auto" w:fill="CCECFF"/>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4"/>
                <w:szCs w:val="14"/>
                <w:color w:val="auto"/>
              </w:rPr>
              <w:t>operations</w:t>
            </w:r>
          </w:p>
        </w:tc>
        <w:tc>
          <w:tcPr>
            <w:tcW w:w="940" w:type="dxa"/>
            <w:vAlign w:val="bottom"/>
            <w:gridSpan w:val="2"/>
            <w:vMerge w:val="continue"/>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00" w:type="dxa"/>
            <w:vAlign w:val="bottom"/>
            <w:vMerge w:val="continue"/>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600" w:type="dxa"/>
            <w:vAlign w:val="bottom"/>
            <w:vMerge w:val="continue"/>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760" w:type="dxa"/>
            <w:vAlign w:val="bottom"/>
            <w:gridSpan w:val="2"/>
            <w:vMerge w:val="continue"/>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920" w:type="dxa"/>
            <w:vAlign w:val="bottom"/>
            <w:gridSpan w:val="2"/>
            <w:vMerge w:val="continue"/>
            <w:shd w:val="clear" w:color="auto" w:fill="CCECFF"/>
          </w:tcPr>
          <w:p>
            <w:pPr>
              <w:spacing w:after="0"/>
              <w:rPr>
                <w:sz w:val="14"/>
                <w:szCs w:val="14"/>
                <w:color w:val="auto"/>
              </w:rPr>
            </w:pPr>
          </w:p>
        </w:tc>
        <w:tc>
          <w:tcPr>
            <w:tcW w:w="700" w:type="dxa"/>
            <w:vAlign w:val="bottom"/>
            <w:vMerge w:val="continue"/>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40" w:type="dxa"/>
            <w:vAlign w:val="bottom"/>
            <w:gridSpan w:val="2"/>
            <w:vMerge w:val="continue"/>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640" w:type="dxa"/>
            <w:vAlign w:val="bottom"/>
            <w:vMerge w:val="continue"/>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Shares issued under employee stock purchase plan</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660" w:type="dxa"/>
            <w:vAlign w:val="bottom"/>
            <w:shd w:val="clear" w:color="auto" w:fill="CCECFF"/>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stock under restricted stock</w:t>
            </w:r>
          </w:p>
        </w:tc>
        <w:tc>
          <w:tcPr>
            <w:tcW w:w="7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20" w:type="dxa"/>
            <w:vAlign w:val="bottom"/>
            <w:gridSpan w:val="2"/>
            <w:vMerge w:val="restart"/>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(2,201)</w:t>
            </w:r>
          </w:p>
        </w:tc>
        <w:tc>
          <w:tcPr>
            <w:tcW w:w="80" w:type="dxa"/>
            <w:vAlign w:val="bottom"/>
            <w:shd w:val="clear" w:color="auto" w:fill="CCECFF"/>
          </w:tcPr>
          <w:p>
            <w:pPr>
              <w:spacing w:after="0"/>
              <w:rPr>
                <w:sz w:val="12"/>
                <w:szCs w:val="12"/>
                <w:color w:val="auto"/>
              </w:rPr>
            </w:pPr>
          </w:p>
        </w:tc>
        <w:tc>
          <w:tcPr>
            <w:tcW w:w="760" w:type="dxa"/>
            <w:vAlign w:val="bottom"/>
            <w:gridSpan w:val="2"/>
            <w:vMerge w:val="restart"/>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920" w:type="dxa"/>
            <w:vAlign w:val="bottom"/>
            <w:gridSpan w:val="2"/>
            <w:vMerge w:val="restart"/>
            <w:shd w:val="clear" w:color="auto" w:fill="CCEC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vMerge w:val="restart"/>
            <w:shd w:val="clear" w:color="auto" w:fill="CCECFF"/>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40" w:type="dxa"/>
            <w:vAlign w:val="bottom"/>
            <w:gridSpan w:val="2"/>
            <w:vMerge w:val="restart"/>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(2,201)</w:t>
            </w:r>
          </w:p>
        </w:tc>
        <w:tc>
          <w:tcPr>
            <w:tcW w:w="0" w:type="dxa"/>
            <w:vAlign w:val="bottom"/>
          </w:tcPr>
          <w:p>
            <w:pPr>
              <w:spacing w:after="0"/>
              <w:rPr>
                <w:sz w:val="1"/>
                <w:szCs w:val="1"/>
                <w:color w:val="auto"/>
              </w:rPr>
            </w:pPr>
          </w:p>
        </w:tc>
      </w:tr>
      <w:tr>
        <w:trPr>
          <w:trHeight w:val="171"/>
        </w:trPr>
        <w:tc>
          <w:tcPr>
            <w:tcW w:w="36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4"/>
                <w:szCs w:val="14"/>
                <w:color w:val="auto"/>
              </w:rPr>
              <w:t>unit awards, net of shares surrendered</w:t>
            </w:r>
          </w:p>
        </w:tc>
        <w:tc>
          <w:tcPr>
            <w:tcW w:w="700" w:type="dxa"/>
            <w:vAlign w:val="bottom"/>
            <w:vMerge w:val="continue"/>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00" w:type="dxa"/>
            <w:vAlign w:val="bottom"/>
            <w:vMerge w:val="continue"/>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20" w:type="dxa"/>
            <w:vAlign w:val="bottom"/>
            <w:gridSpan w:val="2"/>
            <w:vMerge w:val="continue"/>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760" w:type="dxa"/>
            <w:vAlign w:val="bottom"/>
            <w:gridSpan w:val="2"/>
            <w:vMerge w:val="continue"/>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920" w:type="dxa"/>
            <w:vAlign w:val="bottom"/>
            <w:gridSpan w:val="2"/>
            <w:vMerge w:val="continue"/>
            <w:shd w:val="clear" w:color="auto" w:fill="CCECFF"/>
          </w:tcPr>
          <w:p>
            <w:pPr>
              <w:spacing w:after="0"/>
              <w:rPr>
                <w:sz w:val="14"/>
                <w:szCs w:val="14"/>
                <w:color w:val="auto"/>
              </w:rPr>
            </w:pPr>
          </w:p>
        </w:tc>
        <w:tc>
          <w:tcPr>
            <w:tcW w:w="700" w:type="dxa"/>
            <w:vAlign w:val="bottom"/>
            <w:vMerge w:val="continue"/>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40" w:type="dxa"/>
            <w:vAlign w:val="bottom"/>
            <w:gridSpan w:val="2"/>
            <w:vMerge w:val="continue"/>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740" w:type="dxa"/>
            <w:vAlign w:val="bottom"/>
            <w:gridSpan w:val="2"/>
            <w:vMerge w:val="continue"/>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Repurchase of treasury stock</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(50,000)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162"/>
        </w:trPr>
        <w:tc>
          <w:tcPr>
            <w:tcW w:w="366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Dividends issued</w:t>
            </w:r>
          </w:p>
        </w:tc>
        <w:tc>
          <w:tcPr>
            <w:tcW w:w="9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CFF"/>
          </w:tcPr>
          <w:p>
            <w:pPr>
              <w:spacing w:after="0"/>
              <w:rPr>
                <w:sz w:val="14"/>
                <w:szCs w:val="14"/>
                <w:color w:val="auto"/>
              </w:rPr>
            </w:pPr>
          </w:p>
        </w:tc>
        <w:tc>
          <w:tcPr>
            <w:tcW w:w="7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4"/>
                <w:szCs w:val="14"/>
                <w:color w:val="auto"/>
              </w:rPr>
              <w:t>(5,594)</w:t>
            </w: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40" w:type="dxa"/>
            <w:vAlign w:val="bottom"/>
            <w:gridSpan w:val="2"/>
            <w:shd w:val="clear" w:color="auto" w:fill="CCECFF"/>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7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(5,594)</w:t>
            </w:r>
          </w:p>
        </w:tc>
        <w:tc>
          <w:tcPr>
            <w:tcW w:w="0" w:type="dxa"/>
            <w:vAlign w:val="bottom"/>
          </w:tcPr>
          <w:p>
            <w:pPr>
              <w:spacing w:after="0"/>
              <w:rPr>
                <w:sz w:val="1"/>
                <w:szCs w:val="1"/>
                <w:color w:val="auto"/>
              </w:rPr>
            </w:pPr>
          </w:p>
        </w:tc>
      </w:tr>
      <w:tr>
        <w:trPr>
          <w:trHeight w:val="139"/>
        </w:trPr>
        <w:tc>
          <w:tcPr>
            <w:tcW w:w="36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Spin off of outdoor products and accessories</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(260,420)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(260,420)</w:t>
            </w:r>
          </w:p>
        </w:tc>
        <w:tc>
          <w:tcPr>
            <w:tcW w:w="0" w:type="dxa"/>
            <w:vAlign w:val="bottom"/>
          </w:tcPr>
          <w:p>
            <w:pPr>
              <w:spacing w:after="0"/>
              <w:rPr>
                <w:sz w:val="1"/>
                <w:szCs w:val="1"/>
                <w:color w:val="auto"/>
              </w:rPr>
            </w:pPr>
          </w:p>
        </w:tc>
      </w:tr>
      <w:tr>
        <w:trPr>
          <w:trHeight w:val="171"/>
        </w:trPr>
        <w:tc>
          <w:tcPr>
            <w:tcW w:w="3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business</w:t>
            </w: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CFF"/>
          </w:tcPr>
          <w:p>
            <w:pPr>
              <w:spacing w:after="0"/>
              <w:rPr>
                <w:sz w:val="14"/>
                <w:szCs w:val="14"/>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163,013</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40" w:type="dxa"/>
            <w:vAlign w:val="bottom"/>
            <w:gridSpan w:val="2"/>
            <w:shd w:val="clear" w:color="auto" w:fill="CCECFF"/>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163,013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at January 31, 2021</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74,153</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74</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271,222</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238,715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73</w:t>
            </w:r>
          </w:p>
        </w:tc>
        <w:tc>
          <w:tcPr>
            <w:tcW w:w="24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20,904</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(272,375</w:t>
            </w:r>
          </w:p>
        </w:tc>
        <w:tc>
          <w:tcPr>
            <w:tcW w:w="220" w:type="dxa"/>
            <w:vAlign w:val="bottom"/>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237,709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56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For the Nine Months Ended January 31,</w:t>
            </w:r>
          </w:p>
        </w:tc>
      </w:tr>
      <w:tr>
        <w:trPr>
          <w:trHeight w:val="156"/>
        </w:trPr>
        <w:tc>
          <w:tcPr>
            <w:tcW w:w="6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7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3"/>
                <w:szCs w:val="13"/>
                <w:color w:val="auto"/>
              </w:rPr>
            </w:pPr>
          </w:p>
        </w:tc>
      </w:tr>
      <w:tr>
        <w:trPr>
          <w:trHeight w:val="156"/>
        </w:trPr>
        <w:tc>
          <w:tcPr>
            <w:tcW w:w="6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gridSpan w:val="3"/>
          </w:tcPr>
          <w:p>
            <w:pPr>
              <w:jc w:val="right"/>
              <w:ind w:right="75"/>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7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Income from continuing operations</w:t>
            </w:r>
          </w:p>
        </w:tc>
        <w:tc>
          <w:tcPr>
            <w:tcW w:w="1680" w:type="dxa"/>
            <w:vAlign w:val="bottom"/>
            <w:gridSpan w:val="2"/>
          </w:tcPr>
          <w:p>
            <w:pPr>
              <w:jc w:val="right"/>
              <w:ind w:right="76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154,679</w:t>
            </w:r>
          </w:p>
        </w:tc>
        <w:tc>
          <w:tcPr>
            <w:tcW w:w="260" w:type="dxa"/>
            <w:vAlign w:val="bottom"/>
          </w:tcPr>
          <w:p>
            <w:pPr>
              <w:spacing w:after="0"/>
              <w:rPr>
                <w:sz w:val="18"/>
                <w:szCs w:val="18"/>
                <w:color w:val="auto"/>
              </w:rPr>
            </w:pPr>
          </w:p>
        </w:tc>
        <w:tc>
          <w:tcPr>
            <w:tcW w:w="4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6,755</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7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24,133</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24,320</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Loss on sale/disposition of assets</w:t>
            </w:r>
          </w:p>
        </w:tc>
        <w:tc>
          <w:tcPr>
            <w:tcW w:w="7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Provision for losses on notes and accounts receivable</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(693)</w:t>
            </w:r>
          </w:p>
        </w:tc>
        <w:tc>
          <w:tcPr>
            <w:tcW w:w="4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(98)</w:t>
            </w:r>
          </w:p>
        </w:tc>
      </w:tr>
      <w:tr>
        <w:trPr>
          <w:trHeight w:val="216"/>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Deferred income taxes</w:t>
            </w:r>
          </w:p>
        </w:tc>
        <w:tc>
          <w:tcPr>
            <w:tcW w:w="7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(18)</w:t>
            </w:r>
          </w:p>
        </w:tc>
      </w:tr>
      <w:tr>
        <w:trPr>
          <w:trHeight w:val="216"/>
        </w:trPr>
        <w:tc>
          <w:tcPr>
            <w:tcW w:w="69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Change in fair value of contingent consideration</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7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3,392</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941</w:t>
            </w: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7"/>
                <w:szCs w:val="17"/>
                <w:color w:val="auto"/>
              </w:rPr>
              <w:t>Accounts receivable</w:t>
            </w:r>
          </w:p>
        </w:tc>
        <w:tc>
          <w:tcPr>
            <w:tcW w:w="7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(8,503)</w:t>
            </w:r>
          </w:p>
        </w:tc>
      </w:tr>
      <w:tr>
        <w:trPr>
          <w:trHeight w:val="216"/>
        </w:trPr>
        <w:tc>
          <w:tcPr>
            <w:tcW w:w="694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Inventories</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19,295</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(31,687)</w:t>
            </w:r>
          </w:p>
        </w:tc>
      </w:tr>
      <w:tr>
        <w:trPr>
          <w:trHeight w:val="216"/>
        </w:trPr>
        <w:tc>
          <w:tcPr>
            <w:tcW w:w="6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7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(1,018)</w:t>
            </w:r>
          </w:p>
        </w:tc>
        <w:tc>
          <w:tcPr>
            <w:tcW w:w="4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(3,797)</w:t>
            </w:r>
          </w:p>
        </w:tc>
      </w:tr>
      <w:tr>
        <w:trPr>
          <w:trHeight w:val="216"/>
        </w:trPr>
        <w:tc>
          <w:tcPr>
            <w:tcW w:w="694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Income taxes</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(12,831)</w:t>
            </w:r>
          </w:p>
        </w:tc>
        <w:tc>
          <w:tcPr>
            <w:tcW w:w="4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(2,196)</w:t>
            </w:r>
          </w:p>
        </w:tc>
      </w:tr>
      <w:tr>
        <w:trPr>
          <w:trHeight w:val="216"/>
        </w:trPr>
        <w:tc>
          <w:tcPr>
            <w:tcW w:w="6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7"/>
                <w:szCs w:val="17"/>
                <w:color w:val="auto"/>
              </w:rPr>
              <w:t>Accounts payable</w:t>
            </w:r>
          </w:p>
        </w:tc>
        <w:tc>
          <w:tcPr>
            <w:tcW w:w="7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17,299</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(2,398)</w:t>
            </w:r>
          </w:p>
        </w:tc>
      </w:tr>
      <w:tr>
        <w:trPr>
          <w:trHeight w:val="216"/>
        </w:trPr>
        <w:tc>
          <w:tcPr>
            <w:tcW w:w="694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Accrued payroll and incentives</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2,040</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(6,754)</w:t>
            </w:r>
          </w:p>
        </w:tc>
      </w:tr>
      <w:tr>
        <w:trPr>
          <w:trHeight w:val="216"/>
        </w:trPr>
        <w:tc>
          <w:tcPr>
            <w:tcW w:w="6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7"/>
                <w:szCs w:val="17"/>
                <w:color w:val="auto"/>
              </w:rPr>
              <w:t>Accrued profit sharing</w:t>
            </w:r>
          </w:p>
        </w:tc>
        <w:tc>
          <w:tcPr>
            <w:tcW w:w="7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8,663</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(1,006)</w:t>
            </w:r>
          </w:p>
        </w:tc>
      </w:tr>
      <w:tr>
        <w:trPr>
          <w:trHeight w:val="216"/>
        </w:trPr>
        <w:tc>
          <w:tcPr>
            <w:tcW w:w="694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Accrued expenses and deferred revenue</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(19,950)</w:t>
            </w:r>
          </w:p>
        </w:tc>
        <w:tc>
          <w:tcPr>
            <w:tcW w:w="4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(1,584)</w:t>
            </w:r>
          </w:p>
        </w:tc>
      </w:tr>
      <w:tr>
        <w:trPr>
          <w:trHeight w:val="216"/>
        </w:trPr>
        <w:tc>
          <w:tcPr>
            <w:tcW w:w="6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7"/>
                <w:szCs w:val="17"/>
                <w:color w:val="auto"/>
              </w:rPr>
              <w:t>Accrued warranty</w:t>
            </w:r>
          </w:p>
        </w:tc>
        <w:tc>
          <w:tcPr>
            <w:tcW w:w="7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(526)</w:t>
            </w:r>
          </w:p>
        </w:tc>
      </w:tr>
      <w:tr>
        <w:trPr>
          <w:trHeight w:val="216"/>
        </w:trPr>
        <w:tc>
          <w:tcPr>
            <w:tcW w:w="694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Other assets</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1,226</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1,281</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7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1,309</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(1,777)</w:t>
            </w:r>
          </w:p>
        </w:tc>
      </w:tr>
      <w:tr>
        <w:trPr>
          <w:trHeight w:val="210"/>
        </w:trPr>
        <w:tc>
          <w:tcPr>
            <w:tcW w:w="694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Cash provided by/(used in) operating activities - continuing operations</w:t>
            </w:r>
          </w:p>
        </w:tc>
        <w:tc>
          <w:tcPr>
            <w:tcW w:w="7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198,437</w:t>
            </w:r>
          </w:p>
        </w:tc>
        <w:tc>
          <w:tcPr>
            <w:tcW w:w="2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(26,637)</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7"/>
                <w:szCs w:val="17"/>
                <w:color w:val="auto"/>
              </w:rPr>
              <w:t>Cash used in/(provided by) operating activities - discontinued operations</w:t>
            </w:r>
          </w:p>
        </w:tc>
        <w:tc>
          <w:tcPr>
            <w:tcW w:w="7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(2,129)</w:t>
            </w: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1,804</w:t>
            </w:r>
          </w:p>
        </w:tc>
        <w:tc>
          <w:tcPr>
            <w:tcW w:w="120" w:type="dxa"/>
            <w:vAlign w:val="bottom"/>
            <w:shd w:val="clear" w:color="auto" w:fill="CFF0FC"/>
          </w:tcPr>
          <w:p>
            <w:pPr>
              <w:spacing w:after="0"/>
              <w:rPr>
                <w:sz w:val="18"/>
                <w:szCs w:val="18"/>
                <w:color w:val="auto"/>
              </w:rPr>
            </w:pPr>
          </w:p>
        </w:tc>
      </w:tr>
      <w:tr>
        <w:trPr>
          <w:trHeight w:val="209"/>
        </w:trPr>
        <w:tc>
          <w:tcPr>
            <w:tcW w:w="694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7"/>
                <w:szCs w:val="17"/>
                <w:color w:val="auto"/>
              </w:rPr>
              <w:t>Net cash provided by/(used in) operating activities</w:t>
            </w:r>
          </w:p>
        </w:tc>
        <w:tc>
          <w:tcPr>
            <w:tcW w:w="740" w:type="dxa"/>
            <w:vAlign w:val="bottom"/>
            <w:tcBorders>
              <w:bottom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196,308</w:t>
            </w:r>
          </w:p>
        </w:tc>
        <w:tc>
          <w:tcPr>
            <w:tcW w:w="260" w:type="dxa"/>
            <w:vAlign w:val="bottom"/>
            <w:tcBorders>
              <w:bottom w:val="single" w:sz="8" w:color="CFF0FC"/>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(24,833)</w:t>
            </w:r>
          </w:p>
        </w:tc>
        <w:tc>
          <w:tcPr>
            <w:tcW w:w="120" w:type="dxa"/>
            <w:vAlign w:val="bottom"/>
            <w:tcBorders>
              <w:bottom w:val="single" w:sz="8" w:color="CFF0FC"/>
            </w:tcBorders>
          </w:tcPr>
          <w:p>
            <w:pPr>
              <w:spacing w:after="0"/>
              <w:rPr>
                <w:sz w:val="18"/>
                <w:szCs w:val="18"/>
                <w:color w:val="auto"/>
              </w:rPr>
            </w:pPr>
          </w:p>
        </w:tc>
      </w:tr>
      <w:tr>
        <w:trPr>
          <w:trHeight w:val="21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7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8"/>
        </w:trPr>
        <w:tc>
          <w:tcPr>
            <w:tcW w:w="6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Refunds on machinery and equipment</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6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Payments to acquire patents and software</w:t>
            </w: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(502)</w:t>
            </w:r>
          </w:p>
        </w:tc>
        <w:tc>
          <w:tcPr>
            <w:tcW w:w="46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(303)</w:t>
            </w:r>
          </w:p>
        </w:tc>
      </w:tr>
      <w:tr>
        <w:trPr>
          <w:trHeight w:val="217"/>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Payments to acquire property and equipment</w:t>
            </w:r>
          </w:p>
        </w:tc>
        <w:tc>
          <w:tcPr>
            <w:tcW w:w="7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(18,378)</w:t>
            </w:r>
          </w:p>
        </w:tc>
        <w:tc>
          <w:tcPr>
            <w:tcW w:w="4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(10,504)</w:t>
            </w:r>
          </w:p>
        </w:tc>
      </w:tr>
      <w:tr>
        <w:trPr>
          <w:trHeight w:val="210"/>
        </w:trPr>
        <w:tc>
          <w:tcPr>
            <w:tcW w:w="6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Cash used by investing activities - continuing operations</w:t>
            </w:r>
          </w:p>
        </w:tc>
        <w:tc>
          <w:tcPr>
            <w:tcW w:w="7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(18,570)</w:t>
            </w:r>
          </w:p>
        </w:tc>
        <w:tc>
          <w:tcPr>
            <w:tcW w:w="2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(10,807)</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Cash used by investing activities - discontinued operations</w:t>
            </w:r>
          </w:p>
        </w:tc>
        <w:tc>
          <w:tcPr>
            <w:tcW w:w="7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(1,143)</w:t>
            </w:r>
          </w:p>
        </w:tc>
        <w:tc>
          <w:tcPr>
            <w:tcW w:w="4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(1,495)</w:t>
            </w:r>
          </w:p>
        </w:tc>
      </w:tr>
      <w:tr>
        <w:trPr>
          <w:trHeight w:val="209"/>
        </w:trPr>
        <w:tc>
          <w:tcPr>
            <w:tcW w:w="694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740" w:type="dxa"/>
            <w:vAlign w:val="bottom"/>
            <w:tcBorders>
              <w:bottom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(19,713)</w:t>
            </w:r>
          </w:p>
        </w:tc>
        <w:tc>
          <w:tcPr>
            <w:tcW w:w="260" w:type="dxa"/>
            <w:vAlign w:val="bottom"/>
            <w:tcBorders>
              <w:bottom w:val="single" w:sz="8" w:color="CFF0FC"/>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(12,302)</w:t>
            </w:r>
          </w:p>
        </w:tc>
        <w:tc>
          <w:tcPr>
            <w:tcW w:w="120" w:type="dxa"/>
            <w:vAlign w:val="bottom"/>
            <w:tcBorders>
              <w:bottom w:val="single" w:sz="8" w:color="CFF0FC"/>
            </w:tcBorders>
          </w:tcPr>
          <w:p>
            <w:pPr>
              <w:spacing w:after="0"/>
              <w:rPr>
                <w:sz w:val="18"/>
                <w:szCs w:val="18"/>
                <w:color w:val="auto"/>
              </w:rPr>
            </w:pPr>
          </w:p>
        </w:tc>
      </w:tr>
      <w:tr>
        <w:trPr>
          <w:trHeight w:val="21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7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Proceeds from loans and notes payable</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228,225</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Cash paid for debt issuance costs</w:t>
            </w:r>
          </w:p>
        </w:tc>
        <w:tc>
          <w:tcPr>
            <w:tcW w:w="7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(450)</w:t>
            </w:r>
          </w:p>
        </w:tc>
        <w:tc>
          <w:tcPr>
            <w:tcW w:w="4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(875)</w:t>
            </w:r>
          </w:p>
        </w:tc>
      </w:tr>
      <w:tr>
        <w:trPr>
          <w:trHeight w:val="216"/>
        </w:trPr>
        <w:tc>
          <w:tcPr>
            <w:tcW w:w="6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Payments on finance lease obligation</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(736)</w:t>
            </w:r>
          </w:p>
        </w:tc>
        <w:tc>
          <w:tcPr>
            <w:tcW w:w="4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(663)</w:t>
            </w:r>
          </w:p>
        </w:tc>
      </w:tr>
      <w:tr>
        <w:trPr>
          <w:trHeight w:val="216"/>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Payments on notes and loans payable</w:t>
            </w:r>
          </w:p>
        </w:tc>
        <w:tc>
          <w:tcPr>
            <w:tcW w:w="7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(185,000)</w:t>
            </w:r>
          </w:p>
        </w:tc>
        <w:tc>
          <w:tcPr>
            <w:tcW w:w="4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(184,600)</w:t>
            </w:r>
          </w:p>
        </w:tc>
      </w:tr>
      <w:tr>
        <w:trPr>
          <w:trHeight w:val="216"/>
        </w:trPr>
        <w:tc>
          <w:tcPr>
            <w:tcW w:w="6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Distribution to discontinued operations</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(25,000)</w:t>
            </w:r>
          </w:p>
        </w:tc>
        <w:tc>
          <w:tcPr>
            <w:tcW w:w="4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Payments to acquire treasury stock</w:t>
            </w:r>
          </w:p>
        </w:tc>
        <w:tc>
          <w:tcPr>
            <w:tcW w:w="7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(50,000)</w:t>
            </w:r>
          </w:p>
        </w:tc>
        <w:tc>
          <w:tcPr>
            <w:tcW w:w="4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6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Dividend distribution</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(5,594)</w:t>
            </w:r>
          </w:p>
        </w:tc>
        <w:tc>
          <w:tcPr>
            <w:tcW w:w="4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194"/>
        </w:trPr>
        <w:tc>
          <w:tcPr>
            <w:tcW w:w="6940" w:type="dxa"/>
            <w:vAlign w:val="bottom"/>
            <w:shd w:val="clear" w:color="auto" w:fill="CFF0FC"/>
          </w:tcPr>
          <w:p>
            <w:pPr>
              <w:ind w:left="260"/>
              <w:spacing w:after="0" w:line="194" w:lineRule="exact"/>
              <w:rPr>
                <w:sz w:val="20"/>
                <w:szCs w:val="20"/>
                <w:color w:val="auto"/>
              </w:rPr>
            </w:pPr>
            <w:r>
              <w:rPr>
                <w:rFonts w:ascii="Times New Roman" w:cs="Times New Roman" w:eastAsia="Times New Roman" w:hAnsi="Times New Roman"/>
                <w:sz w:val="17"/>
                <w:szCs w:val="17"/>
                <w:color w:val="auto"/>
              </w:rPr>
              <w:t>Proceeds from exercise of options to acquire common stock, including employee stock</w:t>
            </w:r>
          </w:p>
        </w:tc>
        <w:tc>
          <w:tcPr>
            <w:tcW w:w="7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24"/>
        </w:trPr>
        <w:tc>
          <w:tcPr>
            <w:tcW w:w="69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purchase plan</w:t>
            </w:r>
          </w:p>
        </w:tc>
        <w:tc>
          <w:tcPr>
            <w:tcW w:w="7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2,217</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936</w:t>
            </w:r>
          </w:p>
        </w:tc>
        <w:tc>
          <w:tcPr>
            <w:tcW w:w="120" w:type="dxa"/>
            <w:vAlign w:val="bottom"/>
            <w:shd w:val="clear" w:color="auto" w:fill="CFF0FC"/>
          </w:tcPr>
          <w:p>
            <w:pPr>
              <w:spacing w:after="0"/>
              <w:rPr>
                <w:sz w:val="19"/>
                <w:szCs w:val="19"/>
                <w:color w:val="auto"/>
              </w:rPr>
            </w:pPr>
          </w:p>
        </w:tc>
      </w:tr>
      <w:tr>
        <w:trPr>
          <w:trHeight w:val="216"/>
        </w:trPr>
        <w:tc>
          <w:tcPr>
            <w:tcW w:w="6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Payment of employee withholding tax related to restricted stock units</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(2,201)</w:t>
            </w:r>
          </w:p>
        </w:tc>
        <w:tc>
          <w:tcPr>
            <w:tcW w:w="4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(594)</w:t>
            </w:r>
          </w:p>
        </w:tc>
      </w:tr>
      <w:tr>
        <w:trPr>
          <w:trHeight w:val="210"/>
        </w:trPr>
        <w:tc>
          <w:tcPr>
            <w:tcW w:w="694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Cash (used in)/provided by financing activities - continuing operations</w:t>
            </w:r>
          </w:p>
        </w:tc>
        <w:tc>
          <w:tcPr>
            <w:tcW w:w="7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(241,764)</w:t>
            </w:r>
          </w:p>
        </w:tc>
        <w:tc>
          <w:tcPr>
            <w:tcW w:w="26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42,429</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6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Cash used in financing activities - discontinued operations</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(166)</w:t>
            </w:r>
          </w:p>
        </w:tc>
        <w:tc>
          <w:tcPr>
            <w:tcW w:w="4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6940" w:type="dxa"/>
            <w:vAlign w:val="bottom"/>
            <w:tcBorders>
              <w:top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7"/>
                <w:szCs w:val="17"/>
                <w:color w:val="auto"/>
              </w:rPr>
              <w:t>Net cash (used in)/provided by financing activities</w:t>
            </w:r>
          </w:p>
        </w:tc>
        <w:tc>
          <w:tcPr>
            <w:tcW w:w="7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(241,930)</w:t>
            </w:r>
          </w:p>
        </w:tc>
        <w:tc>
          <w:tcPr>
            <w:tcW w:w="26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42,429</w:t>
            </w:r>
          </w:p>
        </w:tc>
        <w:tc>
          <w:tcPr>
            <w:tcW w:w="120" w:type="dxa"/>
            <w:vAlign w:val="bottom"/>
            <w:tcBorders>
              <w:top w:val="single" w:sz="8" w:color="CFF0FC"/>
            </w:tcBorders>
            <w:shd w:val="clear" w:color="auto" w:fill="CFF0FC"/>
          </w:tcPr>
          <w:p>
            <w:pPr>
              <w:spacing w:after="0"/>
              <w:rPr>
                <w:sz w:val="18"/>
                <w:szCs w:val="18"/>
                <w:color w:val="auto"/>
              </w:rPr>
            </w:pPr>
          </w:p>
        </w:tc>
      </w:tr>
      <w:tr>
        <w:trPr>
          <w:trHeight w:val="210"/>
        </w:trPr>
        <w:tc>
          <w:tcPr>
            <w:tcW w:w="6940" w:type="dxa"/>
            <w:vAlign w:val="bottom"/>
          </w:tcPr>
          <w:p>
            <w:pPr>
              <w:spacing w:after="0"/>
              <w:rPr>
                <w:sz w:val="20"/>
                <w:szCs w:val="20"/>
                <w:color w:val="auto"/>
              </w:rPr>
            </w:pPr>
            <w:r>
              <w:rPr>
                <w:rFonts w:ascii="Times New Roman" w:cs="Times New Roman" w:eastAsia="Times New Roman" w:hAnsi="Times New Roman"/>
                <w:sz w:val="17"/>
                <w:szCs w:val="17"/>
                <w:color w:val="auto"/>
              </w:rPr>
              <w:t>Net (decrease)/increase in cash and cash equivalents</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(65,335)</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5,294</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74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125,011</w:t>
            </w:r>
          </w:p>
        </w:tc>
        <w:tc>
          <w:tcPr>
            <w:tcW w:w="26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40,853</w:t>
            </w:r>
          </w:p>
        </w:tc>
        <w:tc>
          <w:tcPr>
            <w:tcW w:w="120" w:type="dxa"/>
            <w:vAlign w:val="bottom"/>
            <w:shd w:val="clear" w:color="auto" w:fill="CFF0FC"/>
          </w:tcPr>
          <w:p>
            <w:pPr>
              <w:spacing w:after="0"/>
              <w:rPr>
                <w:sz w:val="18"/>
                <w:szCs w:val="18"/>
                <w:color w:val="auto"/>
              </w:rPr>
            </w:pPr>
          </w:p>
        </w:tc>
      </w:tr>
      <w:tr>
        <w:trPr>
          <w:trHeight w:val="250"/>
        </w:trPr>
        <w:tc>
          <w:tcPr>
            <w:tcW w:w="6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740" w:type="dxa"/>
            <w:vAlign w:val="bottom"/>
            <w:tcBorders>
              <w:bottom w:val="single" w:sz="8" w:color="CFF0FC"/>
            </w:tcBorders>
          </w:tcPr>
          <w:p>
            <w:pPr>
              <w:spacing w:after="0"/>
              <w:rPr>
                <w:sz w:val="21"/>
                <w:szCs w:val="21"/>
                <w:color w:val="auto"/>
              </w:rPr>
            </w:pPr>
          </w:p>
        </w:tc>
        <w:tc>
          <w:tcPr>
            <w:tcW w:w="940" w:type="dxa"/>
            <w:vAlign w:val="bottom"/>
            <w:tcBorders>
              <w:bottom w:val="single" w:sz="8" w:color="auto"/>
            </w:tcBorders>
          </w:tcPr>
          <w:p>
            <w:pPr>
              <w:jc w:val="right"/>
              <w:ind w:right="76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59,676</w:t>
            </w:r>
          </w:p>
        </w:tc>
        <w:tc>
          <w:tcPr>
            <w:tcW w:w="260" w:type="dxa"/>
            <w:vAlign w:val="bottom"/>
            <w:tcBorders>
              <w:bottom w:val="single" w:sz="8" w:color="CFF0FC"/>
            </w:tcBorders>
          </w:tcPr>
          <w:p>
            <w:pPr>
              <w:spacing w:after="0"/>
              <w:rPr>
                <w:sz w:val="21"/>
                <w:szCs w:val="21"/>
                <w:color w:val="auto"/>
              </w:rPr>
            </w:pPr>
          </w:p>
        </w:tc>
        <w:tc>
          <w:tcPr>
            <w:tcW w:w="4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46,147</w:t>
            </w:r>
          </w:p>
        </w:tc>
        <w:tc>
          <w:tcPr>
            <w:tcW w:w="120" w:type="dxa"/>
            <w:vAlign w:val="bottom"/>
            <w:tcBorders>
              <w:bottom w:val="single" w:sz="8" w:color="CFF0FC"/>
            </w:tcBorders>
          </w:tcPr>
          <w:p>
            <w:pPr>
              <w:spacing w:after="0"/>
              <w:rPr>
                <w:sz w:val="21"/>
                <w:szCs w:val="21"/>
                <w:color w:val="auto"/>
              </w:rPr>
            </w:pPr>
          </w:p>
        </w:tc>
      </w:tr>
      <w:tr>
        <w:trPr>
          <w:trHeight w:val="19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7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6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Cash paid for:</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Interest</w:t>
            </w:r>
          </w:p>
        </w:tc>
        <w:tc>
          <w:tcPr>
            <w:tcW w:w="1680" w:type="dxa"/>
            <w:vAlign w:val="bottom"/>
            <w:gridSpan w:val="2"/>
            <w:shd w:val="clear" w:color="auto" w:fill="CFF0FC"/>
          </w:tcPr>
          <w:p>
            <w:pPr>
              <w:jc w:val="right"/>
              <w:ind w:right="76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2,745</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8,422</w:t>
            </w:r>
          </w:p>
        </w:tc>
        <w:tc>
          <w:tcPr>
            <w:tcW w:w="120" w:type="dxa"/>
            <w:vAlign w:val="bottom"/>
            <w:shd w:val="clear" w:color="auto" w:fill="CFF0FC"/>
          </w:tcPr>
          <w:p>
            <w:pPr>
              <w:spacing w:after="0"/>
              <w:rPr>
                <w:sz w:val="18"/>
                <w:szCs w:val="18"/>
                <w:color w:val="auto"/>
              </w:rPr>
            </w:pPr>
          </w:p>
        </w:tc>
      </w:tr>
      <w:tr>
        <w:trPr>
          <w:trHeight w:val="222"/>
        </w:trPr>
        <w:tc>
          <w:tcPr>
            <w:tcW w:w="69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Income taxes</w:t>
            </w:r>
          </w:p>
        </w:tc>
        <w:tc>
          <w:tcPr>
            <w:tcW w:w="1680" w:type="dxa"/>
            <w:vAlign w:val="bottom"/>
            <w:gridSpan w:val="2"/>
          </w:tcPr>
          <w:p>
            <w:pPr>
              <w:jc w:val="right"/>
              <w:ind w:right="76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63,525</w:t>
            </w:r>
          </w:p>
        </w:tc>
        <w:tc>
          <w:tcPr>
            <w:tcW w:w="260" w:type="dxa"/>
            <w:vAlign w:val="bottom"/>
          </w:tcPr>
          <w:p>
            <w:pPr>
              <w:spacing w:after="0"/>
              <w:rPr>
                <w:sz w:val="19"/>
                <w:szCs w:val="19"/>
                <w:color w:val="auto"/>
              </w:rPr>
            </w:pPr>
          </w:p>
        </w:tc>
        <w:tc>
          <w:tcPr>
            <w:tcW w:w="4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5,755</w:t>
            </w:r>
          </w:p>
        </w:tc>
        <w:tc>
          <w:tcPr>
            <w:tcW w:w="120" w:type="dxa"/>
            <w:vAlign w:val="bottom"/>
          </w:tcPr>
          <w:p>
            <w:pPr>
              <w:spacing w:after="0"/>
              <w:rPr>
                <w:sz w:val="19"/>
                <w:szCs w:val="19"/>
                <w:color w:val="auto"/>
              </w:rPr>
            </w:pPr>
          </w:p>
        </w:tc>
      </w:tr>
    </w:tbl>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CONDENSED CONSOLIDATED STATEMENTS OF CASH FLOWS - (Continued) (Unaudited)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5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Nine Months Ended January 31,</w:t>
            </w:r>
          </w:p>
        </w:tc>
      </w:tr>
      <w:tr>
        <w:trPr>
          <w:trHeight w:val="155"/>
        </w:trPr>
        <w:tc>
          <w:tcPr>
            <w:tcW w:w="6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6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7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3"/>
                <w:szCs w:val="13"/>
                <w:color w:val="auto"/>
              </w:rPr>
            </w:pPr>
          </w:p>
        </w:tc>
      </w:tr>
      <w:tr>
        <w:trPr>
          <w:trHeight w:val="156"/>
        </w:trPr>
        <w:tc>
          <w:tcPr>
            <w:tcW w:w="6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4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w:t>
            </w:r>
          </w:p>
        </w:tc>
        <w:tc>
          <w:tcPr>
            <w:tcW w:w="248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817</w:t>
            </w:r>
          </w:p>
        </w:tc>
        <w:tc>
          <w:tcPr>
            <w:tcW w:w="60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shd w:val="clear" w:color="auto" w:fill="CFF0FC"/>
          </w:tcPr>
          <w:p>
            <w:pPr>
              <w:spacing w:after="0"/>
              <w:rPr>
                <w:sz w:val="19"/>
                <w:szCs w:val="19"/>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 on deposit placed into service</w:t>
            </w:r>
          </w:p>
        </w:tc>
        <w:tc>
          <w:tcPr>
            <w:tcW w:w="1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1,855</w:t>
            </w:r>
          </w:p>
        </w:tc>
        <w:tc>
          <w:tcPr>
            <w:tcW w:w="60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Adoption of ASU 2016-02:</w:t>
            </w:r>
          </w:p>
        </w:tc>
        <w:tc>
          <w:tcPr>
            <w:tcW w:w="1420" w:type="dxa"/>
            <w:vAlign w:val="bottom"/>
            <w:shd w:val="clear" w:color="auto" w:fill="CCECFF"/>
          </w:tcPr>
          <w:p>
            <w:pPr>
              <w:spacing w:after="0"/>
              <w:rPr>
                <w:sz w:val="19"/>
                <w:szCs w:val="19"/>
                <w:color w:val="auto"/>
              </w:rPr>
            </w:pPr>
          </w:p>
        </w:tc>
        <w:tc>
          <w:tcPr>
            <w:tcW w:w="1060" w:type="dxa"/>
            <w:vAlign w:val="bottom"/>
            <w:shd w:val="clear" w:color="auto" w:fill="CCECFF"/>
          </w:tcPr>
          <w:p>
            <w:pPr>
              <w:spacing w:after="0"/>
              <w:rPr>
                <w:sz w:val="19"/>
                <w:szCs w:val="19"/>
                <w:color w:val="auto"/>
              </w:rPr>
            </w:pPr>
          </w:p>
        </w:tc>
        <w:tc>
          <w:tcPr>
            <w:tcW w:w="640" w:type="dxa"/>
            <w:vAlign w:val="bottom"/>
            <w:shd w:val="clear" w:color="auto" w:fill="CCECFF"/>
          </w:tcPr>
          <w:p>
            <w:pPr>
              <w:spacing w:after="0"/>
              <w:rPr>
                <w:sz w:val="19"/>
                <w:szCs w:val="19"/>
                <w:color w:val="auto"/>
              </w:rPr>
            </w:pPr>
          </w:p>
        </w:tc>
        <w:tc>
          <w:tcPr>
            <w:tcW w:w="600" w:type="dxa"/>
            <w:vAlign w:val="bottom"/>
            <w:shd w:val="clear" w:color="auto" w:fill="CCECFF"/>
          </w:tcPr>
          <w:p>
            <w:pPr>
              <w:spacing w:after="0"/>
              <w:rPr>
                <w:sz w:val="19"/>
                <w:szCs w:val="19"/>
                <w:color w:val="auto"/>
              </w:rPr>
            </w:pPr>
          </w:p>
        </w:tc>
        <w:tc>
          <w:tcPr>
            <w:tcW w:w="114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r>
      <w:tr>
        <w:trPr>
          <w:trHeight w:val="229"/>
        </w:trPr>
        <w:tc>
          <w:tcPr>
            <w:tcW w:w="6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Changes in other assets for operating lease obligations</w:t>
            </w:r>
          </w:p>
        </w:tc>
        <w:tc>
          <w:tcPr>
            <w:tcW w:w="1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11,821</w:t>
            </w:r>
          </w:p>
        </w:tc>
        <w:tc>
          <w:tcPr>
            <w:tcW w:w="120" w:type="dxa"/>
            <w:vAlign w:val="bottom"/>
          </w:tcPr>
          <w:p>
            <w:pPr>
              <w:spacing w:after="0"/>
              <w:rPr>
                <w:sz w:val="19"/>
                <w:szCs w:val="19"/>
                <w:color w:val="auto"/>
              </w:rPr>
            </w:pPr>
          </w:p>
        </w:tc>
      </w:tr>
      <w:tr>
        <w:trPr>
          <w:trHeight w:val="230"/>
        </w:trPr>
        <w:tc>
          <w:tcPr>
            <w:tcW w:w="626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8"/>
                <w:szCs w:val="18"/>
                <w:color w:val="auto"/>
              </w:rPr>
              <w:t>Change in property and equipment</w:t>
            </w:r>
          </w:p>
        </w:tc>
        <w:tc>
          <w:tcPr>
            <w:tcW w:w="1420" w:type="dxa"/>
            <w:vAlign w:val="bottom"/>
            <w:shd w:val="clear" w:color="auto" w:fill="CCECFF"/>
          </w:tcPr>
          <w:p>
            <w:pPr>
              <w:spacing w:after="0"/>
              <w:rPr>
                <w:sz w:val="19"/>
                <w:szCs w:val="19"/>
                <w:color w:val="auto"/>
              </w:rPr>
            </w:pPr>
          </w:p>
        </w:tc>
        <w:tc>
          <w:tcPr>
            <w:tcW w:w="1060" w:type="dxa"/>
            <w:vAlign w:val="bottom"/>
            <w:shd w:val="clear" w:color="auto" w:fill="CCECFF"/>
          </w:tcPr>
          <w:p>
            <w:pPr>
              <w:spacing w:after="0"/>
              <w:rPr>
                <w:sz w:val="19"/>
                <w:szCs w:val="19"/>
                <w:color w:val="auto"/>
              </w:rPr>
            </w:pPr>
          </w:p>
        </w:tc>
        <w:tc>
          <w:tcPr>
            <w:tcW w:w="640" w:type="dxa"/>
            <w:vAlign w:val="bottom"/>
            <w:shd w:val="clear" w:color="auto" w:fill="CCEC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CFF"/>
          </w:tcPr>
          <w:p>
            <w:pPr>
              <w:spacing w:after="0"/>
              <w:rPr>
                <w:sz w:val="19"/>
                <w:szCs w:val="19"/>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120" w:type="dxa"/>
            <w:vAlign w:val="bottom"/>
            <w:shd w:val="clear" w:color="auto" w:fill="CCECFF"/>
          </w:tcPr>
          <w:p>
            <w:pPr>
              <w:spacing w:after="0"/>
              <w:rPr>
                <w:sz w:val="19"/>
                <w:szCs w:val="19"/>
                <w:color w:val="auto"/>
              </w:rPr>
            </w:pPr>
          </w:p>
        </w:tc>
      </w:tr>
      <w:tr>
        <w:trPr>
          <w:trHeight w:val="229"/>
        </w:trPr>
        <w:tc>
          <w:tcPr>
            <w:tcW w:w="6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Changes in finance lease liabilities</w:t>
            </w:r>
          </w:p>
        </w:tc>
        <w:tc>
          <w:tcPr>
            <w:tcW w:w="1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(4,245)</w:t>
            </w:r>
          </w:p>
        </w:tc>
      </w:tr>
      <w:tr>
        <w:trPr>
          <w:trHeight w:val="230"/>
        </w:trPr>
        <w:tc>
          <w:tcPr>
            <w:tcW w:w="626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8"/>
                <w:szCs w:val="18"/>
                <w:color w:val="auto"/>
              </w:rPr>
              <w:t>Changes in lease liabilities for operating lease obligations</w:t>
            </w:r>
          </w:p>
        </w:tc>
        <w:tc>
          <w:tcPr>
            <w:tcW w:w="1420" w:type="dxa"/>
            <w:vAlign w:val="bottom"/>
            <w:shd w:val="clear" w:color="auto" w:fill="CCECFF"/>
          </w:tcPr>
          <w:p>
            <w:pPr>
              <w:spacing w:after="0"/>
              <w:rPr>
                <w:sz w:val="19"/>
                <w:szCs w:val="19"/>
                <w:color w:val="auto"/>
              </w:rPr>
            </w:pPr>
          </w:p>
        </w:tc>
        <w:tc>
          <w:tcPr>
            <w:tcW w:w="1060" w:type="dxa"/>
            <w:vAlign w:val="bottom"/>
            <w:shd w:val="clear" w:color="auto" w:fill="CCECFF"/>
          </w:tcPr>
          <w:p>
            <w:pPr>
              <w:spacing w:after="0"/>
              <w:rPr>
                <w:sz w:val="19"/>
                <w:szCs w:val="19"/>
                <w:color w:val="auto"/>
              </w:rPr>
            </w:pPr>
          </w:p>
        </w:tc>
        <w:tc>
          <w:tcPr>
            <w:tcW w:w="640" w:type="dxa"/>
            <w:vAlign w:val="bottom"/>
            <w:shd w:val="clear" w:color="auto" w:fill="CCEC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CFF"/>
          </w:tcPr>
          <w:p>
            <w:pPr>
              <w:spacing w:after="0"/>
              <w:rPr>
                <w:sz w:val="19"/>
                <w:szCs w:val="19"/>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12,790</w:t>
            </w:r>
          </w:p>
        </w:tc>
        <w:tc>
          <w:tcPr>
            <w:tcW w:w="120" w:type="dxa"/>
            <w:vAlign w:val="bottom"/>
            <w:shd w:val="clear" w:color="auto" w:fill="CCECFF"/>
          </w:tcPr>
          <w:p>
            <w:pPr>
              <w:spacing w:after="0"/>
              <w:rPr>
                <w:sz w:val="19"/>
                <w:szCs w:val="19"/>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ind w:left="380" w:right="200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Nine Months Ended January 31, 2021 and 2020</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21"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We are a leading manufacturer, designer, and provider of firearms and firearm-related products for the shooting, hunting, and rugged outdoor enthusiast. We are one of the largest manufacturers of handguns, modern sporting rifles, and handcuffs in the United States and an active participant in the hunting rifle and suppressor markets. We manufacture a wide array of handguns (including revolvers and pistols), long guns (including modern sporting rifles, bolt action rifles, and muzzleloaders), handcuffs, suppressors, and other firearm-related products for sale to a wide variety of customers, including gun enthusiasts, collectors, hunters, sportsmen, competitive shooters, individuals desiring home and personal protection, law enforcement and security agencies and officers, and military agencies in the United States and throughout the world. We sell our products under the Smith &amp; Wesson, M&amp;P, Performance Center, Thompson/Center Arms, and Gemtech brands. We manufacture our products at our facilities in Springfield, Massachusetts; Houlton, Maine; and Deep River, Connecticut. We also sell our manufacturing services to other businesses to level-load our factories. We sell those services under our Smith &amp; Wesson and Smith &amp; Wesson Precision Components brands.</w:t>
      </w:r>
    </w:p>
    <w:p>
      <w:pPr>
        <w:spacing w:after="0" w:line="229"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 xml:space="preserve">On November 13, 2019, we announced that we were proceeding with a plan to spin-off our outdoor products and accessories business and create an independent publicly traded company to conduct that business, or the Separation. On August 24, 2020, or the Distribution Date, we completed the previously announced Separation. See also Note 3 —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for more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19"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Interim Financial Information – </w:t>
      </w:r>
      <w:r>
        <w:rPr>
          <w:rFonts w:ascii="Times New Roman" w:cs="Times New Roman" w:eastAsia="Times New Roman" w:hAnsi="Times New Roman"/>
          <w:sz w:val="18"/>
          <w:szCs w:val="18"/>
          <w:color w:val="auto"/>
        </w:rPr>
        <w:t>The condensed consolidated balance sheet as of January 31, 2021, the condensed consolidated statements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income/(loss) and comprehensive income/(loss) for the three and nine months ended January 31, 2021 and 2020, the condensed consolidated statements of changes in stockholders’ equity for the three and nine months ended January 31, 2021 and 2020, and the condensed consolidated statements of cash flows for the nine months ended January 31, 2021 and 2020 have been prepared by us without audit. In our opinion, all adjustments, which include only normal recurring adjustments necessary to fairly present the financial position, results of operations, changes in stockholders’ equity, and cash flows at January 31, 2021 and for the periods presented, have been included. All intercompany transactions have been eliminated in consolidation. The consolidated balance sheet as of April 30, 2020 has been derived from our audited consolidated financial statements.</w:t>
      </w:r>
    </w:p>
    <w:p>
      <w:pPr>
        <w:spacing w:after="0" w:line="185"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or GAAP, have been condensed or omitted. These condensed consolidated financial statements should be read in conjunction with the consolidated financial statements and notes thereto included in our Annual Report on Form 10-K for the fiscal year ended April 30, 2020. The results of operations for the three and nine months ended January 31, 2021 may not be indicative of the results that may be expected for the fiscal year ending April 30, 2021, or any other period.</w:t>
      </w:r>
    </w:p>
    <w:p>
      <w:pPr>
        <w:spacing w:after="0" w:line="18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Recently Issued Accounting Standards – </w:t>
      </w:r>
      <w:r>
        <w:rPr>
          <w:rFonts w:ascii="Times New Roman" w:cs="Times New Roman" w:eastAsia="Times New Roman" w:hAnsi="Times New Roman"/>
          <w:sz w:val="18"/>
          <w:szCs w:val="18"/>
          <w:color w:val="auto"/>
        </w:rPr>
        <w:t>In June 2016, the Financial Accounting Standards Board issued Accounting Standards Update, or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2016-13, Financial Instruments — Credit Losses (Topic 326): Measurement of Credit Losses on Financial Instruments, or ASU 2016-13. ASU 2016-13 changes the impairment model for most financial assets that are measured at amortized cost and certain other instruments, including trade receivables, from an incurred loss model to an expected loss model and adds certain new required disclosures. Under the expected loss model, entities will recognize credit losses to be incurred over the entire contractual term of the instrument rather than delaying recognition of credit losses until it is probable the loss has been incurred. The requirements of ASU 2016-13 are effective for financial statements for annual periods beginning after December 15, 2019, and early adoption is permitted. We adopted ASU 2016-13 on May 1, 2020, and the adoption of ASU 2016-13 did not have a material impact on our condensed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9" w:name="page10"/>
    <w:bookmarkEnd w:id="9"/>
    <w:p>
      <w:pPr>
        <w:jc w:val="center"/>
        <w:ind w:left="340" w:right="20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Nine Months Ended January 31, 2021 and 2020</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Discontinued Operations:</w:t>
      </w:r>
    </w:p>
    <w:p>
      <w:pPr>
        <w:spacing w:after="0" w:line="135" w:lineRule="exact"/>
        <w:rPr>
          <w:sz w:val="20"/>
          <w:szCs w:val="20"/>
          <w:color w:val="auto"/>
        </w:rPr>
      </w:pPr>
    </w:p>
    <w:p>
      <w:pPr>
        <w:ind w:right="140" w:firstLine="510"/>
        <w:spacing w:after="0" w:line="254" w:lineRule="auto"/>
        <w:rPr>
          <w:sz w:val="20"/>
          <w:szCs w:val="20"/>
          <w:color w:val="auto"/>
        </w:rPr>
      </w:pPr>
      <w:r>
        <w:rPr>
          <w:rFonts w:ascii="Times New Roman" w:cs="Times New Roman" w:eastAsia="Times New Roman" w:hAnsi="Times New Roman"/>
          <w:sz w:val="18"/>
          <w:szCs w:val="18"/>
          <w:color w:val="auto"/>
        </w:rPr>
        <w:t>On November 13, 2019, we announced the Separation. On the Distribution Date, at 12:01 a.m. Eastern Time, the Separation of our wholly owned subsidiary, American Outdoor Brands, Inc., a Delaware corporation, or AOUT, from our company was completed. The Separation was achieved through the transfer of all the assets and legal entities, subject to any related liabilities, associated with our outdoor products and accessories business to AOUT, or the Transfer, and the distribution of 100% of the AOUT outstanding capital stock to holders of our common stock, or the Distribution, as of the close of business on August 10, 2020, or the Record Date. In connection with the Distribution, our stockholders received one share of AOUT common stock for every four shares of our common stock held as of the close of business on the Record Date. Following the Distribution, AOUT became an independent, publicly traded company, and we retain no ownership interest in AOUT. For the nine months ended January 31, 2021, we recorded $8.4 million in general and administrative expenses related to the Separation and there was no gain/(loss) recognized for the Separation. In connection with the Separation, we distributed $25.0 million in cash to AOUT.</w:t>
      </w:r>
    </w:p>
    <w:p>
      <w:pPr>
        <w:spacing w:after="0" w:line="215"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Our common stock continues to trade on the Nasdaq Global Select Market under the new ticker symbol “SWBI,” and AOUT is now trading shares of common stock listed on the Nasdaq Global Select Market under the ticker symbol “AOUT.” The outdoor products and accessories business historical financial data is recorded as discontinued operations. Please refer to our Current Report on Form 8-K filed on August 26, 2020 for more information regarding the Separation. As a result of the Separation, we divested net assets of $260.4 million, which includes the $25.0 million cash distribution to AOUT.</w:t>
      </w:r>
    </w:p>
    <w:p>
      <w:pPr>
        <w:spacing w:after="0" w:line="224"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The results of AOUT were previously reported in our Outdoor Products &amp; Accessories segment. The historical financial data of the outdoor products and accessories business through August 23, 2020 is recorded as discontinued operations in income/(loss) from discontinued operations in the condensed consolidated financial statements. For the three months ended January 31, 2021 and 2020, income from discontinued operations, net of tax was $127,000 and $1.5 million, respectively. For the nine months ended January 31, 2021 and 2020, income/(loss) from discontinued operations, net of tax was $8.3 million and ($1.8) million, respectively.</w:t>
      </w:r>
    </w:p>
    <w:p>
      <w:pPr>
        <w:spacing w:after="0" w:line="224"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In connection with the Separation, we entered into several agreements with AOUT that govern the relationship of the parties following the Separation, including the Separation and Distribution Agreement, the Tax Matters Agreement, the Transition Services Agreement, and the Employee Matters Agreement. Under the terms of the Transition Services Agreement, both companies agreed to provide each other certain transitional services, including information technology, information management, human resources, employee benefits administration, facilities, and other limited finance and accounting related services, for periods up to 24 months. Payments and operating expense reimbursements for transition services are recorded accordingly in our condensed consolidated financial statements based on the service provided.</w:t>
      </w:r>
    </w:p>
    <w:p>
      <w:pPr>
        <w:spacing w:after="0" w:line="214" w:lineRule="exact"/>
        <w:rPr>
          <w:sz w:val="20"/>
          <w:szCs w:val="20"/>
          <w:color w:val="auto"/>
        </w:rPr>
      </w:pPr>
    </w:p>
    <w:p>
      <w:pPr>
        <w:ind w:right="46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line items for the outdoor products and accessories business that are included in income/(loss) from discontinued operations, net of tax, in the condensed consolidation statements of income/(loss) and comprehensive income/(loss):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January 31,</w:t>
            </w:r>
          </w:p>
        </w:tc>
        <w:tc>
          <w:tcPr>
            <w:tcW w:w="120" w:type="dxa"/>
            <w:vAlign w:val="bottom"/>
          </w:tcPr>
          <w:p>
            <w:pPr>
              <w:spacing w:after="0"/>
              <w:rPr>
                <w:sz w:val="15"/>
                <w:szCs w:val="15"/>
                <w:color w:val="auto"/>
              </w:rPr>
            </w:pPr>
          </w:p>
        </w:tc>
        <w:tc>
          <w:tcPr>
            <w:tcW w:w="2640" w:type="dxa"/>
            <w:vAlign w:val="bottom"/>
            <w:tcBorders>
              <w:bottom w:val="single" w:sz="8" w:color="auto"/>
            </w:tcBorders>
            <w:gridSpan w:val="6"/>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For the Nine Months Ended January 31,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8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800" w:type="dxa"/>
            <w:vAlign w:val="bottom"/>
            <w:gridSpan w:val="2"/>
            <w:shd w:val="clear" w:color="auto" w:fill="CCECFF"/>
          </w:tcPr>
          <w:p>
            <w:pPr>
              <w:jc w:val="right"/>
              <w:ind w:right="62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39,279</w:t>
            </w:r>
          </w:p>
        </w:tc>
        <w:tc>
          <w:tcPr>
            <w:tcW w:w="120" w:type="dxa"/>
            <w:vAlign w:val="bottom"/>
            <w:tcBorders>
              <w:right w:val="single" w:sz="8" w:color="CCECFF"/>
            </w:tcBorders>
            <w:shd w:val="clear" w:color="auto" w:fill="CCECFF"/>
          </w:tcPr>
          <w:p>
            <w:pPr>
              <w:spacing w:after="0"/>
              <w:rPr>
                <w:sz w:val="19"/>
                <w:szCs w:val="19"/>
                <w:color w:val="auto"/>
              </w:rPr>
            </w:pPr>
          </w:p>
        </w:tc>
        <w:tc>
          <w:tcPr>
            <w:tcW w:w="400" w:type="dxa"/>
            <w:vAlign w:val="bottom"/>
            <w:shd w:val="clear" w:color="auto" w:fill="CCECFF"/>
          </w:tcPr>
          <w:p>
            <w:pPr>
              <w:jc w:val="right"/>
              <w:ind w:right="239"/>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61,249</w:t>
            </w:r>
          </w:p>
        </w:tc>
        <w:tc>
          <w:tcPr>
            <w:tcW w:w="100" w:type="dxa"/>
            <w:vAlign w:val="bottom"/>
            <w:shd w:val="clear" w:color="auto" w:fill="CCECFF"/>
          </w:tcPr>
          <w:p>
            <w:pPr>
              <w:spacing w:after="0"/>
              <w:rPr>
                <w:sz w:val="19"/>
                <w:szCs w:val="19"/>
                <w:color w:val="auto"/>
              </w:rPr>
            </w:pPr>
          </w:p>
        </w:tc>
        <w:tc>
          <w:tcPr>
            <w:tcW w:w="400" w:type="dxa"/>
            <w:vAlign w:val="bottom"/>
            <w:gridSpan w:val="2"/>
            <w:shd w:val="clear" w:color="auto" w:fill="CCEC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108,178</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shd w:val="clear" w:color="auto" w:fill="CCECFF"/>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17,420</w:t>
            </w:r>
          </w:p>
        </w:tc>
        <w:tc>
          <w:tcPr>
            <w:tcW w:w="120" w:type="dxa"/>
            <w:vAlign w:val="bottom"/>
            <w:tcBorders>
              <w:right w:val="single" w:sz="8" w:color="CCECFF"/>
            </w:tcBorders>
            <w:shd w:val="clear" w:color="auto" w:fill="CCECFF"/>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23,458</w:t>
            </w:r>
          </w:p>
        </w:tc>
        <w:tc>
          <w:tcPr>
            <w:tcW w:w="100" w:type="dxa"/>
            <w:vAlign w:val="bottom"/>
            <w:shd w:val="clear" w:color="auto" w:fill="CFF0FC"/>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(expense)/income, net</w:t>
            </w: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1020" w:type="dxa"/>
            <w:vAlign w:val="bottom"/>
            <w:shd w:val="clear" w:color="auto" w:fill="CCECFF"/>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1040" w:type="dxa"/>
            <w:vAlign w:val="bottom"/>
            <w:tcBorders>
              <w:right w:val="single" w:sz="8" w:color="CCECFF"/>
            </w:tcBorders>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shd w:val="clear" w:color="auto" w:fill="CCECFF"/>
          </w:tcPr>
          <w:p>
            <w:pPr>
              <w:spacing w:after="0"/>
              <w:rPr>
                <w:sz w:val="19"/>
                <w:szCs w:val="19"/>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5"/>
        </w:trPr>
        <w:tc>
          <w:tcPr>
            <w:tcW w:w="4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(Loss)/income from discontinued operations before</w:t>
            </w:r>
          </w:p>
        </w:tc>
        <w:tc>
          <w:tcPr>
            <w:tcW w:w="10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1800" w:type="dxa"/>
            <w:vAlign w:val="bottom"/>
            <w:gridSpan w:val="2"/>
          </w:tcPr>
          <w:p>
            <w:pPr>
              <w:jc w:val="right"/>
              <w:ind w:right="62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20" w:type="dxa"/>
            <w:vAlign w:val="bottom"/>
          </w:tcPr>
          <w:p>
            <w:pPr>
              <w:spacing w:after="0"/>
              <w:rPr>
                <w:sz w:val="20"/>
                <w:szCs w:val="20"/>
                <w:color w:val="auto"/>
              </w:rPr>
            </w:pP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10,756</w:t>
            </w:r>
          </w:p>
        </w:tc>
        <w:tc>
          <w:tcPr>
            <w:tcW w:w="100" w:type="dxa"/>
            <w:vAlign w:val="bottom"/>
          </w:tcPr>
          <w:p>
            <w:pPr>
              <w:spacing w:after="0"/>
              <w:rPr>
                <w:sz w:val="20"/>
                <w:szCs w:val="20"/>
                <w:color w:val="auto"/>
              </w:rPr>
            </w:pPr>
          </w:p>
        </w:tc>
        <w:tc>
          <w:tcPr>
            <w:tcW w:w="4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(2,385)</w:t>
            </w:r>
          </w:p>
        </w:tc>
        <w:tc>
          <w:tcPr>
            <w:tcW w:w="0" w:type="dxa"/>
            <w:vAlign w:val="bottom"/>
          </w:tcPr>
          <w:p>
            <w:pPr>
              <w:spacing w:after="0"/>
              <w:rPr>
                <w:sz w:val="1"/>
                <w:szCs w:val="1"/>
                <w:color w:val="auto"/>
              </w:rPr>
            </w:pPr>
          </w:p>
        </w:tc>
      </w:tr>
      <w:tr>
        <w:trPr>
          <w:trHeight w:val="230"/>
        </w:trPr>
        <w:tc>
          <w:tcPr>
            <w:tcW w:w="47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Income tax (benefit)/expense</w:t>
            </w:r>
          </w:p>
        </w:tc>
        <w:tc>
          <w:tcPr>
            <w:tcW w:w="1020" w:type="dxa"/>
            <w:vAlign w:val="bottom"/>
            <w:shd w:val="clear" w:color="auto" w:fill="CCECFF"/>
          </w:tcPr>
          <w:p>
            <w:pPr>
              <w:spacing w:after="0"/>
              <w:rPr>
                <w:sz w:val="19"/>
                <w:szCs w:val="19"/>
                <w:color w:val="auto"/>
              </w:rPr>
            </w:pPr>
          </w:p>
        </w:tc>
        <w:tc>
          <w:tcPr>
            <w:tcW w:w="780" w:type="dxa"/>
            <w:vAlign w:val="bottom"/>
            <w:shd w:val="clear" w:color="auto" w:fill="CCECFF"/>
          </w:tcPr>
          <w:p>
            <w:pPr>
              <w:spacing w:after="0"/>
              <w:rPr>
                <w:sz w:val="19"/>
                <w:szCs w:val="19"/>
                <w:color w:val="auto"/>
              </w:rPr>
            </w:pPr>
          </w:p>
        </w:tc>
        <w:tc>
          <w:tcPr>
            <w:tcW w:w="5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tcBorders>
              <w:right w:val="single" w:sz="8" w:color="CCECFF"/>
            </w:tcBorders>
            <w:shd w:val="clear" w:color="auto" w:fill="CCECFF"/>
          </w:tcPr>
          <w:p>
            <w:pPr>
              <w:spacing w:after="0"/>
              <w:rPr>
                <w:sz w:val="19"/>
                <w:szCs w:val="19"/>
                <w:color w:val="auto"/>
              </w:rPr>
            </w:pPr>
          </w:p>
        </w:tc>
        <w:tc>
          <w:tcPr>
            <w:tcW w:w="400" w:type="dxa"/>
            <w:vAlign w:val="bottom"/>
            <w:shd w:val="clear" w:color="auto" w:fill="CCECFF"/>
          </w:tcPr>
          <w:p>
            <w:pPr>
              <w:spacing w:after="0"/>
              <w:rPr>
                <w:sz w:val="19"/>
                <w:szCs w:val="19"/>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0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Income/(loss) from discontinued operations, net of tax</w:t>
            </w:r>
          </w:p>
        </w:tc>
        <w:tc>
          <w:tcPr>
            <w:tcW w:w="10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72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ind w:left="340" w:right="20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Nine Months Ended January 31, 2021 and 2020</w:t>
      </w:r>
    </w:p>
    <w:p>
      <w:pPr>
        <w:spacing w:after="0" w:line="200" w:lineRule="exact"/>
        <w:rPr>
          <w:sz w:val="20"/>
          <w:szCs w:val="20"/>
          <w:color w:val="auto"/>
        </w:rPr>
      </w:pPr>
    </w:p>
    <w:p>
      <w:pPr>
        <w:spacing w:after="0" w:line="231" w:lineRule="exact"/>
        <w:rPr>
          <w:sz w:val="20"/>
          <w:szCs w:val="20"/>
          <w:color w:val="auto"/>
        </w:rPr>
      </w:pPr>
    </w:p>
    <w:p>
      <w:pPr>
        <w:ind w:right="34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carrying amounts of major classes of assets and liabilities of discontinued operations for each of the periods presented: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4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73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 2021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April 30, 2020</w:t>
            </w:r>
          </w:p>
        </w:tc>
      </w:tr>
      <w:tr>
        <w:trPr>
          <w:trHeight w:val="210"/>
        </w:trPr>
        <w:tc>
          <w:tcPr>
            <w:tcW w:w="738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73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20" w:type="dxa"/>
            <w:vAlign w:val="bottom"/>
            <w:shd w:val="clear" w:color="auto" w:fill="CCECFF"/>
          </w:tcPr>
          <w:p>
            <w:pPr>
              <w:jc w:val="right"/>
              <w:ind w:right="1258"/>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gridSpan w:val="2"/>
            <w:shd w:val="clear" w:color="auto" w:fill="CCEC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shd w:val="clear" w:color="auto" w:fill="CCECFF"/>
          </w:tcPr>
          <w:p>
            <w:pPr>
              <w:spacing w:after="0"/>
              <w:rPr>
                <w:sz w:val="19"/>
                <w:szCs w:val="19"/>
                <w:color w:val="auto"/>
              </w:rPr>
            </w:pPr>
          </w:p>
        </w:tc>
      </w:tr>
      <w:tr>
        <w:trPr>
          <w:trHeight w:val="229"/>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420" w:type="dxa"/>
            <w:vAlign w:val="bottom"/>
          </w:tcPr>
          <w:p>
            <w:pPr>
              <w:spacing w:after="0"/>
              <w:rPr>
                <w:sz w:val="19"/>
                <w:szCs w:val="19"/>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32,554</w:t>
            </w:r>
          </w:p>
        </w:tc>
        <w:tc>
          <w:tcPr>
            <w:tcW w:w="120" w:type="dxa"/>
            <w:vAlign w:val="bottom"/>
          </w:tcPr>
          <w:p>
            <w:pPr>
              <w:spacing w:after="0"/>
              <w:rPr>
                <w:sz w:val="19"/>
                <w:szCs w:val="19"/>
                <w:color w:val="auto"/>
              </w:rPr>
            </w:pPr>
          </w:p>
        </w:tc>
      </w:tr>
      <w:tr>
        <w:trPr>
          <w:trHeight w:val="230"/>
        </w:trPr>
        <w:tc>
          <w:tcPr>
            <w:tcW w:w="73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420" w:type="dxa"/>
            <w:vAlign w:val="bottom"/>
            <w:shd w:val="clear" w:color="auto" w:fill="CCECFF"/>
          </w:tcPr>
          <w:p>
            <w:pPr>
              <w:spacing w:after="0"/>
              <w:rPr>
                <w:sz w:val="19"/>
                <w:szCs w:val="19"/>
                <w:color w:val="auto"/>
              </w:rPr>
            </w:pPr>
          </w:p>
        </w:tc>
        <w:tc>
          <w:tcPr>
            <w:tcW w:w="3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CECFF"/>
          </w:tcPr>
          <w:p>
            <w:pPr>
              <w:spacing w:after="0"/>
              <w:rPr>
                <w:sz w:val="19"/>
                <w:szCs w:val="19"/>
                <w:color w:val="auto"/>
              </w:rPr>
            </w:pPr>
          </w:p>
        </w:tc>
        <w:tc>
          <w:tcPr>
            <w:tcW w:w="340" w:type="dxa"/>
            <w:vAlign w:val="bottom"/>
            <w:shd w:val="clear" w:color="auto" w:fill="CCECFF"/>
          </w:tcPr>
          <w:p>
            <w:pPr>
              <w:spacing w:after="0"/>
              <w:rPr>
                <w:sz w:val="19"/>
                <w:szCs w:val="19"/>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60,450</w:t>
            </w:r>
          </w:p>
        </w:tc>
        <w:tc>
          <w:tcPr>
            <w:tcW w:w="120" w:type="dxa"/>
            <w:vAlign w:val="bottom"/>
            <w:shd w:val="clear" w:color="auto" w:fill="CCECFF"/>
          </w:tcPr>
          <w:p>
            <w:pPr>
              <w:spacing w:after="0"/>
              <w:rPr>
                <w:sz w:val="19"/>
                <w:szCs w:val="19"/>
                <w:color w:val="auto"/>
              </w:rPr>
            </w:pPr>
          </w:p>
        </w:tc>
      </w:tr>
      <w:tr>
        <w:trPr>
          <w:trHeight w:val="229"/>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20" w:type="dxa"/>
            <w:vAlign w:val="bottom"/>
          </w:tcPr>
          <w:p>
            <w:pPr>
              <w:spacing w:after="0"/>
              <w:rPr>
                <w:sz w:val="19"/>
                <w:szCs w:val="19"/>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20" w:type="dxa"/>
            <w:vAlign w:val="bottom"/>
          </w:tcPr>
          <w:p>
            <w:pPr>
              <w:spacing w:after="0"/>
              <w:rPr>
                <w:sz w:val="19"/>
                <w:szCs w:val="19"/>
                <w:color w:val="auto"/>
              </w:rPr>
            </w:pPr>
          </w:p>
        </w:tc>
      </w:tr>
      <w:tr>
        <w:trPr>
          <w:trHeight w:val="229"/>
        </w:trPr>
        <w:tc>
          <w:tcPr>
            <w:tcW w:w="73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20" w:type="dxa"/>
            <w:vAlign w:val="bottom"/>
            <w:shd w:val="clear" w:color="auto" w:fill="CCECFF"/>
          </w:tcPr>
          <w:p>
            <w:pPr>
              <w:spacing w:after="0"/>
              <w:rPr>
                <w:sz w:val="19"/>
                <w:szCs w:val="19"/>
                <w:color w:val="auto"/>
              </w:rPr>
            </w:pPr>
          </w:p>
        </w:tc>
        <w:tc>
          <w:tcPr>
            <w:tcW w:w="3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CECFF"/>
          </w:tcPr>
          <w:p>
            <w:pPr>
              <w:spacing w:after="0"/>
              <w:rPr>
                <w:sz w:val="19"/>
                <w:szCs w:val="19"/>
                <w:color w:val="auto"/>
              </w:rPr>
            </w:pPr>
          </w:p>
        </w:tc>
        <w:tc>
          <w:tcPr>
            <w:tcW w:w="340" w:type="dxa"/>
            <w:vAlign w:val="bottom"/>
            <w:shd w:val="clear" w:color="auto" w:fill="CCECFF"/>
          </w:tcPr>
          <w:p>
            <w:pPr>
              <w:spacing w:after="0"/>
              <w:rPr>
                <w:sz w:val="19"/>
                <w:szCs w:val="19"/>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9,678</w:t>
            </w:r>
          </w:p>
        </w:tc>
        <w:tc>
          <w:tcPr>
            <w:tcW w:w="120" w:type="dxa"/>
            <w:vAlign w:val="bottom"/>
            <w:shd w:val="clear" w:color="auto" w:fill="CCECFF"/>
          </w:tcPr>
          <w:p>
            <w:pPr>
              <w:spacing w:after="0"/>
              <w:rPr>
                <w:sz w:val="19"/>
                <w:szCs w:val="19"/>
                <w:color w:val="auto"/>
              </w:rPr>
            </w:pPr>
          </w:p>
        </w:tc>
      </w:tr>
      <w:tr>
        <w:trPr>
          <w:trHeight w:val="230"/>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20" w:type="dxa"/>
            <w:vAlign w:val="bottom"/>
          </w:tcPr>
          <w:p>
            <w:pPr>
              <w:spacing w:after="0"/>
              <w:rPr>
                <w:sz w:val="19"/>
                <w:szCs w:val="19"/>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69,379</w:t>
            </w:r>
          </w:p>
        </w:tc>
        <w:tc>
          <w:tcPr>
            <w:tcW w:w="120" w:type="dxa"/>
            <w:vAlign w:val="bottom"/>
          </w:tcPr>
          <w:p>
            <w:pPr>
              <w:spacing w:after="0"/>
              <w:rPr>
                <w:sz w:val="19"/>
                <w:szCs w:val="19"/>
                <w:color w:val="auto"/>
              </w:rPr>
            </w:pPr>
          </w:p>
        </w:tc>
      </w:tr>
      <w:tr>
        <w:trPr>
          <w:trHeight w:val="229"/>
        </w:trPr>
        <w:tc>
          <w:tcPr>
            <w:tcW w:w="73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20" w:type="dxa"/>
            <w:vAlign w:val="bottom"/>
            <w:shd w:val="clear" w:color="auto" w:fill="CCECFF"/>
          </w:tcPr>
          <w:p>
            <w:pPr>
              <w:spacing w:after="0"/>
              <w:rPr>
                <w:sz w:val="19"/>
                <w:szCs w:val="19"/>
                <w:color w:val="auto"/>
              </w:rPr>
            </w:pPr>
          </w:p>
        </w:tc>
        <w:tc>
          <w:tcPr>
            <w:tcW w:w="3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CECFF"/>
          </w:tcPr>
          <w:p>
            <w:pPr>
              <w:spacing w:after="0"/>
              <w:rPr>
                <w:sz w:val="19"/>
                <w:szCs w:val="19"/>
                <w:color w:val="auto"/>
              </w:rPr>
            </w:pPr>
          </w:p>
        </w:tc>
        <w:tc>
          <w:tcPr>
            <w:tcW w:w="340" w:type="dxa"/>
            <w:vAlign w:val="bottom"/>
            <w:shd w:val="clear" w:color="auto" w:fill="CCECFF"/>
          </w:tcPr>
          <w:p>
            <w:pPr>
              <w:spacing w:after="0"/>
              <w:rPr>
                <w:sz w:val="19"/>
                <w:szCs w:val="19"/>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64,581</w:t>
            </w:r>
          </w:p>
        </w:tc>
        <w:tc>
          <w:tcPr>
            <w:tcW w:w="120" w:type="dxa"/>
            <w:vAlign w:val="bottom"/>
            <w:shd w:val="clear" w:color="auto" w:fill="CCECFF"/>
          </w:tcPr>
          <w:p>
            <w:pPr>
              <w:spacing w:after="0"/>
              <w:rPr>
                <w:sz w:val="19"/>
                <w:szCs w:val="19"/>
                <w:color w:val="auto"/>
              </w:rPr>
            </w:pPr>
          </w:p>
        </w:tc>
      </w:tr>
      <w:tr>
        <w:trPr>
          <w:trHeight w:val="230"/>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20" w:type="dxa"/>
            <w:vAlign w:val="bottom"/>
          </w:tcPr>
          <w:p>
            <w:pPr>
              <w:spacing w:after="0"/>
              <w:rPr>
                <w:sz w:val="19"/>
                <w:szCs w:val="19"/>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20" w:type="dxa"/>
            <w:vAlign w:val="bottom"/>
          </w:tcPr>
          <w:p>
            <w:pPr>
              <w:spacing w:after="0"/>
              <w:rPr>
                <w:sz w:val="19"/>
                <w:szCs w:val="19"/>
                <w:color w:val="auto"/>
              </w:rPr>
            </w:pPr>
          </w:p>
        </w:tc>
      </w:tr>
      <w:tr>
        <w:trPr>
          <w:trHeight w:val="229"/>
        </w:trPr>
        <w:tc>
          <w:tcPr>
            <w:tcW w:w="73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20" w:type="dxa"/>
            <w:vAlign w:val="bottom"/>
            <w:tcBorders>
              <w:bottom w:val="single" w:sz="8" w:color="auto"/>
            </w:tcBorders>
            <w:shd w:val="clear" w:color="auto" w:fill="CCECFF"/>
          </w:tcPr>
          <w:p>
            <w:pPr>
              <w:spacing w:after="0"/>
              <w:rPr>
                <w:sz w:val="19"/>
                <w:szCs w:val="19"/>
                <w:color w:val="auto"/>
              </w:rPr>
            </w:pPr>
          </w:p>
        </w:tc>
        <w:tc>
          <w:tcPr>
            <w:tcW w:w="300" w:type="dxa"/>
            <w:vAlign w:val="bottom"/>
            <w:tcBorders>
              <w:bottom w:val="single" w:sz="8" w:color="auto"/>
            </w:tcBorders>
            <w:shd w:val="clear" w:color="auto" w:fill="CCECFF"/>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CECFF"/>
          </w:tcPr>
          <w:p>
            <w:pPr>
              <w:spacing w:after="0"/>
              <w:rPr>
                <w:sz w:val="19"/>
                <w:szCs w:val="19"/>
                <w:color w:val="auto"/>
              </w:rPr>
            </w:pPr>
          </w:p>
        </w:tc>
        <w:tc>
          <w:tcPr>
            <w:tcW w:w="340" w:type="dxa"/>
            <w:vAlign w:val="bottom"/>
            <w:tcBorders>
              <w:bottom w:val="single" w:sz="8" w:color="auto"/>
            </w:tcBorders>
            <w:shd w:val="clear" w:color="auto" w:fill="CCECFF"/>
          </w:tcPr>
          <w:p>
            <w:pPr>
              <w:spacing w:after="0"/>
              <w:rPr>
                <w:sz w:val="19"/>
                <w:szCs w:val="19"/>
                <w:color w:val="auto"/>
              </w:rPr>
            </w:pPr>
          </w:p>
        </w:tc>
        <w:tc>
          <w:tcPr>
            <w:tcW w:w="13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20" w:type="dxa"/>
            <w:vAlign w:val="bottom"/>
            <w:shd w:val="clear" w:color="auto" w:fill="CCECFF"/>
          </w:tcPr>
          <w:p>
            <w:pPr>
              <w:spacing w:after="0"/>
              <w:rPr>
                <w:sz w:val="19"/>
                <w:szCs w:val="19"/>
                <w:color w:val="auto"/>
              </w:rPr>
            </w:pPr>
          </w:p>
        </w:tc>
      </w:tr>
      <w:tr>
        <w:trPr>
          <w:trHeight w:val="263"/>
        </w:trPr>
        <w:tc>
          <w:tcPr>
            <w:tcW w:w="738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 of discontinued operations</w:t>
            </w:r>
          </w:p>
        </w:tc>
        <w:tc>
          <w:tcPr>
            <w:tcW w:w="1420" w:type="dxa"/>
            <w:vAlign w:val="bottom"/>
            <w:tcBorders>
              <w:bottom w:val="single" w:sz="8" w:color="auto"/>
            </w:tcBorders>
          </w:tcPr>
          <w:p>
            <w:pPr>
              <w:jc w:val="right"/>
              <w:ind w:right="1258"/>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CCECFF"/>
            </w:tcBorders>
          </w:tcPr>
          <w:p>
            <w:pPr>
              <w:spacing w:after="0"/>
              <w:rPr>
                <w:sz w:val="22"/>
                <w:szCs w:val="22"/>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243,158</w:t>
            </w:r>
          </w:p>
        </w:tc>
        <w:tc>
          <w:tcPr>
            <w:tcW w:w="120" w:type="dxa"/>
            <w:vAlign w:val="bottom"/>
            <w:tcBorders>
              <w:bottom w:val="single" w:sz="8" w:color="CCECFF"/>
            </w:tcBorders>
          </w:tcPr>
          <w:p>
            <w:pPr>
              <w:spacing w:after="0"/>
              <w:rPr>
                <w:sz w:val="22"/>
                <w:szCs w:val="22"/>
                <w:color w:val="auto"/>
              </w:rPr>
            </w:pPr>
          </w:p>
        </w:tc>
      </w:tr>
      <w:tr>
        <w:trPr>
          <w:trHeight w:val="210"/>
        </w:trPr>
        <w:tc>
          <w:tcPr>
            <w:tcW w:w="73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20" w:type="dxa"/>
            <w:vAlign w:val="bottom"/>
            <w:shd w:val="clear" w:color="auto" w:fill="CCECFF"/>
          </w:tcPr>
          <w:p>
            <w:pPr>
              <w:jc w:val="right"/>
              <w:ind w:right="1258"/>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CECFF"/>
          </w:tcPr>
          <w:p>
            <w:pPr>
              <w:spacing w:after="0"/>
              <w:rPr>
                <w:sz w:val="18"/>
                <w:szCs w:val="18"/>
                <w:color w:val="auto"/>
              </w:rPr>
            </w:pPr>
          </w:p>
        </w:tc>
        <w:tc>
          <w:tcPr>
            <w:tcW w:w="340" w:type="dxa"/>
            <w:vAlign w:val="bottom"/>
            <w:shd w:val="clear" w:color="auto" w:fill="CCEC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17,372</w:t>
            </w:r>
          </w:p>
        </w:tc>
        <w:tc>
          <w:tcPr>
            <w:tcW w:w="120" w:type="dxa"/>
            <w:vAlign w:val="bottom"/>
            <w:shd w:val="clear" w:color="auto" w:fill="CCECFF"/>
          </w:tcPr>
          <w:p>
            <w:pPr>
              <w:spacing w:after="0"/>
              <w:rPr>
                <w:sz w:val="18"/>
                <w:szCs w:val="18"/>
                <w:color w:val="auto"/>
              </w:rPr>
            </w:pPr>
          </w:p>
        </w:tc>
      </w:tr>
      <w:tr>
        <w:trPr>
          <w:trHeight w:val="230"/>
        </w:trPr>
        <w:tc>
          <w:tcPr>
            <w:tcW w:w="738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CCEC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20" w:type="dxa"/>
            <w:vAlign w:val="bottom"/>
            <w:tcBorders>
              <w:bottom w:val="single" w:sz="8" w:color="CCECFF"/>
            </w:tcBorders>
          </w:tcPr>
          <w:p>
            <w:pPr>
              <w:spacing w:after="0"/>
              <w:rPr>
                <w:sz w:val="19"/>
                <w:szCs w:val="19"/>
                <w:color w:val="auto"/>
              </w:rPr>
            </w:pPr>
          </w:p>
        </w:tc>
      </w:tr>
      <w:tr>
        <w:trPr>
          <w:trHeight w:val="223"/>
        </w:trPr>
        <w:tc>
          <w:tcPr>
            <w:tcW w:w="73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Total liabilities of discontinued operations</w:t>
            </w:r>
          </w:p>
        </w:tc>
        <w:tc>
          <w:tcPr>
            <w:tcW w:w="1420" w:type="dxa"/>
            <w:vAlign w:val="bottom"/>
            <w:tcBorders>
              <w:bottom w:val="single" w:sz="8" w:color="auto"/>
            </w:tcBorders>
            <w:shd w:val="clear" w:color="auto" w:fill="CCECFF"/>
          </w:tcPr>
          <w:p>
            <w:pPr>
              <w:jc w:val="right"/>
              <w:ind w:right="1258"/>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shd w:val="clear" w:color="auto" w:fill="CCECFF"/>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CCECFF"/>
            </w:tcBorders>
            <w:shd w:val="clear" w:color="auto" w:fill="CCECFF"/>
          </w:tcPr>
          <w:p>
            <w:pPr>
              <w:spacing w:after="0"/>
              <w:rPr>
                <w:sz w:val="19"/>
                <w:szCs w:val="19"/>
                <w:color w:val="auto"/>
              </w:rPr>
            </w:pPr>
          </w:p>
        </w:tc>
        <w:tc>
          <w:tcPr>
            <w:tcW w:w="340" w:type="dxa"/>
            <w:vAlign w:val="bottom"/>
            <w:tcBorders>
              <w:bottom w:val="single" w:sz="8" w:color="auto"/>
            </w:tcBorders>
            <w:shd w:val="clear" w:color="auto" w:fill="CCEC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19,671</w:t>
            </w:r>
          </w:p>
        </w:tc>
        <w:tc>
          <w:tcPr>
            <w:tcW w:w="120" w:type="dxa"/>
            <w:vAlign w:val="bottom"/>
            <w:tcBorders>
              <w:bottom w:val="single" w:sz="8" w:color="CCECFF"/>
            </w:tcBorders>
            <w:shd w:val="clear" w:color="auto" w:fill="CCECFF"/>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lease certain of our real estate, machinery, equipment, and vehicles under non-cancelable operating lease agreements.</w:t>
      </w:r>
    </w:p>
    <w:p>
      <w:pPr>
        <w:spacing w:after="0" w:line="225"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We recognize expenses under our operating lease assets and liabilities at the commencement date based on the present value of lease payments over the lease term. Our leases do not provide an implicit interest rate. We use our incremental borrowing rate based on the information available at the lease commencement date in determining the present value of lease payments. Our lease agreements do not require material variable lease payments, residual value guarantees, or restrictive covenants. For operating leases, we recognize expense on a straight-line basis over the lease term. We record tenant improvement allowances as an offsetting adjustment included in our calculation of the respective right-of-use asset.</w:t>
      </w:r>
    </w:p>
    <w:p>
      <w:pPr>
        <w:spacing w:after="0" w:line="183" w:lineRule="exact"/>
        <w:rPr>
          <w:sz w:val="20"/>
          <w:szCs w:val="20"/>
          <w:color w:val="auto"/>
        </w:rPr>
      </w:pPr>
    </w:p>
    <w:p>
      <w:pPr>
        <w:jc w:val="both"/>
        <w:ind w:right="160" w:firstLine="510"/>
        <w:spacing w:after="0" w:line="266" w:lineRule="auto"/>
        <w:rPr>
          <w:sz w:val="20"/>
          <w:szCs w:val="20"/>
          <w:color w:val="auto"/>
        </w:rPr>
      </w:pPr>
      <w:r>
        <w:rPr>
          <w:rFonts w:ascii="Times New Roman" w:cs="Times New Roman" w:eastAsia="Times New Roman" w:hAnsi="Times New Roman"/>
          <w:sz w:val="18"/>
          <w:szCs w:val="18"/>
          <w:color w:val="auto"/>
        </w:rPr>
        <w:t>Many of our leases include renewal options that enable us to extend the lease term. The execution of those renewal options is at our sole discretion and are reflected in the lease term when they are reasonably certain to be exercised. The depreciable life of assets and leasehold improvements are limited by the expected lease term.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ind w:left="340" w:right="20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Nine Months Ended January 31, 2021 and 2020</w:t>
      </w:r>
    </w:p>
    <w:p>
      <w:pPr>
        <w:spacing w:after="0" w:line="3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amounts of assets and liabilities related to our operating and financing leases as of January 31, 2021 were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3900" w:type="dxa"/>
            <w:vAlign w:val="bottom"/>
            <w:gridSpan w:val="2"/>
          </w:tcPr>
          <w:p>
            <w:pPr>
              <w:ind w:left="1160"/>
              <w:spacing w:after="0"/>
              <w:rPr>
                <w:sz w:val="20"/>
                <w:szCs w:val="20"/>
                <w:color w:val="auto"/>
              </w:rPr>
            </w:pPr>
            <w:r>
              <w:rPr>
                <w:rFonts w:ascii="Times New Roman" w:cs="Times New Roman" w:eastAsia="Times New Roman" w:hAnsi="Times New Roman"/>
                <w:sz w:val="14"/>
                <w:szCs w:val="14"/>
                <w:b w:val="1"/>
                <w:bCs w:val="1"/>
                <w:color w:val="auto"/>
              </w:rPr>
              <w:t>Balance Sheet Caption</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January 31, 2021</w:t>
            </w:r>
          </w:p>
        </w:tc>
      </w:tr>
      <w:tr>
        <w:trPr>
          <w:trHeight w:val="223"/>
        </w:trPr>
        <w:tc>
          <w:tcPr>
            <w:tcW w:w="5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37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100" w:type="dxa"/>
            <w:vAlign w:val="bottom"/>
          </w:tcPr>
          <w:p>
            <w:pPr>
              <w:spacing w:after="0"/>
              <w:rPr>
                <w:sz w:val="19"/>
                <w:szCs w:val="19"/>
                <w:color w:val="auto"/>
              </w:rPr>
            </w:pPr>
          </w:p>
        </w:tc>
      </w:tr>
      <w:tr>
        <w:trPr>
          <w:trHeight w:val="22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3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(2,183)</w:t>
            </w:r>
          </w:p>
        </w:tc>
      </w:tr>
      <w:tr>
        <w:trPr>
          <w:trHeight w:val="263"/>
        </w:trPr>
        <w:tc>
          <w:tcPr>
            <w:tcW w:w="55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Right-of-use assets, net</w:t>
            </w:r>
          </w:p>
        </w:tc>
        <w:tc>
          <w:tcPr>
            <w:tcW w:w="39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100" w:type="dxa"/>
            <w:vAlign w:val="bottom"/>
            <w:tcBorders>
              <w:bottom w:val="single" w:sz="8" w:color="CFF0FC"/>
            </w:tcBorders>
          </w:tcPr>
          <w:p>
            <w:pPr>
              <w:spacing w:after="0"/>
              <w:rPr>
                <w:sz w:val="22"/>
                <w:szCs w:val="22"/>
                <w:color w:val="auto"/>
              </w:rPr>
            </w:pPr>
          </w:p>
        </w:tc>
      </w:tr>
      <w:tr>
        <w:trPr>
          <w:trHeight w:val="210"/>
        </w:trPr>
        <w:tc>
          <w:tcPr>
            <w:tcW w:w="5520" w:type="dxa"/>
            <w:vAlign w:val="bottom"/>
            <w:shd w:val="clear" w:color="auto" w:fill="CFF0FC"/>
          </w:tcPr>
          <w:p>
            <w:pPr>
              <w:spacing w:after="0"/>
              <w:rPr>
                <w:sz w:val="18"/>
                <w:szCs w:val="18"/>
                <w:color w:val="auto"/>
              </w:rPr>
            </w:pPr>
          </w:p>
        </w:tc>
        <w:tc>
          <w:tcPr>
            <w:tcW w:w="3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3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100" w:type="dxa"/>
            <w:vAlign w:val="bottom"/>
            <w:shd w:val="clear" w:color="auto" w:fill="CFF0FC"/>
          </w:tcPr>
          <w:p>
            <w:pPr>
              <w:spacing w:after="0"/>
              <w:rPr>
                <w:sz w:val="19"/>
                <w:szCs w:val="19"/>
                <w:color w:val="auto"/>
              </w:rPr>
            </w:pPr>
          </w:p>
        </w:tc>
      </w:tr>
      <w:tr>
        <w:trPr>
          <w:trHeight w:val="263"/>
        </w:trPr>
        <w:tc>
          <w:tcPr>
            <w:tcW w:w="55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70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100" w:type="dxa"/>
            <w:vAlign w:val="bottom"/>
            <w:tcBorders>
              <w:bottom w:val="single" w:sz="8" w:color="CFF0FC"/>
            </w:tcBorders>
          </w:tcPr>
          <w:p>
            <w:pPr>
              <w:spacing w:after="0"/>
              <w:rPr>
                <w:sz w:val="22"/>
                <w:szCs w:val="22"/>
                <w:color w:val="auto"/>
              </w:rPr>
            </w:pPr>
          </w:p>
        </w:tc>
      </w:tr>
      <w:tr>
        <w:trPr>
          <w:trHeight w:val="21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3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40,986</w:t>
            </w:r>
          </w:p>
        </w:tc>
        <w:tc>
          <w:tcPr>
            <w:tcW w:w="100" w:type="dxa"/>
            <w:vAlign w:val="bottom"/>
          </w:tcPr>
          <w:p>
            <w:pPr>
              <w:spacing w:after="0"/>
              <w:rPr>
                <w:sz w:val="19"/>
                <w:szCs w:val="19"/>
                <w:color w:val="auto"/>
              </w:rPr>
            </w:pPr>
          </w:p>
        </w:tc>
      </w:tr>
      <w:tr>
        <w:trPr>
          <w:trHeight w:val="22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3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(3,706)</w:t>
            </w:r>
          </w:p>
        </w:tc>
      </w:tr>
      <w:tr>
        <w:trPr>
          <w:trHeight w:val="263"/>
        </w:trPr>
        <w:tc>
          <w:tcPr>
            <w:tcW w:w="55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Right-of-use assets, net</w:t>
            </w:r>
          </w:p>
        </w:tc>
        <w:tc>
          <w:tcPr>
            <w:tcW w:w="39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37,280</w:t>
            </w:r>
          </w:p>
        </w:tc>
        <w:tc>
          <w:tcPr>
            <w:tcW w:w="100" w:type="dxa"/>
            <w:vAlign w:val="bottom"/>
            <w:tcBorders>
              <w:bottom w:val="single" w:sz="8" w:color="CFF0FC"/>
            </w:tcBorders>
          </w:tcPr>
          <w:p>
            <w:pPr>
              <w:spacing w:after="0"/>
              <w:rPr>
                <w:sz w:val="22"/>
                <w:szCs w:val="22"/>
                <w:color w:val="auto"/>
              </w:rPr>
            </w:pPr>
          </w:p>
        </w:tc>
      </w:tr>
      <w:tr>
        <w:trPr>
          <w:trHeight w:val="210"/>
        </w:trPr>
        <w:tc>
          <w:tcPr>
            <w:tcW w:w="5520" w:type="dxa"/>
            <w:vAlign w:val="bottom"/>
            <w:shd w:val="clear" w:color="auto" w:fill="CFF0FC"/>
          </w:tcPr>
          <w:p>
            <w:pPr>
              <w:spacing w:after="0"/>
              <w:rPr>
                <w:sz w:val="18"/>
                <w:szCs w:val="18"/>
                <w:color w:val="auto"/>
              </w:rPr>
            </w:pPr>
          </w:p>
        </w:tc>
        <w:tc>
          <w:tcPr>
            <w:tcW w:w="3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19"/>
                <w:szCs w:val="19"/>
                <w:color w:val="auto"/>
              </w:rPr>
            </w:pPr>
          </w:p>
        </w:tc>
      </w:tr>
      <w:tr>
        <w:trPr>
          <w:trHeight w:val="22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3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payable, net of current portion</w:t>
            </w: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39,060</w:t>
            </w:r>
          </w:p>
        </w:tc>
        <w:tc>
          <w:tcPr>
            <w:tcW w:w="100" w:type="dxa"/>
            <w:vAlign w:val="bottom"/>
            <w:shd w:val="clear" w:color="auto" w:fill="CFF0FC"/>
          </w:tcPr>
          <w:p>
            <w:pPr>
              <w:spacing w:after="0"/>
              <w:rPr>
                <w:sz w:val="19"/>
                <w:szCs w:val="19"/>
                <w:color w:val="auto"/>
              </w:rPr>
            </w:pPr>
          </w:p>
        </w:tc>
      </w:tr>
      <w:tr>
        <w:trPr>
          <w:trHeight w:val="223"/>
        </w:trPr>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40,133</w:t>
            </w:r>
          </w:p>
        </w:tc>
        <w:tc>
          <w:tcPr>
            <w:tcW w:w="10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For the three months ended January 31, 2021, we recorded $420,000 of operating lease costs, of which $38,000 related to short-term leases that were not recorded as right-of-use assets. We recorded $525,000 of financing lease amortization and $504,000 of financing lease interest expense for the three months ended January 31, 2021. For the nine months ended January 31, 2021, we recorded $1.3 million of operating lease costs, of which $168,000 related to short-term leases that were not recorded as right-of-use assets. We recorded $1.6 million of financing lease amortization and $1.5 million of financing lease interest expense for the nine months ended January 31, 2021. As of January 31, 2021, our weighted average lease term and weighted average discount rate for our operating leases was 4.3 years and 4.5%, respectively. As of January 31, 2021, our weighted average lease term and weighted average discount rate for our financing leases were 17.7 years and 5.0%, respectively, and consisted primarily of our national logistics facility located in Columbia, Missouri. The depreciable lives of right-of-use assets are limited by the lease term and are amortized on a straight-line basis over the life of the lease.</w:t>
      </w:r>
    </w:p>
    <w:p>
      <w:pPr>
        <w:spacing w:after="0" w:line="215" w:lineRule="exact"/>
        <w:rPr>
          <w:sz w:val="20"/>
          <w:szCs w:val="20"/>
          <w:color w:val="auto"/>
        </w:rPr>
      </w:pPr>
    </w:p>
    <w:p>
      <w:pPr>
        <w:ind w:right="200" w:firstLine="510"/>
        <w:spacing w:after="0" w:line="266" w:lineRule="auto"/>
        <w:rPr>
          <w:sz w:val="20"/>
          <w:szCs w:val="20"/>
          <w:color w:val="auto"/>
        </w:rPr>
      </w:pPr>
      <w:r>
        <w:rPr>
          <w:rFonts w:ascii="Times New Roman" w:cs="Times New Roman" w:eastAsia="Times New Roman" w:hAnsi="Times New Roman"/>
          <w:sz w:val="18"/>
          <w:szCs w:val="18"/>
          <w:color w:val="auto"/>
        </w:rPr>
        <w:t>With the completion of the Separation, we entered into a sublease whereby AOUT subleases from us 59.0% of our national logistics facility under the same terms as the master lease. For the nine months ended January 31, 2021, we have recorded $1.1 million of income related to this sublease agreement, which is recorded in other income/(expense) in our condensed consolidated statements of income/(loss) and comprehensive income/(loss).</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lease payments for all our operating and finance leases for succeeding fiscal years is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80" w:type="dxa"/>
            <w:vAlign w:val="bottom"/>
          </w:tcPr>
          <w:p>
            <w:pPr>
              <w:spacing w:after="0"/>
              <w:rPr>
                <w:sz w:val="15"/>
                <w:szCs w:val="15"/>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27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2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7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48,783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49,495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27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61,976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27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2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40,133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 of lease liabilities</w:t>
            </w:r>
          </w:p>
        </w:tc>
        <w:tc>
          <w:tcPr>
            <w:tcW w:w="2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(1,319)</w:t>
            </w:r>
          </w:p>
        </w:tc>
        <w:tc>
          <w:tcPr>
            <w:tcW w:w="1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(2,392)</w:t>
            </w:r>
          </w:p>
        </w:tc>
        <w:tc>
          <w:tcPr>
            <w:tcW w:w="0" w:type="dxa"/>
            <w:vAlign w:val="bottom"/>
          </w:tcPr>
          <w:p>
            <w:pPr>
              <w:spacing w:after="0"/>
              <w:rPr>
                <w:sz w:val="1"/>
                <w:szCs w:val="1"/>
                <w:color w:val="auto"/>
              </w:rPr>
            </w:pPr>
          </w:p>
        </w:tc>
      </w:tr>
      <w:tr>
        <w:trPr>
          <w:trHeight w:val="223"/>
        </w:trPr>
        <w:tc>
          <w:tcPr>
            <w:tcW w:w="42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maturities of lease liabilities</w:t>
            </w:r>
          </w:p>
        </w:tc>
        <w:tc>
          <w:tcPr>
            <w:tcW w:w="27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39,060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43,011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700" w:type="dxa"/>
            <w:vAlign w:val="bottom"/>
            <w:vMerge w:val="restart"/>
          </w:tcPr>
          <w:p>
            <w:pPr>
              <w:jc w:val="right"/>
              <w:ind w:right="115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26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ind w:left="340" w:right="20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Nine Months Ended January 31, 2021 and 2020</w:t>
      </w:r>
    </w:p>
    <w:p>
      <w:pPr>
        <w:spacing w:after="0" w:line="200" w:lineRule="exact"/>
        <w:rPr>
          <w:sz w:val="20"/>
          <w:szCs w:val="20"/>
          <w:color w:val="auto"/>
        </w:rPr>
      </w:pPr>
    </w:p>
    <w:p>
      <w:pPr>
        <w:spacing w:after="0" w:line="231" w:lineRule="exact"/>
        <w:rPr>
          <w:sz w:val="20"/>
          <w:szCs w:val="20"/>
          <w:color w:val="auto"/>
        </w:rPr>
      </w:pPr>
    </w:p>
    <w:p>
      <w:pPr>
        <w:ind w:right="280" w:firstLine="51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January 31, 2021, the cash paid for amounts included in the measurement of the liabilities and the operating cash flows was $1.1 million and $3.6 million,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summary of intangible assets as of January 31, 2021 and April 30, 2020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 2021</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April 30, 2020</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4"/>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6"/>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4"/>
                <w:szCs w:val="14"/>
                <w:color w:val="auto"/>
              </w:rPr>
            </w:pPr>
          </w:p>
        </w:tc>
        <w:tc>
          <w:tcPr>
            <w:tcW w:w="1020" w:type="dxa"/>
            <w:vAlign w:val="bottom"/>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4"/>
                <w:szCs w:val="14"/>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2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73"/>
        </w:trPr>
        <w:tc>
          <w:tcPr>
            <w:tcW w:w="4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020" w:type="dxa"/>
            <w:vAlign w:val="bottom"/>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3"/>
        </w:trPr>
        <w:tc>
          <w:tcPr>
            <w:tcW w:w="4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(194)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r>
      <w:tr>
        <w:trPr>
          <w:trHeight w:val="22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Patents, trademarks, and trade names</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(5,367)</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(5,091)</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00" w:type="dxa"/>
            <w:vAlign w:val="bottom"/>
            <w:shd w:val="clear" w:color="auto" w:fill="CFF0FC"/>
          </w:tcPr>
          <w:p>
            <w:pPr>
              <w:spacing w:after="0"/>
              <w:rPr>
                <w:sz w:val="19"/>
                <w:szCs w:val="19"/>
                <w:color w:val="auto"/>
              </w:rPr>
            </w:pPr>
          </w:p>
        </w:tc>
      </w:tr>
      <w:tr>
        <w:trPr>
          <w:trHeight w:val="223"/>
        </w:trPr>
        <w:tc>
          <w:tcPr>
            <w:tcW w:w="47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11,022</w:t>
            </w: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10,920</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(7,199)</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100" w:type="dxa"/>
            <w:vAlign w:val="bottom"/>
          </w:tcPr>
          <w:p>
            <w:pPr>
              <w:spacing w:after="0"/>
              <w:rPr>
                <w:sz w:val="19"/>
                <w:szCs w:val="19"/>
                <w:color w:val="auto"/>
              </w:rPr>
            </w:pPr>
          </w:p>
        </w:tc>
      </w:tr>
      <w:tr>
        <w:trPr>
          <w:trHeight w:val="22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Patents in progress</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FF0FC"/>
          </w:tcPr>
          <w:p>
            <w:pPr>
              <w:spacing w:after="0"/>
              <w:rPr>
                <w:sz w:val="19"/>
                <w:szCs w:val="19"/>
                <w:color w:val="auto"/>
              </w:rPr>
            </w:pPr>
          </w:p>
        </w:tc>
      </w:tr>
      <w:tr>
        <w:trPr>
          <w:trHeight w:val="22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12,038</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11,574</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(7,199)</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00" w:type="dxa"/>
            <w:vAlign w:val="bottom"/>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We amortize intangible assets with determinable lives over a weighted-average period of approximately five years. The weighted-average periods of amortization by intangible asset class is approximately five years for customer relationships; six years for developed technology; and five years for patents, trademarks, and trade names. Amortization expense, excluding amortization of deferred financing costs, amounted to $135,000 and $86,000 for the three months ended January 31, 2021 and 2020, respectively. Amortization expense, excluding amortization of deferred financing costs, amounted to $403,000 and $413,000 for the nine months ended January 31, 2021 and 2020, respectively.</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Estimated amortization expense of intangible assets for the remainder of fiscal 2021 and succeeding fiscal years is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3"/>
        </w:trPr>
        <w:tc>
          <w:tcPr>
            <w:tcW w:w="9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9"/>
                <w:szCs w:val="19"/>
                <w:color w:val="auto"/>
              </w:rPr>
            </w:pPr>
          </w:p>
        </w:tc>
      </w:tr>
      <w:tr>
        <w:trPr>
          <w:trHeight w:val="230"/>
        </w:trPr>
        <w:tc>
          <w:tcPr>
            <w:tcW w:w="9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FF0FC"/>
          </w:tcPr>
          <w:p>
            <w:pPr>
              <w:spacing w:after="0"/>
              <w:rPr>
                <w:sz w:val="19"/>
                <w:szCs w:val="19"/>
                <w:color w:val="auto"/>
              </w:rPr>
            </w:pPr>
          </w:p>
        </w:tc>
      </w:tr>
      <w:tr>
        <w:trPr>
          <w:trHeight w:val="230"/>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9"/>
                <w:szCs w:val="19"/>
                <w:color w:val="auto"/>
              </w:rPr>
            </w:pPr>
          </w:p>
        </w:tc>
      </w:tr>
      <w:tr>
        <w:trPr>
          <w:trHeight w:val="230"/>
        </w:trPr>
        <w:tc>
          <w:tcPr>
            <w:tcW w:w="9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FF0FC"/>
          </w:tcPr>
          <w:p>
            <w:pPr>
              <w:spacing w:after="0"/>
              <w:rPr>
                <w:sz w:val="19"/>
                <w:szCs w:val="19"/>
                <w:color w:val="auto"/>
              </w:rPr>
            </w:pPr>
          </w:p>
        </w:tc>
      </w:tr>
      <w:tr>
        <w:trPr>
          <w:trHeight w:val="230"/>
        </w:trPr>
        <w:tc>
          <w:tcPr>
            <w:tcW w:w="9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tcBorders>
              <w:bottom w:val="single" w:sz="8" w:color="CFF0FC"/>
            </w:tcBorders>
          </w:tcPr>
          <w:p>
            <w:pPr>
              <w:spacing w:after="0"/>
              <w:rPr>
                <w:sz w:val="19"/>
                <w:szCs w:val="19"/>
                <w:color w:val="auto"/>
              </w:rPr>
            </w:pPr>
          </w:p>
        </w:tc>
      </w:tr>
      <w:tr>
        <w:trPr>
          <w:trHeight w:val="223"/>
        </w:trPr>
        <w:tc>
          <w:tcPr>
            <w:tcW w:w="9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9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Notes, Loans Payable, and Financing Arrangements:</w:t>
      </w:r>
    </w:p>
    <w:p>
      <w:pPr>
        <w:spacing w:after="0" w:line="133"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 On August 24, 2020, we and certain of our direct and indirect Domestic Subsidiaries entered into an amended and restated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or the Amended and Restated Credit Agreement, with certain lenders; including TD Bank, N.A., as administrative agent; TD Securities (USA) LLC and Regions Bank, as joint lead arrangers and joint bookrunners; and Regions Bank, as syndication agent. The Amended and Restated Credit Agreement amended and restated that certain Credit Agreement, dated as of June 15, 2015, by and among us, certain of our direct and indirect Domestic Subsidiaries, the lenders party thereto, and TD Bank, N.A., as administrative agent and swingline lender, as previously amended. The Amended and Restated Credit Agreement is currently unsecured; however, should any Springing Lien Trigger Event (as defined in the Amended and Restated Credit Agreement) occur, we and certain of our direct and indirect Domestic Subsidiaries would be required to enter into certain documents that create in favor of TD Bank, N.A., as administrative agent, and the lenders party to such documents a legal, valid, and enforceable first priority Lien on the Collateral described therein.</w:t>
      </w:r>
    </w:p>
    <w:p>
      <w:pPr>
        <w:spacing w:after="0" w:line="190"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The Amended and Restated Credit Agreement provides for a revolving line of credit of $100.0 million at any one time, or the Revolving Line. The Revolving Line bears interest at either the Base Rate or LIBOR rate, plus an applicable margin based on our consolidated leverage ratio. The Amended and Restated Credit Agreement also provides a swingline facility in the maximum amount of $5.0 million at any one time (subject to availability under the Revolving Line). Each Swingline Loan (as defined in the Amended and Restated Credit Agreement) bears interest at the Base Rate, plus an applicable margin based on our consolidated leverage ratio.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ind w:left="340" w:right="20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Nine Months Ended January 31, 2021 and 2020</w:t>
      </w:r>
    </w:p>
    <w:p>
      <w:pPr>
        <w:spacing w:after="0" w:line="39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Subject to the satisfaction of certain terms and conditions described in the Amended and Restated Credit Agreement, we have an option to increase the Revolving Line by an aggregate amount not exceeding $50.0 million. The Revolving Line matures on the earlier of August 24, 2025, or the date that is six months in advance of the earliest maturity of any Permitted Notes under the Amended and Restated Credit Agreement.</w:t>
      </w:r>
    </w:p>
    <w:p>
      <w:pPr>
        <w:spacing w:after="0" w:line="176"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As of January 31, 2021, we did not have any borrowings outstanding on the Revolving Line. Had there been borrowings, they would have borne an interest rate of 1.63%, which is equal to the LIBOR rate plus an applicable margin.</w:t>
      </w:r>
    </w:p>
    <w:p>
      <w:pPr>
        <w:spacing w:after="0" w:line="162"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The Amended and Restated Credit Agreement contains customary limitations, including limitations on indebtedness, liens, fundamental changes to business or organizational structure, investments, loans, advances, guarantees, and acquisitions, asset sales, dividends, stock repurchases, stock redemptions, and the redemption or prepayment of other debt, and transactions with affiliates. We are also subject to financial covenants, including a minimum consolidated fixed charge coverage ratio and a maximum consolidated leverage ratio.</w:t>
      </w:r>
    </w:p>
    <w:p>
      <w:pPr>
        <w:spacing w:after="0" w:line="178" w:lineRule="exact"/>
        <w:rPr>
          <w:sz w:val="20"/>
          <w:szCs w:val="20"/>
          <w:color w:val="auto"/>
        </w:rPr>
      </w:pPr>
    </w:p>
    <w:p>
      <w:pPr>
        <w:ind w:right="160" w:firstLine="51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Letters of Credit </w:t>
      </w:r>
      <w:r>
        <w:rPr>
          <w:rFonts w:ascii="Times New Roman" w:cs="Times New Roman" w:eastAsia="Times New Roman" w:hAnsi="Times New Roman"/>
          <w:sz w:val="18"/>
          <w:szCs w:val="18"/>
          <w:color w:val="auto"/>
        </w:rPr>
        <w:t>– At January 31, 2021, we had outstanding letters of credit aggregating $2.7 million, which included a $1.5 million letter of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collateralize our captive insurance company.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w:t>
      </w:r>
    </w:p>
    <w:p>
      <w:pPr>
        <w:spacing w:after="0" w:line="119" w:lineRule="exact"/>
        <w:rPr>
          <w:sz w:val="20"/>
          <w:szCs w:val="20"/>
          <w:color w:val="auto"/>
        </w:rPr>
      </w:pPr>
    </w:p>
    <w:p>
      <w:pPr>
        <w:ind w:firstLine="510"/>
        <w:spacing w:after="0" w:line="257" w:lineRule="auto"/>
        <w:rPr>
          <w:sz w:val="20"/>
          <w:szCs w:val="20"/>
          <w:color w:val="auto"/>
        </w:rPr>
      </w:pPr>
      <w:r>
        <w:rPr>
          <w:rFonts w:ascii="Times New Roman" w:cs="Times New Roman" w:eastAsia="Times New Roman" w:hAnsi="Times New Roman"/>
          <w:sz w:val="18"/>
          <w:szCs w:val="18"/>
          <w:color w:val="auto"/>
        </w:rPr>
        <w:t xml:space="preserve">We follow the provisions of ASC 820-10, </w:t>
      </w:r>
      <w:r>
        <w:rPr>
          <w:rFonts w:ascii="Times New Roman" w:cs="Times New Roman" w:eastAsia="Times New Roman" w:hAnsi="Times New Roman"/>
          <w:sz w:val="18"/>
          <w:szCs w:val="18"/>
          <w:i w:val="1"/>
          <w:iCs w:val="1"/>
          <w:color w:val="auto"/>
        </w:rPr>
        <w:t>Fair Value Measurements and Disclosures Topic</w:t>
      </w:r>
      <w:r>
        <w:rPr>
          <w:rFonts w:ascii="Times New Roman" w:cs="Times New Roman" w:eastAsia="Times New Roman" w:hAnsi="Times New Roman"/>
          <w:sz w:val="18"/>
          <w:szCs w:val="18"/>
          <w:color w:val="auto"/>
        </w:rPr>
        <w:t>, or ASC 820-10, for our financial assets and liabilities. ASC 820-10 provides a framework for measuring fair value under GAAP and requires expanded disclosures regarding fair value measurements. 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where available, and minimize the use of unobservable inputs when measuring fair value.</w:t>
      </w:r>
    </w:p>
    <w:p>
      <w:pPr>
        <w:spacing w:after="0" w:line="184" w:lineRule="exact"/>
        <w:rPr>
          <w:sz w:val="20"/>
          <w:szCs w:val="20"/>
          <w:color w:val="auto"/>
        </w:rPr>
      </w:pPr>
    </w:p>
    <w:p>
      <w:pPr>
        <w:ind w:right="460" w:firstLine="510"/>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recorded on the accompanying condensed consolidated balance sheets are categorized based on the inputs to the valuation techniques as follows:</w:t>
      </w:r>
    </w:p>
    <w:p>
      <w:pPr>
        <w:spacing w:after="0" w:line="160" w:lineRule="exact"/>
        <w:rPr>
          <w:sz w:val="20"/>
          <w:szCs w:val="20"/>
          <w:color w:val="auto"/>
        </w:rPr>
      </w:pPr>
    </w:p>
    <w:p>
      <w:pPr>
        <w:ind w:right="28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Financial assets and liabilities whose values are based on unadjusted quoted prices for identical assets or liabilities in an active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we have the ability to access at the measurement date (examples include active exchange-traded equity securities, listed derivatives, and most U.S. Government and agency securities).</w:t>
      </w:r>
    </w:p>
    <w:p>
      <w:pPr>
        <w:spacing w:after="0" w:line="175" w:lineRule="exact"/>
        <w:rPr>
          <w:sz w:val="20"/>
          <w:szCs w:val="20"/>
          <w:color w:val="auto"/>
        </w:rPr>
      </w:pPr>
    </w:p>
    <w:p>
      <w:pPr>
        <w:ind w:right="380" w:firstLine="510"/>
        <w:spacing w:after="0" w:line="282" w:lineRule="auto"/>
        <w:rPr>
          <w:sz w:val="20"/>
          <w:szCs w:val="20"/>
          <w:color w:val="auto"/>
        </w:rPr>
      </w:pPr>
      <w:r>
        <w:rPr>
          <w:rFonts w:ascii="Times New Roman" w:cs="Times New Roman" w:eastAsia="Times New Roman" w:hAnsi="Times New Roman"/>
          <w:sz w:val="18"/>
          <w:szCs w:val="18"/>
          <w:color w:val="auto"/>
        </w:rPr>
        <w:t>Our cash and cash equivalents, which are measured at fair value on a recurring basis, totaled $59.7 million and $125.0 million as of January 31, 2021 and April 30, 2020, respectively. We utilized Level 1 of the value hierarchy to determine the fair values of these assets.</w:t>
      </w:r>
    </w:p>
    <w:p>
      <w:pPr>
        <w:spacing w:after="0" w:line="160" w:lineRule="exact"/>
        <w:rPr>
          <w:sz w:val="20"/>
          <w:szCs w:val="20"/>
          <w:color w:val="auto"/>
        </w:rPr>
      </w:pPr>
    </w:p>
    <w:p>
      <w:pPr>
        <w:ind w:right="140" w:firstLine="51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Financial assets and liabilities whose values are based on quoted prices in markets in which trading occurs infrequently or whose values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based on quoted prices of instruments with similar attributes in active markets. Level 2 inputs include the following:</w:t>
      </w:r>
    </w:p>
    <w:p>
      <w:pPr>
        <w:spacing w:after="0" w:line="52" w:lineRule="exact"/>
        <w:rPr>
          <w:sz w:val="20"/>
          <w:szCs w:val="20"/>
          <w:color w:val="auto"/>
        </w:rPr>
      </w:pPr>
    </w:p>
    <w:p>
      <w:pPr>
        <w:ind w:left="880" w:right="980" w:hanging="373"/>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non-active markets (such as corporate and municipal bonds which trade infrequently);</w:t>
      </w:r>
    </w:p>
    <w:p>
      <w:pPr>
        <w:spacing w:after="0" w:line="53" w:lineRule="exact"/>
        <w:rPr>
          <w:rFonts w:ascii="Times New Roman" w:cs="Times New Roman" w:eastAsia="Times New Roman" w:hAnsi="Times New Roman"/>
          <w:sz w:val="18"/>
          <w:szCs w:val="18"/>
          <w:color w:val="auto"/>
        </w:rPr>
      </w:pPr>
    </w:p>
    <w:p>
      <w:pPr>
        <w:ind w:left="880" w:right="440" w:hanging="373"/>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substantially the full term of the asset or liability (such as interest rate and currency swaps); and</w:t>
      </w:r>
    </w:p>
    <w:p>
      <w:pPr>
        <w:spacing w:after="0" w:line="53" w:lineRule="exact"/>
        <w:rPr>
          <w:rFonts w:ascii="Times New Roman" w:cs="Times New Roman" w:eastAsia="Times New Roman" w:hAnsi="Times New Roman"/>
          <w:sz w:val="18"/>
          <w:szCs w:val="18"/>
          <w:color w:val="auto"/>
        </w:rPr>
      </w:pPr>
    </w:p>
    <w:p>
      <w:pPr>
        <w:ind w:left="880" w:right="20" w:hanging="373"/>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observable market data for substantially the full term of the asset or liability (such as certain securities and derivatives).</w:t>
      </w:r>
    </w:p>
    <w:p>
      <w:pPr>
        <w:spacing w:after="0" w:line="160" w:lineRule="exact"/>
        <w:rPr>
          <w:sz w:val="20"/>
          <w:szCs w:val="20"/>
          <w:color w:val="auto"/>
        </w:rPr>
      </w:pPr>
    </w:p>
    <w:p>
      <w:pPr>
        <w:jc w:val="both"/>
        <w:ind w:right="2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Financial assets and liabilities whose values are based on prices or valuation techniques that require inputs that are both unobservable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to the overall fair value measurement. These inputs reflect our assumptions about the assumptions a market participant would use in pricing the asset or liability.</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currently do not have any Level 2 or Level 3 financial assets or liabilities as of January 31, 2021.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ind w:left="340" w:right="20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Nine Months Ended January 31, 2021 and 2020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Inventories: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inventories, net of reserves, stated at lower of cost or net realizable value, as of January 31, 2021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2020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January 31, 2021</w:t>
            </w:r>
          </w:p>
        </w:tc>
        <w:tc>
          <w:tcPr>
            <w:tcW w:w="220" w:type="dxa"/>
            <w:vAlign w:val="bottom"/>
          </w:tcPr>
          <w:p>
            <w:pPr>
              <w:spacing w:after="0"/>
              <w:rPr>
                <w:sz w:val="15"/>
                <w:szCs w:val="15"/>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April 30, 2020</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23,732</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Finished parts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29,619</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Raw material</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84,446</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103,741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Accrued Expenses and Deferred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other accrued expenses as of January 31, 2021 and April 30, 2020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January 31, 2021</w:t>
            </w:r>
          </w:p>
        </w:tc>
        <w:tc>
          <w:tcPr>
            <w:tcW w:w="220" w:type="dxa"/>
            <w:vAlign w:val="bottom"/>
          </w:tcPr>
          <w:p>
            <w:pPr>
              <w:spacing w:after="0"/>
              <w:rPr>
                <w:sz w:val="15"/>
                <w:szCs w:val="15"/>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April 30, 2020</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taxes other than income (a)</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10,758</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21,256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(b)</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14,744</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employee benefits</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Accrued distributor incentives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rebates and promotions</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obligation</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finance lease obligation</w:t>
            </w: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deferred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37,805</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57,678</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1120" w:right="100" w:hanging="370"/>
        <w:spacing w:after="0" w:line="261" w:lineRule="auto"/>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accrued taxes other than income is due to the deferral of federal excise tax payments allowed by the Tax and Trade Bureau as a result of the COVID-19 pandemic as of April 30, 2020.</w:t>
      </w:r>
    </w:p>
    <w:p>
      <w:pPr>
        <w:ind w:left="1120" w:hanging="370"/>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deferred revenue due to the fulfillment of performance obligations related to promotional activity.</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ind w:left="340" w:right="20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Nine Months Ended January 31, 2021 and 2020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119" w:lineRule="exact"/>
        <w:rPr>
          <w:sz w:val="20"/>
          <w:szCs w:val="20"/>
          <w:color w:val="auto"/>
        </w:rPr>
      </w:pPr>
    </w:p>
    <w:p>
      <w:pPr>
        <w:ind w:right="20" w:firstLine="450"/>
        <w:spacing w:after="0" w:line="266" w:lineRule="auto"/>
        <w:rPr>
          <w:sz w:val="20"/>
          <w:szCs w:val="20"/>
          <w:color w:val="auto"/>
        </w:rPr>
      </w:pPr>
      <w:r>
        <w:rPr>
          <w:rFonts w:ascii="Times New Roman" w:cs="Times New Roman" w:eastAsia="Times New Roman" w:hAnsi="Times New Roman"/>
          <w:sz w:val="18"/>
          <w:szCs w:val="18"/>
          <w:color w:val="auto"/>
        </w:rPr>
        <w:t>On December 15, 2020, our board of directors authorized the repurchase of up to $50.0 million of our common stock, subject to certain conditions, in the open market or in privately negotiated transactions until December 14, 2021. As of January 31, 2021, we completed this stock repurchase program by repurchasing 2,737,489 shares of our common stock for $50.0 million utilizing cash on hand.</w:t>
      </w:r>
    </w:p>
    <w:p>
      <w:pPr>
        <w:spacing w:after="0" w:line="68" w:lineRule="exact"/>
        <w:rPr>
          <w:sz w:val="20"/>
          <w:szCs w:val="20"/>
          <w:color w:val="auto"/>
        </w:rPr>
      </w:pPr>
    </w:p>
    <w:p>
      <w:pPr>
        <w:ind w:right="60" w:firstLine="450"/>
        <w:spacing w:after="0" w:line="261" w:lineRule="auto"/>
        <w:rPr>
          <w:sz w:val="20"/>
          <w:szCs w:val="20"/>
          <w:color w:val="auto"/>
        </w:rPr>
      </w:pPr>
      <w:r>
        <w:rPr>
          <w:rFonts w:ascii="Times New Roman" w:cs="Times New Roman" w:eastAsia="Times New Roman" w:hAnsi="Times New Roman"/>
          <w:sz w:val="18"/>
          <w:szCs w:val="18"/>
          <w:color w:val="auto"/>
        </w:rPr>
        <w:t>On March 2, 2021, our Board of Directors approved a program to repurchase up to $100.0 million of our outstanding shares of common stock through March 1, 2022. The amount and timing of any repurchases will depend on a number of factors, including price, trading volume, general market conditions, legal requirements, and other factors. The repurchases may be made on the open market, in block trades, or in privately negotiated transactions. Any shares of common stock repurchased under the program will be considered issued but not outstanding shares of our common stock.</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Earnings/(loss) per Share</w:t>
      </w:r>
    </w:p>
    <w:p>
      <w:pPr>
        <w:spacing w:after="0" w:line="119" w:lineRule="exact"/>
        <w:rPr>
          <w:sz w:val="20"/>
          <w:szCs w:val="20"/>
          <w:color w:val="auto"/>
        </w:rPr>
      </w:pPr>
    </w:p>
    <w:p>
      <w:pPr>
        <w:ind w:right="180" w:firstLine="510"/>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the net income amounts and weighted average number of common and common equivalent shares used to determine basic and diluted earnings per share for the three and nine months ended January 31, 2021 and 2020 (in thousands, except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4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40" w:type="dxa"/>
            <w:vAlign w:val="bottom"/>
          </w:tcPr>
          <w:p>
            <w:pPr>
              <w:spacing w:after="0"/>
              <w:rPr>
                <w:sz w:val="13"/>
                <w:szCs w:val="13"/>
                <w:color w:val="auto"/>
              </w:rPr>
            </w:pPr>
          </w:p>
        </w:tc>
        <w:tc>
          <w:tcPr>
            <w:tcW w:w="240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6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income/(loss)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62,263</w:t>
            </w:r>
          </w:p>
        </w:tc>
        <w:tc>
          <w:tcPr>
            <w:tcW w:w="240" w:type="dxa"/>
            <w:vAlign w:val="bottom"/>
          </w:tcPr>
          <w:p>
            <w:pPr>
              <w:spacing w:after="0"/>
              <w:rPr>
                <w:sz w:val="18"/>
                <w:szCs w:val="18"/>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154,679</w:t>
            </w:r>
          </w:p>
        </w:tc>
        <w:tc>
          <w:tcPr>
            <w:tcW w:w="5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Income/(loss) from discontinued operations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8,334</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(1,839)</w:t>
            </w:r>
          </w:p>
        </w:tc>
        <w:tc>
          <w:tcPr>
            <w:tcW w:w="0" w:type="dxa"/>
            <w:vAlign w:val="bottom"/>
          </w:tcPr>
          <w:p>
            <w:pPr>
              <w:spacing w:after="0"/>
              <w:rPr>
                <w:sz w:val="1"/>
                <w:szCs w:val="1"/>
                <w:color w:val="auto"/>
              </w:rPr>
            </w:pPr>
          </w:p>
        </w:tc>
      </w:tr>
      <w:tr>
        <w:trPr>
          <w:trHeight w:val="247"/>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62,390</w:t>
            </w:r>
          </w:p>
        </w:tc>
        <w:tc>
          <w:tcPr>
            <w:tcW w:w="24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5,731</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163,013</w:t>
            </w:r>
          </w:p>
        </w:tc>
        <w:tc>
          <w:tcPr>
            <w:tcW w:w="240" w:type="dxa"/>
            <w:vAlign w:val="bottom"/>
            <w:tcBorders>
              <w:bottom w:val="single" w:sz="8" w:color="CFF0FC"/>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55,137</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55,064</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55,515</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54,919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Effect of dilutive stock awards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2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2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55,702</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55,744</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56,258</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55,641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Earnings/(loss) per share — Basic</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58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Income/(loss) from discontinued operations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5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58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Earnings/(loss) per share — Diluted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58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Income/(loss) from discontinued operations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5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58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For the three months ended January 31, 2021 and 2020, the amount of shares excluded from the computation of diluted earnings per share was 14,994 and 20,664, respectively, because the effect would be antidilutive. For the nine months ended January 31, 2021 and 2020, the amount of shares we excluded from the computation of diluted earnings was 16,724 and 24,843, respectively, because the effect would be antidilutive.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Stock and Employee Stock Purchase Plans</w:t>
      </w:r>
    </w:p>
    <w:p>
      <w:pPr>
        <w:spacing w:after="0" w:line="119"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We have two incentive stock plans: the 2004 Incentive Stock Plan and the 2013 Incentive Stock Plan. New grants under the 2004 Incentive Stock Plan have not been made since the approval of the 2013 Incentive Stock Plan at our 2013 Annual Meeting of Stockholders. All new grants covering all participants are issued under the 2013 Incentive Stock Plan. Except in specific circumstances, grants vest over a period of four years, and stock options are exercisable for a period of 10 years from the date of grant. The 2013 Incentive Stock Plan also permits the grant of awards to non-employees, which our board of directors has authorized in the past.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ind w:left="340" w:right="20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Nine Months Ended January 31, 2021 and 2020</w:t>
      </w:r>
    </w:p>
    <w:p>
      <w:pPr>
        <w:spacing w:after="0" w:line="3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number of shares and weighted average exercise prices of stock options for the nine months ended January 31, 2021 and 2020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 January 31,</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40" w:type="dxa"/>
            <w:vAlign w:val="bottom"/>
          </w:tcPr>
          <w:p>
            <w:pPr>
              <w:spacing w:after="0"/>
              <w:rPr>
                <w:sz w:val="13"/>
                <w:szCs w:val="13"/>
                <w:color w:val="auto"/>
              </w:rPr>
            </w:pPr>
          </w:p>
        </w:tc>
        <w:tc>
          <w:tcPr>
            <w:tcW w:w="1480" w:type="dxa"/>
            <w:vAlign w:val="bottom"/>
            <w:tcBorders>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Borders>
              <w:bottom w:val="single" w:sz="8" w:color="auto"/>
            </w:tcBorders>
            <w:gridSpan w:val="4"/>
          </w:tcPr>
          <w:p>
            <w:pPr>
              <w:jc w:val="right"/>
              <w:ind w:right="1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57"/>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57"/>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beginning of year</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200,667</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267,761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Exercised during the period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(200,667)</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2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Canceled/forfeited during period</w:t>
            </w: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(160,667)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4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8"/>
                <w:szCs w:val="18"/>
                <w:color w:val="auto"/>
              </w:rPr>
              <w:t>Options outstanding, end of period</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C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CFF"/>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92,094</w:t>
            </w:r>
          </w:p>
        </w:tc>
        <w:tc>
          <w:tcPr>
            <w:tcW w:w="160" w:type="dxa"/>
            <w:vAlign w:val="bottom"/>
            <w:tcBorders>
              <w:bottom w:val="single" w:sz="8" w:color="CCECFF"/>
            </w:tcBorders>
          </w:tcPr>
          <w:p>
            <w:pPr>
              <w:spacing w:after="0"/>
              <w:rPr>
                <w:sz w:val="22"/>
                <w:szCs w:val="22"/>
                <w:color w:val="auto"/>
              </w:rPr>
            </w:pPr>
          </w:p>
        </w:tc>
        <w:tc>
          <w:tcPr>
            <w:tcW w:w="80" w:type="dxa"/>
            <w:vAlign w:val="bottom"/>
            <w:tcBorders>
              <w:bottom w:val="single" w:sz="8" w:color="CCEC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C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Weighted average remaining contractual life</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spacing w:after="0"/>
              <w:rPr>
                <w:sz w:val="18"/>
                <w:szCs w:val="18"/>
                <w:color w:val="auto"/>
              </w:rPr>
            </w:pPr>
          </w:p>
        </w:tc>
        <w:tc>
          <w:tcPr>
            <w:tcW w:w="104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spacing w:after="0"/>
              <w:rPr>
                <w:sz w:val="18"/>
                <w:szCs w:val="18"/>
                <w:color w:val="auto"/>
              </w:rPr>
            </w:pP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0.45 years</w:t>
            </w:r>
          </w:p>
        </w:tc>
        <w:tc>
          <w:tcPr>
            <w:tcW w:w="16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104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exercisable, end of period</w:t>
            </w:r>
          </w:p>
        </w:tc>
        <w:tc>
          <w:tcPr>
            <w:tcW w:w="1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CFF"/>
            </w:tcBorders>
            <w:vMerge w:val="continue"/>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C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CCECFF"/>
            </w:tcBorders>
            <w:vMerge w:val="continue"/>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92,094</w:t>
            </w:r>
          </w:p>
        </w:tc>
        <w:tc>
          <w:tcPr>
            <w:tcW w:w="160" w:type="dxa"/>
            <w:vAlign w:val="bottom"/>
            <w:tcBorders>
              <w:bottom w:val="single" w:sz="8" w:color="CCECFF"/>
            </w:tcBorders>
          </w:tcPr>
          <w:p>
            <w:pPr>
              <w:spacing w:after="0"/>
              <w:rPr>
                <w:sz w:val="21"/>
                <w:szCs w:val="21"/>
                <w:color w:val="auto"/>
              </w:rPr>
            </w:pPr>
          </w:p>
        </w:tc>
        <w:tc>
          <w:tcPr>
            <w:tcW w:w="80" w:type="dxa"/>
            <w:vAlign w:val="bottom"/>
            <w:tcBorders>
              <w:bottom w:val="single" w:sz="8" w:color="CCECFF"/>
            </w:tcBorders>
            <w:vMerge w:val="continue"/>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CFF"/>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Weighted average remaining contractual life</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spacing w:after="0"/>
              <w:rPr>
                <w:sz w:val="18"/>
                <w:szCs w:val="18"/>
                <w:color w:val="auto"/>
              </w:rPr>
            </w:pPr>
          </w:p>
        </w:tc>
        <w:tc>
          <w:tcPr>
            <w:tcW w:w="104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spacing w:after="0"/>
              <w:rPr>
                <w:sz w:val="18"/>
                <w:szCs w:val="18"/>
                <w:color w:val="auto"/>
              </w:rPr>
            </w:pP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0.45 years</w:t>
            </w:r>
          </w:p>
        </w:tc>
        <w:tc>
          <w:tcPr>
            <w:tcW w:w="16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104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There were no outstanding stock options as of January 31, 2021. The aggregate intrinsic value of outstanding and exercisable stock options as of January 31, 2020 was $571,000. The aggregate intrinsic value of stock options exercised in the three and nine months ended January 31, 2021 was $151,000 and $2.9 million, respectively. The aggregate intrinsic value of stock options exercised in the three and nine months ended January 31, 2020 was $100,000. At January 31, 2021 and 2020, there was no unrecognized compensation expense related to outstanding stock options.</w:t>
      </w:r>
    </w:p>
    <w:p>
      <w:pPr>
        <w:spacing w:after="0" w:line="180" w:lineRule="exact"/>
        <w:rPr>
          <w:sz w:val="20"/>
          <w:szCs w:val="20"/>
          <w:color w:val="auto"/>
        </w:rPr>
      </w:pPr>
    </w:p>
    <w:p>
      <w:pPr>
        <w:ind w:right="440" w:firstLine="510"/>
        <w:spacing w:after="0" w:line="282" w:lineRule="auto"/>
        <w:rPr>
          <w:sz w:val="20"/>
          <w:szCs w:val="20"/>
          <w:color w:val="auto"/>
        </w:rPr>
      </w:pPr>
      <w:r>
        <w:rPr>
          <w:rFonts w:ascii="Times New Roman" w:cs="Times New Roman" w:eastAsia="Times New Roman" w:hAnsi="Times New Roman"/>
          <w:sz w:val="18"/>
          <w:szCs w:val="18"/>
          <w:color w:val="auto"/>
        </w:rPr>
        <w:t>We have an Employee Stock Purchase Plan, or the ESPP, in which each participant is granted an option to purchase our common stock on each subsequent exercise date during the offering period (as such terms are defined in the ESPP) in accordance with the terms of the ESPP.</w:t>
      </w:r>
    </w:p>
    <w:p>
      <w:pPr>
        <w:spacing w:after="0" w:line="162"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The total stock-based compensation expense, including stock options, purchases under our ESPP, restricted stock units, or RSUs, and performance-based RSUs, or PSUs, was $3.4 million and $941,000 for the nine months ended January 31, 2021 and 2020, respectively. Stock-based compensation expense is included in cost of sales, sales and marketing, research and development, and general and administrative expenses.</w:t>
      </w:r>
    </w:p>
    <w:p>
      <w:pPr>
        <w:spacing w:after="0" w:line="176"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We grant service-based RSUs to employees and members of our Board of Directors. The awards are made at no cost to the recipient. An RSU represents the right to receive one share of our common stock and does not carry voting or dividend rights. Except in specific circumstances, RSU grants to employees vest over a period of four years with one-fourth of the units vesting on each anniversary of the grant date. We amortize the aggregate fair value of our RSU grants to compensation expense over the vesting period.</w:t>
      </w:r>
    </w:p>
    <w:p>
      <w:pPr>
        <w:spacing w:after="0" w:line="180" w:lineRule="exact"/>
        <w:rPr>
          <w:sz w:val="20"/>
          <w:szCs w:val="20"/>
          <w:color w:val="auto"/>
        </w:rPr>
      </w:pPr>
    </w:p>
    <w:p>
      <w:pPr>
        <w:ind w:right="300" w:firstLine="510"/>
        <w:spacing w:after="0" w:line="282" w:lineRule="auto"/>
        <w:rPr>
          <w:sz w:val="20"/>
          <w:szCs w:val="20"/>
          <w:color w:val="auto"/>
        </w:rPr>
      </w:pPr>
      <w:r>
        <w:rPr>
          <w:rFonts w:ascii="Times New Roman" w:cs="Times New Roman" w:eastAsia="Times New Roman" w:hAnsi="Times New Roman"/>
          <w:sz w:val="18"/>
          <w:szCs w:val="18"/>
          <w:color w:val="auto"/>
        </w:rPr>
        <w:t>We grant PSUs to our executive officers and certain management employees who are not executive officers. The PSUs vest, and the fair value of such PSUs will be recognized, over the corresponding three-year performance period.</w:t>
      </w:r>
    </w:p>
    <w:p>
      <w:pPr>
        <w:spacing w:after="0" w:line="162" w:lineRule="exact"/>
        <w:rPr>
          <w:sz w:val="20"/>
          <w:szCs w:val="20"/>
          <w:color w:val="auto"/>
        </w:rPr>
      </w:pPr>
    </w:p>
    <w:p>
      <w:pPr>
        <w:ind w:right="80" w:firstLine="510"/>
        <w:spacing w:after="0" w:line="263" w:lineRule="auto"/>
        <w:rPr>
          <w:sz w:val="20"/>
          <w:szCs w:val="20"/>
          <w:color w:val="auto"/>
        </w:rPr>
      </w:pPr>
      <w:r>
        <w:rPr>
          <w:rFonts w:ascii="Times New Roman" w:cs="Times New Roman" w:eastAsia="Times New Roman" w:hAnsi="Times New Roman"/>
          <w:sz w:val="18"/>
          <w:szCs w:val="18"/>
          <w:color w:val="auto"/>
        </w:rPr>
        <w:t>During the nine months ended January 31, 2021, we granted an aggregate of 234,007 service-based RSUs, including 139,976 RSUs to non-executive officer employees, and 25,570 RSUs to our directors. During the nine months ended January 31, 2021, we granted 36,308 PSUs to certain of our executive officers. Compensation expense related to grants of RSUs and PSUs was $2.6 million for the nine months ended January 31, 2021. During the nine months ended January 31, 2021, we cancelled 92,500 PSUs as a result of the failure to satisfy the performance metric and 88,219 service-based RSUs as a result of the service condition not being met. In connection with the vesting of RSUs, during the nine months ended January 31, 2021, we delivered common stock to our employees and directors, including our executive officers, with a total market value of $7.0 million.</w:t>
      </w:r>
    </w:p>
    <w:p>
      <w:pPr>
        <w:spacing w:after="0" w:line="178"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During the nine months ended January 31, 2020, we granted an aggregate of 255,911 service-based RSUs, including 140,271 RSUs to non-executive officer employees, and 115,640 to our directors. Compensation expense related to grants of RSUs and PSUs was $789,000 for the nine months ended January 31, 2020. During the nine months ended January 31, 2020, we cancelled 210,300 PSUs as a result of the service condition not being met, 156,725 PSUs as a result of failure to satisfy the performance metric, and 236,319 service-based RSUs as a result of the service condition not being met. In connection with the vesting of RSUs, during the nine months ended January 31, 2020, we delivered common stock to our employees and directors, including our executive officers, with a total market value of $2.2 million.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ind w:left="340" w:right="20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Nine Months Ended January 31, 2021 and 2020</w:t>
      </w:r>
    </w:p>
    <w:p>
      <w:pPr>
        <w:spacing w:after="0" w:line="3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activity for unvested RSUs and PSUs for the nine months ended January 31, 2021 and 2020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 January 31,</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840" w:type="dxa"/>
            <w:vAlign w:val="bottom"/>
          </w:tcPr>
          <w:p>
            <w:pPr>
              <w:spacing w:after="0"/>
              <w:rPr>
                <w:sz w:val="13"/>
                <w:szCs w:val="13"/>
                <w:color w:val="auto"/>
              </w:rPr>
            </w:pPr>
          </w:p>
        </w:tc>
        <w:tc>
          <w:tcPr>
            <w:tcW w:w="1520" w:type="dxa"/>
            <w:vAlign w:val="bottom"/>
            <w:tcBorders>
              <w:bottom w:val="single" w:sz="8" w:color="auto"/>
            </w:tcBorders>
            <w:gridSpan w:val="3"/>
          </w:tcPr>
          <w:p>
            <w:pPr>
              <w:jc w:val="right"/>
              <w:ind w:right="36"/>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Borders>
              <w:bottom w:val="single" w:sz="8" w:color="auto"/>
            </w:tcBorders>
            <w:gridSpan w:val="4"/>
          </w:tcPr>
          <w:p>
            <w:pPr>
              <w:jc w:val="right"/>
              <w:ind w:right="5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4"/>
        </w:trPr>
        <w:tc>
          <w:tcPr>
            <w:tcW w:w="5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98"/>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98"/>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2"/>
                <w:szCs w:val="12"/>
                <w:color w:val="auto"/>
              </w:rPr>
            </w:pPr>
          </w:p>
        </w:tc>
      </w:tr>
      <w:tr>
        <w:trPr>
          <w:trHeight w:val="162"/>
        </w:trPr>
        <w:tc>
          <w:tcPr>
            <w:tcW w:w="58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Total # of</w:t>
            </w:r>
          </w:p>
        </w:tc>
        <w:tc>
          <w:tcPr>
            <w:tcW w:w="14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 # 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58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4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73"/>
        </w:trPr>
        <w:tc>
          <w:tcPr>
            <w:tcW w:w="584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4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and PSUs outstanding, beginning of period</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1,313,974</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1,631,631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Awarded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270,315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255,911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(404,608)</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(249,408)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(180,719)</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2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(603,344)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tcPr>
          <w:p>
            <w:pPr>
              <w:spacing w:after="0"/>
              <w:rPr>
                <w:sz w:val="19"/>
                <w:szCs w:val="19"/>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and PSUs outstanding, end of period</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998,962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1,034,790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right="660" w:firstLine="510"/>
        <w:spacing w:after="0" w:line="282" w:lineRule="auto"/>
        <w:rPr>
          <w:sz w:val="20"/>
          <w:szCs w:val="20"/>
          <w:color w:val="auto"/>
        </w:rPr>
      </w:pPr>
      <w:r>
        <w:rPr>
          <w:rFonts w:ascii="Times New Roman" w:cs="Times New Roman" w:eastAsia="Times New Roman" w:hAnsi="Times New Roman"/>
          <w:sz w:val="18"/>
          <w:szCs w:val="18"/>
          <w:color w:val="auto"/>
        </w:rPr>
        <w:t>As of January 31, 2021, there was $4.0 million of unrecognized compensation expense related to unvested RSUs and PSUs. This expense is expected to be recognized over a weighted average remaining contractual term of 1.4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 xml:space="preserve">In January 2018, Gemini Technologies, Incorporated, or Gemini, commenced an action against us in the U.S. District Court for the District of Idaho, or the District Court. The complaint alleges, among other things, that we breached the earn-out and other provisions of the Asset Purchase Agreement and ancillary agreements between the parties in connection with our acquisition of the Gemtech business from Gemini. The complaint seeks a declaratory judgment interpreting various terms of the Asset Purchase Agreement and damages in the sum of $18.6 million. In May 2018, the District Court dismissed the complaint on the grounds of </w:t>
      </w:r>
      <w:r>
        <w:rPr>
          <w:rFonts w:ascii="Times New Roman" w:cs="Times New Roman" w:eastAsia="Times New Roman" w:hAnsi="Times New Roman"/>
          <w:sz w:val="18"/>
          <w:szCs w:val="18"/>
          <w:i w:val="1"/>
          <w:iCs w:val="1"/>
          <w:color w:val="auto"/>
        </w:rPr>
        <w:t>forum non conveniens</w:t>
      </w:r>
      <w:r>
        <w:rPr>
          <w:rFonts w:ascii="Times New Roman" w:cs="Times New Roman" w:eastAsia="Times New Roman" w:hAnsi="Times New Roman"/>
          <w:sz w:val="18"/>
          <w:szCs w:val="18"/>
          <w:color w:val="auto"/>
        </w:rPr>
        <w:t xml:space="preserve">. In June 2018, Gemini appealed the decision dismissing its complaint to the U.S. Court of Appeals for the Ninth Circuit, or the Ninth Circuit. On July 24, 2019, the Ninth Circuit reversed the dismissal and remanded the case to the District Court to perform a traditional </w:t>
      </w:r>
      <w:r>
        <w:rPr>
          <w:rFonts w:ascii="Times New Roman" w:cs="Times New Roman" w:eastAsia="Times New Roman" w:hAnsi="Times New Roman"/>
          <w:sz w:val="18"/>
          <w:szCs w:val="18"/>
          <w:i w:val="1"/>
          <w:iCs w:val="1"/>
          <w:color w:val="auto"/>
        </w:rPr>
        <w:t>forum non conveniens</w:t>
      </w:r>
      <w:r>
        <w:rPr>
          <w:rFonts w:ascii="Times New Roman" w:cs="Times New Roman" w:eastAsia="Times New Roman" w:hAnsi="Times New Roman"/>
          <w:sz w:val="18"/>
          <w:szCs w:val="18"/>
          <w:color w:val="auto"/>
        </w:rPr>
        <w:t xml:space="preserve"> analysis. On September 6, 2019, the parties stipulated that they do not contest that the venue is proper in the District of Idaho. On November 4, 2019, we filed an answer to Gemini’s complaint and a counterclaim against Gemini and its stockholders at the time of the signing of the Asset Purchase Agreement. Plaintiffs amended their complaint to add a claim of fraud in the inducement. We believe the claims asserted in the complaint have no merit, and we intend to aggressively defend this action.</w:t>
      </w:r>
    </w:p>
    <w:p>
      <w:pPr>
        <w:spacing w:after="0" w:line="194"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We are a defendant in four product liability cases and are aware of two other product liability claims, primarily alleging defective product design, defective manufacturing, or failure to provide adequate warnings. In addition, we are a co-defendant in a case filed on August 27, 1999 by the city of Gary, Indiana, or the City, against numerous firearm manufacturers, distributors, and dealers seeking to recover monetary damages, as well as injunctive relief, allegedly arising out of the misuse of firearms by third parties. In January 2018, the trial court granted defendants’ Motion for Judgment on the Pleadings, dismissing the case in its entirety. In February 2018, plaintiffs appealed the dismissal to the Indiana Court of Appeals. On May 23, 2019, the Indiana Court of Appeals issued a decision, which affirmed in part and reversed in part and remanded for further proceedings, the trial court’s dismissal of the City’s complaint. On July 8, 2019, defendants filed a Petition to Transfer jurisdiction to the Indiana Supreme Court. Briefing was completed in the Indiana Supreme Court on August 5, 2019. On November 26, 2019, the Indiana Supreme Court denied our petition to transfer. The case was returned to the trial court.</w:t>
      </w:r>
    </w:p>
    <w:p>
      <w:pPr>
        <w:spacing w:after="0" w:line="215"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In August 2019, Primus Group, LLC filed an action in the U.S. District Court for the Southern District of Ohio Eastern Division against us and other firearm manufacturers, alleging Racketeer Influenced Corrupt Organizations Act (RICO) violations, racketeering enterprise, and intentional misrepresentation. Plaintiff, which operates as an “entertainment venue” in Columbus, Ohio, purports to bring this action on behalf of “all persons entitled to freely attend schools, shopping locations, churches, entertainment venues, and workplaces in the United States without the intrusion of individuals armed with assault weapons.” In addition to compensatory and punitive damages, plaintiff seeks preliminary and permanent injunctive relief enjoining the distribution and sale of “assault weapons.” On August 20, 2019, the court denied without prejudice plaintiff’s Motion for Temporary Restraining Order. On September 3, 2019, defendants moved to dismiss plaintiff’s complaint. On September 16, 2019, plaintiff filed an amended complaint, adding claims of public nuisance, negligent design, and failure to warn. On October 9, 2019, the U.S. District Court granted defendants’ motion, dismissing the case in its entirety. On October 11, 2019, plaintiff filed a notice of appeal with the U.S. Court of Appeals for the Sixth</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ind w:left="360" w:right="202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Nine Months Ended January 31, 2021 and 2020</w:t>
      </w:r>
    </w:p>
    <w:p>
      <w:pPr>
        <w:spacing w:after="0" w:line="21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Circuit, or the Sixth Circuit. On November 1, 2019, the Sixth Circuit dismissed plaintiff’s appeal for failure to pay the required fee. On November 4, 2019, plaintiff-appellant filed, and the Sixth Circuit granted, a motion to reinstate the case. However, on March 13, 2020, at the request of the Appellant and based on the death of co-counsel, the Sixth Circuit held the case in abeyance and ordered that the Appellant file a status report every 30 days. On April 14, 2020, the Appellant filed a Status Report stating that it intended to reactivate the case or dismiss the appeal within 60 days. On October 21, 2020, the Appellant filed its opening brief with the Sixth Circuit. The Appellees filed their reply brief on November 18, 2020. On February 8, 2021, the Sixth Circuit affirmed the trials court’s dismissal of the case.</w:t>
      </w:r>
    </w:p>
    <w:p>
      <w:pPr>
        <w:spacing w:after="0" w:line="214"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In May 2018, we were named in an action related to the Parkland, Florida shooting, filed in the Circuit Court, Broward County, Florida, seeking a declaratory judgment that a Florida statute that provides firearm manufacturers and dealers immunity from liability when their legally manufactured and lawfully sold firearms are later used in criminal acts only applies to civil actions commenced by governmental agencies not private litigants. In August 2018, we moved to dismiss the complaint on the grounds that it seeks an impermissible advisory opinion. On December 6, 2018, the court granted defendants’ motion to dismiss without prejudice and granted plaintiffs leave to amend their complaint. On December 10, 2018, plaintiffs filed a Second Amended Complaint for Declaratory Relief. On December 13, 2018, defendants filed a Motion to Dismiss Plaintiffs’ Second Amended Complaint. On November 21, 2019, the court granted defendants’ motion to dismiss plaintiffs’ second amended complaint, with prejudice. On August 27, 2020, the plaintiffs filed a Motion for Entry of Final and Appealable Order. We opposed, and on November 4, 2020, the court issued an order denying plaintiffs’ motion. On November 13, 2020, the plaintiffs filed a Notice of Appeal. On November 18, 2020, the Fourth District Court of Appeal of the State of Florida, or the Court of Appeal, issued an order requiring plaintiffs to file a brief explaining the basis for the court’s jurisdiction and how their appeal is timely given the order rendered November 22, 2019. On November 25, 2020, plaintiffs-appellants filed a jurisdictional brief. On December 7, 2020, we filed our response, incorporating a motion to dismiss. On December 28, 2020, the Court of Appeal denied our motion to dismiss, and ordered that the case proceed as a Petition for Writ of Certiorari. On February 18, 2021, plaintiffs-petitioners filed their petition with the Court of Appeal.</w:t>
      </w:r>
    </w:p>
    <w:p>
      <w:pPr>
        <w:spacing w:after="0" w:line="228"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We are a defendant in a putative class proceeding before the Ontario Superior Court of Justice in Toronto, Canada. The action was filed on December 16, 2019. The action claims CAD$50 million in aggregate general damages, CAD$100 million in aggregate punitive damages, special damages in an unspecified amount, together with interest and legal costs. The named plaintiffs are two victims of a shooting that took place in Toronto on July 22, 2018 and their family members. One victim was shot and injured during the shooting. The other suffered unspecified injuries while fleeing the shooting. The plaintiffs are seeking to certify a claim on behalf of classes that include all persons who were killed or injured in the shooting and their immediate family members. The plaintiffs allege negligent design and public nuisance. The case has not been certified as a class action. On July 13, 2020, we filed a Notice of Motion for an order striking the claim and dismissing the action in its entirety. On February 11, 2021, the court granted our motion in part and denied it in part. We intend to file a motion for leave to appeal the court’s decision.</w:t>
      </w:r>
    </w:p>
    <w:p>
      <w:pPr>
        <w:spacing w:after="0" w:line="232"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In May 2020, we were named in an action related to the Chabad of Poway synagogue shooting that took place on April 27, 2019. The complaint was filed in the Superior Court of the State of California, for the County of San Diego – Central, and asserts claims against us for product liability, unfair competition, negligence, and public nuisance. The plaintiffs allege they were present at the synagogue on the day of the incident and suffered physical and/or emotional injury. The plaintiffs seek compensatory and punitive damages, attorneys’ fees, and injunctive relief. On September 3, 2020, we filed a demurrer and motion to strike, seeking to dismiss plaintiffs’ complaint. The plaintiffs filed an opposition to our motion on December 18, 2020. Our reply to plaintiffs’ opposition was filed on January 15, 2021. On January 14, 2021, the court granted the application of several law professors who sought leave to file an amicus brief in support of our demurrer. Plaintiffs have an opportunity to file an amicus to respond to the law professors’ brief. The hearing on our motion was rescheduled to June 8, 2021.</w:t>
      </w:r>
    </w:p>
    <w:p>
      <w:pPr>
        <w:spacing w:after="0" w:line="192" w:lineRule="exact"/>
        <w:rPr>
          <w:sz w:val="20"/>
          <w:szCs w:val="20"/>
          <w:color w:val="auto"/>
        </w:rPr>
      </w:pPr>
    </w:p>
    <w:p>
      <w:pPr>
        <w:ind w:right="520" w:firstLine="510"/>
        <w:spacing w:after="0" w:line="282" w:lineRule="auto"/>
        <w:rPr>
          <w:sz w:val="20"/>
          <w:szCs w:val="20"/>
          <w:color w:val="auto"/>
        </w:rPr>
      </w:pPr>
      <w:r>
        <w:rPr>
          <w:rFonts w:ascii="Times New Roman" w:cs="Times New Roman" w:eastAsia="Times New Roman" w:hAnsi="Times New Roman"/>
          <w:sz w:val="18"/>
          <w:szCs w:val="18"/>
          <w:color w:val="auto"/>
        </w:rPr>
        <w:t>We believe that the various allegations as described above are unfounded, and, in addition, that any incident and any results from them or any injuries were due to negligence or misuse of the firearm by the claimant or a third party.</w:t>
      </w:r>
    </w:p>
    <w:p>
      <w:pPr>
        <w:spacing w:after="0" w:line="189"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John Pidcock, as trustee of the ASPC Creditor Trust (appointed under the plan of reorganization of AcuSport Corp., or AcuSport, as debtor in possession under chapter 11 of the U.S. Bankruptcy Code), is the plaintiff in two separate actions against us in the U.S. Bankruptcy Court for the Southern District of Ohio. The first seeks recovery of alleged preferential transfers received by us from AcuSport in the aggregate amount of $4.2 million. The second seeks turnover of goods allegedly owed to AcuSport by us under one or more of our promotional programs in the amount of $1.5 million. We have filed answers to both complaints denying all material allegations and asserting affirmative defenses. Mediation was held on December 10, 2020, and was unsuccessful in resolving these cases. We believe we have strong defenses to these actions and intend to continue to vigorously defend them.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 w:name="page20"/>
    <w:bookmarkEnd w:id="19"/>
    <w:p>
      <w:pPr>
        <w:jc w:val="center"/>
        <w:ind w:left="380" w:right="200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Nine Months Ended January 31, 2021 and 2020</w:t>
      </w:r>
    </w:p>
    <w:p>
      <w:pPr>
        <w:spacing w:after="0" w:line="200" w:lineRule="exact"/>
        <w:rPr>
          <w:sz w:val="20"/>
          <w:szCs w:val="20"/>
          <w:color w:val="auto"/>
        </w:rPr>
      </w:pPr>
    </w:p>
    <w:p>
      <w:pPr>
        <w:spacing w:after="0" w:line="2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the various allegations as described above are unfounded.</w:t>
      </w:r>
    </w:p>
    <w:p>
      <w:pPr>
        <w:spacing w:after="0" w:line="225"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In addition, from time to time, we are involved in lawsuits, claims, investigations, and proceedings, including commercial, environmental, premises and employment matters, which arise in the ordinary course of business.</w:t>
      </w:r>
    </w:p>
    <w:p>
      <w:pPr>
        <w:spacing w:after="0" w:line="162"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The relief sought in individual cases primarily includes compensatory and, sometimes, punitive damages. Certain of the cases and claims seek unspecified compensatory or punitive damages. In others, compensatory damages sought may range from less than $75,000 to approximately $50.0 million. In our experience, initial demands do not generally bear a reasonable relationship to the facts and circumstances of a particular matter. We believe that our accruals for product liability cases and claims are a reasonable quantitative measure of the cost to us of product liability cases and claims.</w:t>
      </w:r>
    </w:p>
    <w:p>
      <w:pPr>
        <w:spacing w:after="0" w:line="180" w:lineRule="exact"/>
        <w:rPr>
          <w:sz w:val="20"/>
          <w:szCs w:val="20"/>
          <w:color w:val="auto"/>
        </w:rPr>
      </w:pPr>
    </w:p>
    <w:p>
      <w:pPr>
        <w:ind w:right="360" w:firstLine="510"/>
        <w:spacing w:after="0" w:line="282" w:lineRule="auto"/>
        <w:rPr>
          <w:sz w:val="20"/>
          <w:szCs w:val="20"/>
          <w:color w:val="auto"/>
        </w:rPr>
      </w:pPr>
      <w:r>
        <w:rPr>
          <w:rFonts w:ascii="Times New Roman" w:cs="Times New Roman" w:eastAsia="Times New Roman" w:hAnsi="Times New Roman"/>
          <w:sz w:val="18"/>
          <w:szCs w:val="18"/>
          <w:color w:val="auto"/>
        </w:rPr>
        <w:t>We are vigorously defending ourselves in the lawsuits to which we are subject. An unfavorable outcome or prolonged litigation could harm our business. Litigation of this nature also is expensive, time consuming, and diverts the time and attention of our management.</w:t>
      </w:r>
    </w:p>
    <w:p>
      <w:pPr>
        <w:spacing w:after="0" w:line="162"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monitor the status of known claims and the related product liability accrual, which includes amounts for defense costs for asserted and unasserted claims. After consultation with litigation counsel and a review of the merit of each claim, we have concluded that we are unable to reasonably estimate the probability or the estimated range of reasonably possible losses related to material adverse judgments related to such claims and, therefore, we have not accrued for any such judgments. In the future, should we determine that a loss (or an additional loss in excess of our accrual) is at least reasonably possible and material, we would then disclose an estimate of the possible loss or range of loss, if such estimate could be made, or disclose that an estimate could not be made. We believe that we have provided adequate accruals for defense costs.</w:t>
      </w:r>
    </w:p>
    <w:p>
      <w:pPr>
        <w:spacing w:after="0" w:line="187"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We have recorded our liability for defense costs before consideration for reimbursement from insurance carriers. We have also recorded the amount due as reimbursement under existing policies from the insurance carriers as a receivable shown in other current assets and other assets.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this time, an estimated range of reasonably possible additional losses relating to unfavorable outcomes cannot be made.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ind w:right="400" w:firstLine="510"/>
        <w:spacing w:after="0" w:line="282" w:lineRule="auto"/>
        <w:rPr>
          <w:sz w:val="20"/>
          <w:szCs w:val="20"/>
          <w:color w:val="auto"/>
        </w:rPr>
      </w:pPr>
      <w:r>
        <w:rPr>
          <w:rFonts w:ascii="Times New Roman" w:cs="Times New Roman" w:eastAsia="Times New Roman" w:hAnsi="Times New Roman"/>
          <w:sz w:val="18"/>
          <w:szCs w:val="18"/>
          <w:color w:val="auto"/>
        </w:rPr>
        <w:t>On March 2, 2021, our Board of Directors authorized a regular quarterly dividend for stockholders of $0.05 per share. The dividend will be for stockholders of record as of market close on March 17, 2021 and is payable on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0" w:name="page21"/>
    <w:bookmarkEnd w:id="20"/>
    <w:p>
      <w:pPr>
        <w:ind w:right="398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Overview</w:t>
      </w: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Please refer to the Management’s Discussion and Analysis of Financial Condition and Results of Operations in our Annual Report on Form 10-K for the fiscal year ended April 30, 2020 and our unaudited condensed consolidated financial statements included in Item 1 of this Quarterly Report on Form 10-Q. This section sets forth key objectives and performance indicators used by us as well as key industry data tracked by us.</w:t>
      </w:r>
    </w:p>
    <w:p>
      <w:pPr>
        <w:spacing w:after="0" w:line="216"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 xml:space="preserve">The results of AOUT, our former outdoor products and accessories business, which were previously reported in the Outdoor Products &amp; Accessories segment, are being presented as discontinued operations in the condensed consolidated statements of income/(loss) and comprehensive income/(loss) for all periods presented following the Separation as described above. See Note 3 -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in the notes to consolidated financial statements for additional information regarding these discontinued operations. Unless otherwise indicated, any reference to income statement items in this Management’s Discussion and Analysis of Financial Condition and Results of Operations refers to results from continuing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Fiscal 2021 Highlights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results for the three months ended January 31, 2021 included the following:</w:t>
      </w:r>
    </w:p>
    <w:p>
      <w:pPr>
        <w:spacing w:after="0" w:line="117" w:lineRule="exact"/>
        <w:rPr>
          <w:sz w:val="20"/>
          <w:szCs w:val="20"/>
          <w:color w:val="auto"/>
        </w:rPr>
      </w:pPr>
    </w:p>
    <w:p>
      <w:pPr>
        <w:ind w:left="880" w:hanging="373"/>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were $257.6 million, an increase of $130.2 million, or 102.2%, over the comparable quarter last year.</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was 42.6%, compared with gross margin of 28.0% for the comparable quarter last year.</w:t>
      </w:r>
    </w:p>
    <w:p>
      <w:pPr>
        <w:spacing w:after="0" w:line="117" w:lineRule="exact"/>
        <w:rPr>
          <w:rFonts w:ascii="Times New Roman" w:cs="Times New Roman" w:eastAsia="Times New Roman" w:hAnsi="Times New Roman"/>
          <w:sz w:val="18"/>
          <w:szCs w:val="18"/>
          <w:color w:val="auto"/>
        </w:rPr>
      </w:pPr>
    </w:p>
    <w:p>
      <w:pPr>
        <w:ind w:left="880" w:right="260" w:hanging="373"/>
        <w:spacing w:after="0" w:line="282"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continuing operations was $62.3 million, or $1.12 per diluted share, compared with income from continuing operations of $4.2 million, or $0.08 per diluted share, for the comparable quarter last year.</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results for the nine months ended January 31, 2021 included the following:</w:t>
      </w:r>
    </w:p>
    <w:p>
      <w:pPr>
        <w:spacing w:after="0" w:line="117" w:lineRule="exact"/>
        <w:rPr>
          <w:sz w:val="20"/>
          <w:szCs w:val="20"/>
          <w:color w:val="auto"/>
        </w:rPr>
      </w:pPr>
    </w:p>
    <w:p>
      <w:pPr>
        <w:ind w:left="880" w:hanging="373"/>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were $736.2 million, an increase of $399.7 million, or 118.7%, over the prior year comparable period.</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was 41.2%, compared with gross margin of 30.8% for the prior year comparable period.</w:t>
      </w:r>
    </w:p>
    <w:p>
      <w:pPr>
        <w:spacing w:after="0" w:line="117" w:lineRule="exact"/>
        <w:rPr>
          <w:rFonts w:ascii="Times New Roman" w:cs="Times New Roman" w:eastAsia="Times New Roman" w:hAnsi="Times New Roman"/>
          <w:sz w:val="18"/>
          <w:szCs w:val="18"/>
          <w:color w:val="auto"/>
        </w:rPr>
      </w:pPr>
    </w:p>
    <w:p>
      <w:pPr>
        <w:ind w:left="880" w:right="160" w:hanging="373"/>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continuing operations was $154.7 million, or $2.75 per diluted share, compared with income from continuing operations of $6.8 million, or $0.12 per diluted share, for the prior year comparable period.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 and Gross Profit – For the Three Months Ended January 31, 2021</w:t>
      </w:r>
    </w:p>
    <w:p>
      <w:pPr>
        <w:spacing w:after="0" w:line="121"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net sales and gross profit for the three months ended January 31, 2021 and 2020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tcBorders>
              <w:bottom w:val="single" w:sz="8" w:color="CFF0FC"/>
            </w:tcBorders>
          </w:tcPr>
          <w:p>
            <w:pPr>
              <w:spacing w:after="0"/>
              <w:rPr>
                <w:sz w:val="15"/>
                <w:szCs w:val="15"/>
                <w:color w:val="auto"/>
              </w:rPr>
            </w:pPr>
          </w:p>
        </w:tc>
        <w:tc>
          <w:tcPr>
            <w:tcW w:w="16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6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183,106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94,251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88,855</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Long Guns</w:t>
            </w:r>
          </w:p>
        </w:tc>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61,581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36,925</w:t>
            </w:r>
          </w:p>
        </w:tc>
        <w:tc>
          <w:tcPr>
            <w:tcW w:w="2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149.8%</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Products &amp; Services</w:t>
            </w:r>
          </w:p>
        </w:tc>
        <w:tc>
          <w:tcPr>
            <w:tcW w:w="1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Total Firearms Revenue</w:t>
            </w:r>
          </w:p>
        </w:tc>
        <w:tc>
          <w:tcPr>
            <w:tcW w:w="16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257,634</w:t>
            </w:r>
          </w:p>
        </w:tc>
        <w:tc>
          <w:tcPr>
            <w:tcW w:w="22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127,416</w:t>
            </w:r>
          </w:p>
        </w:tc>
        <w:tc>
          <w:tcPr>
            <w:tcW w:w="22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130,218</w:t>
            </w:r>
          </w:p>
        </w:tc>
        <w:tc>
          <w:tcPr>
            <w:tcW w:w="2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147,955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91,729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56,226</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109,679</w:t>
            </w:r>
          </w:p>
        </w:tc>
        <w:tc>
          <w:tcPr>
            <w:tcW w:w="2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35,687</w:t>
            </w:r>
          </w:p>
        </w:tc>
        <w:tc>
          <w:tcPr>
            <w:tcW w:w="2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73,992</w:t>
            </w:r>
          </w:p>
        </w:tc>
        <w:tc>
          <w:tcPr>
            <w:tcW w:w="240" w:type="dxa"/>
            <w:vAlign w:val="bottom"/>
            <w:vMerge w:val="continue"/>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207.3%</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of net sales (gross margin)</w:t>
            </w:r>
          </w:p>
        </w:tc>
        <w:tc>
          <w:tcPr>
            <w:tcW w:w="1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3940" w:type="dxa"/>
            <w:vAlign w:val="bottom"/>
          </w:tcPr>
          <w:p>
            <w:pPr>
              <w:spacing w:after="0"/>
              <w:rPr>
                <w:sz w:val="24"/>
                <w:szCs w:val="24"/>
                <w:color w:val="auto"/>
              </w:rPr>
            </w:pPr>
          </w:p>
        </w:tc>
        <w:tc>
          <w:tcPr>
            <w:tcW w:w="19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21</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1" w:name="page22"/>
    <w:bookmarkEnd w:id="21"/>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firearm units shipped by trade channel for the three months ended January 31, 2021 and 2020 (units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Total Units Shipped</w:t>
            </w:r>
          </w:p>
        </w:tc>
        <w:tc>
          <w:tcPr>
            <w:tcW w:w="11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5"/>
                <w:szCs w:val="15"/>
                <w:color w:val="auto"/>
              </w:rPr>
            </w:pPr>
          </w:p>
        </w:tc>
        <w:tc>
          <w:tcPr>
            <w:tcW w:w="11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5"/>
                <w:szCs w:val="15"/>
                <w:color w:val="auto"/>
              </w:rPr>
            </w:pPr>
          </w:p>
        </w:tc>
        <w:tc>
          <w:tcPr>
            <w:tcW w:w="13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7"/>
        </w:trPr>
        <w:tc>
          <w:tcPr>
            <w:tcW w:w="1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4620" w:type="dxa"/>
            <w:vAlign w:val="bottom"/>
            <w:tcBorders>
              <w:top w:val="single" w:sz="8" w:color="CFF0FC"/>
            </w:tcBorders>
            <w:gridSpan w:val="3"/>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500</w:t>
            </w: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310</w:t>
            </w: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center"/>
              <w:ind w:left="16"/>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61.3%</w:t>
            </w:r>
          </w:p>
        </w:tc>
        <w:tc>
          <w:tcPr>
            <w:tcW w:w="100" w:type="dxa"/>
            <w:vAlign w:val="bottom"/>
            <w:tcBorders>
              <w:top w:val="single" w:sz="8" w:color="CFF0FC"/>
            </w:tcBorders>
            <w:shd w:val="clear" w:color="auto" w:fill="CFF0FC"/>
          </w:tcPr>
          <w:p>
            <w:pPr>
              <w:spacing w:after="0"/>
              <w:rPr>
                <w:sz w:val="18"/>
                <w:szCs w:val="18"/>
                <w:color w:val="auto"/>
              </w:rPr>
            </w:pPr>
          </w:p>
        </w:tc>
      </w:tr>
      <w:tr>
        <w:trPr>
          <w:trHeight w:val="234"/>
        </w:trPr>
        <w:tc>
          <w:tcPr>
            <w:tcW w:w="5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123</w:t>
            </w:r>
          </w:p>
        </w:tc>
        <w:tc>
          <w:tcPr>
            <w:tcW w:w="240" w:type="dxa"/>
            <w:vAlign w:val="bottom"/>
          </w:tcPr>
          <w:p>
            <w:pPr>
              <w:spacing w:after="0"/>
              <w:rPr>
                <w:sz w:val="20"/>
                <w:szCs w:val="20"/>
                <w:color w:val="auto"/>
              </w:rPr>
            </w:pPr>
          </w:p>
        </w:tc>
        <w:tc>
          <w:tcPr>
            <w:tcW w:w="114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101.6%</w:t>
            </w:r>
          </w:p>
        </w:tc>
        <w:tc>
          <w:tcPr>
            <w:tcW w:w="100" w:type="dxa"/>
            <w:vAlign w:val="bottom"/>
          </w:tcPr>
          <w:p>
            <w:pPr>
              <w:spacing w:after="0"/>
              <w:rPr>
                <w:sz w:val="20"/>
                <w:szCs w:val="20"/>
                <w:color w:val="auto"/>
              </w:rPr>
            </w:pPr>
          </w:p>
        </w:tc>
      </w:tr>
      <w:tr>
        <w:trPr>
          <w:trHeight w:val="434"/>
        </w:trPr>
        <w:tc>
          <w:tcPr>
            <w:tcW w:w="2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Sporting Goods Channel Units Shipped</w:t>
            </w:r>
          </w:p>
        </w:tc>
        <w:tc>
          <w:tcPr>
            <w:tcW w:w="3400" w:type="dxa"/>
            <w:vAlign w:val="bottom"/>
          </w:tcPr>
          <w:p>
            <w:pPr>
              <w:spacing w:after="0"/>
              <w:rPr>
                <w:sz w:val="24"/>
                <w:szCs w:val="24"/>
                <w:color w:val="auto"/>
              </w:rPr>
            </w:pPr>
          </w:p>
        </w:tc>
        <w:tc>
          <w:tcPr>
            <w:tcW w:w="11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24"/>
                <w:szCs w:val="24"/>
                <w:color w:val="auto"/>
              </w:rPr>
            </w:pPr>
          </w:p>
        </w:tc>
        <w:tc>
          <w:tcPr>
            <w:tcW w:w="11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24"/>
                <w:szCs w:val="24"/>
                <w:color w:val="auto"/>
              </w:rPr>
            </w:pPr>
          </w:p>
        </w:tc>
        <w:tc>
          <w:tcPr>
            <w:tcW w:w="13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6"/>
        </w:trPr>
        <w:tc>
          <w:tcPr>
            <w:tcW w:w="5840" w:type="dxa"/>
            <w:vAlign w:val="bottom"/>
            <w:tcBorders>
              <w:top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1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473</w:t>
            </w: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289</w:t>
            </w: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center"/>
              <w:ind w:left="16"/>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63.7%</w:t>
            </w:r>
          </w:p>
        </w:tc>
        <w:tc>
          <w:tcPr>
            <w:tcW w:w="100" w:type="dxa"/>
            <w:vAlign w:val="bottom"/>
            <w:tcBorders>
              <w:top w:val="single" w:sz="8" w:color="CFF0FC"/>
            </w:tcBorders>
            <w:shd w:val="clear" w:color="auto" w:fill="CFF0FC"/>
          </w:tcPr>
          <w:p>
            <w:pPr>
              <w:spacing w:after="0"/>
              <w:rPr>
                <w:sz w:val="18"/>
                <w:szCs w:val="18"/>
                <w:color w:val="auto"/>
              </w:rPr>
            </w:pPr>
          </w:p>
        </w:tc>
      </w:tr>
      <w:tr>
        <w:trPr>
          <w:trHeight w:val="234"/>
        </w:trPr>
        <w:tc>
          <w:tcPr>
            <w:tcW w:w="5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120</w:t>
            </w:r>
          </w:p>
        </w:tc>
        <w:tc>
          <w:tcPr>
            <w:tcW w:w="240" w:type="dxa"/>
            <w:vAlign w:val="bottom"/>
          </w:tcPr>
          <w:p>
            <w:pPr>
              <w:spacing w:after="0"/>
              <w:rPr>
                <w:sz w:val="20"/>
                <w:szCs w:val="20"/>
                <w:color w:val="auto"/>
              </w:rPr>
            </w:pPr>
          </w:p>
        </w:tc>
        <w:tc>
          <w:tcPr>
            <w:tcW w:w="114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106.9%</w:t>
            </w:r>
          </w:p>
        </w:tc>
        <w:tc>
          <w:tcPr>
            <w:tcW w:w="100" w:type="dxa"/>
            <w:vAlign w:val="bottom"/>
          </w:tcPr>
          <w:p>
            <w:pPr>
              <w:spacing w:after="0"/>
              <w:rPr>
                <w:sz w:val="20"/>
                <w:szCs w:val="20"/>
                <w:color w:val="auto"/>
              </w:rPr>
            </w:pPr>
          </w:p>
        </w:tc>
      </w:tr>
      <w:tr>
        <w:trPr>
          <w:trHeight w:val="447"/>
        </w:trPr>
        <w:tc>
          <w:tcPr>
            <w:tcW w:w="2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Professional Channel Units Shipped</w:t>
            </w:r>
          </w:p>
        </w:tc>
        <w:tc>
          <w:tcPr>
            <w:tcW w:w="3620" w:type="dxa"/>
            <w:vAlign w:val="bottom"/>
            <w:gridSpan w:val="2"/>
          </w:tcPr>
          <w:p>
            <w:pPr>
              <w:spacing w:after="0"/>
              <w:rPr>
                <w:sz w:val="24"/>
                <w:szCs w:val="24"/>
                <w:color w:val="auto"/>
              </w:rPr>
            </w:pPr>
          </w:p>
        </w:tc>
        <w:tc>
          <w:tcPr>
            <w:tcW w:w="11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24"/>
                <w:szCs w:val="24"/>
                <w:color w:val="auto"/>
              </w:rPr>
            </w:pPr>
          </w:p>
        </w:tc>
        <w:tc>
          <w:tcPr>
            <w:tcW w:w="11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24"/>
                <w:szCs w:val="24"/>
                <w:color w:val="auto"/>
              </w:rPr>
            </w:pPr>
          </w:p>
        </w:tc>
        <w:tc>
          <w:tcPr>
            <w:tcW w:w="13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7"/>
        </w:trPr>
        <w:tc>
          <w:tcPr>
            <w:tcW w:w="5840" w:type="dxa"/>
            <w:vAlign w:val="bottom"/>
            <w:tcBorders>
              <w:top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1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ind w:right="356"/>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center"/>
              <w:ind w:left="16"/>
              <w:spacing w:after="0"/>
              <w:rPr>
                <w:sz w:val="20"/>
                <w:szCs w:val="20"/>
                <w:color w:val="auto"/>
              </w:rPr>
            </w:pPr>
            <w:r>
              <w:rPr>
                <w:rFonts w:ascii="Times New Roman" w:cs="Times New Roman" w:eastAsia="Times New Roman" w:hAnsi="Times New Roman"/>
                <w:sz w:val="18"/>
                <w:szCs w:val="18"/>
                <w:color w:val="auto"/>
                <w:w w:val="88"/>
              </w:rPr>
              <w:t>6</w:t>
            </w:r>
          </w:p>
        </w:tc>
        <w:tc>
          <w:tcPr>
            <w:tcW w:w="2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28.6%</w:t>
            </w:r>
          </w:p>
        </w:tc>
        <w:tc>
          <w:tcPr>
            <w:tcW w:w="100" w:type="dxa"/>
            <w:vAlign w:val="bottom"/>
            <w:tcBorders>
              <w:top w:val="single" w:sz="8" w:color="CFF0FC"/>
            </w:tcBorders>
            <w:shd w:val="clear" w:color="auto" w:fill="CFF0FC"/>
          </w:tcPr>
          <w:p>
            <w:pPr>
              <w:spacing w:after="0"/>
              <w:rPr>
                <w:sz w:val="18"/>
                <w:szCs w:val="18"/>
                <w:color w:val="auto"/>
              </w:rPr>
            </w:pPr>
          </w:p>
        </w:tc>
      </w:tr>
      <w:tr>
        <w:trPr>
          <w:trHeight w:val="234"/>
        </w:trPr>
        <w:tc>
          <w:tcPr>
            <w:tcW w:w="5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114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88"/>
              </w:rPr>
              <w:t>0</w:t>
            </w:r>
          </w:p>
        </w:tc>
        <w:tc>
          <w:tcPr>
            <w:tcW w:w="2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0"/>
                <w:szCs w:val="20"/>
                <w:color w:val="auto"/>
              </w:rPr>
            </w:pPr>
          </w:p>
        </w:tc>
      </w:tr>
    </w:tbl>
    <w:p>
      <w:pPr>
        <w:spacing w:after="0" w:line="220"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Revenue for our handguns increased $88.9 million, or 94.3%, over the comparable quarter last year. The increase in revenue was due to heightened demand for all major product lines driven by an increased consumer interest in firearms, likely resulting from continued concerns regarding the COVID-19 pandemic, recent events that raised fears about personal protection, uncertainty regarding the possibility of increased firearm regulation following the recent political elections, our annual price increase, and a reduction in promotional programs, which increased our average selling price. Unit shipments into the sporting goods consumer channel increased 63.7% over the comparable quarter last year, primarily as a result of increased consumer firearm demand, as indicated by a 48.8% increase over the comparable quarter last year in total adjusted handgun background checks as reported to the National Instant Criminal Background Check Systems, or NICS, which we believe is a proxy for overall consumer demand. We believe our outperformance of adjusted NICS was a result of our ability to increase capacity to meet consumer demand.</w:t>
      </w:r>
    </w:p>
    <w:p>
      <w:pPr>
        <w:spacing w:after="0" w:line="192"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Revenue for our long guns increased $36.9 million, or 149.8%, over the comparable quarter last year. The increase in revenue was primarily because of increased consumer demand for our M&amp;P modern sporting rifles, driven by an increased participation in outdoor activities due to COVID-19, and our annual price increase. Long gun unit shipments into our sporting goods channel increased 106.9%, compared with a 46.2% increase in reported NICS checks over the comparable quarter last year. We believe that our percentage increase in sales in long guns significantly exceeded the increase in NICS because our flexible manufacturing capabilities allowed us to capture market share.</w:t>
      </w:r>
    </w:p>
    <w:p>
      <w:pPr>
        <w:spacing w:after="0" w:line="183"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Other products and services revenue increased $4.4 million, or 52.2%, over the comparable quarter last year, primarily because of increased sales of component parts, handcuffs, and business-to-business services.</w:t>
      </w:r>
    </w:p>
    <w:p>
      <w:pPr>
        <w:spacing w:after="0" w:line="162" w:lineRule="exact"/>
        <w:rPr>
          <w:sz w:val="20"/>
          <w:szCs w:val="20"/>
          <w:color w:val="auto"/>
        </w:rPr>
      </w:pPr>
    </w:p>
    <w:p>
      <w:pPr>
        <w:jc w:val="both"/>
        <w:ind w:right="200" w:firstLine="510"/>
        <w:spacing w:after="0" w:line="266" w:lineRule="auto"/>
        <w:rPr>
          <w:sz w:val="20"/>
          <w:szCs w:val="20"/>
          <w:color w:val="auto"/>
        </w:rPr>
      </w:pPr>
      <w:r>
        <w:rPr>
          <w:rFonts w:ascii="Times New Roman" w:cs="Times New Roman" w:eastAsia="Times New Roman" w:hAnsi="Times New Roman"/>
          <w:sz w:val="18"/>
          <w:szCs w:val="18"/>
          <w:color w:val="auto"/>
        </w:rPr>
        <w:t>New products, defined as any new SKU not shipped in the comparable quarter last year, represented 16.4% of revenue for the three months ended January 31, 2021 and included a new M&amp;P branded pistol, many new product line extensions, and promotional product bundle kits for our M&amp;P product line.</w:t>
      </w:r>
    </w:p>
    <w:p>
      <w:pPr>
        <w:spacing w:after="0" w:line="176" w:lineRule="exact"/>
        <w:rPr>
          <w:sz w:val="20"/>
          <w:szCs w:val="20"/>
          <w:color w:val="auto"/>
        </w:rPr>
      </w:pPr>
    </w:p>
    <w:p>
      <w:pPr>
        <w:ind w:right="180" w:firstLine="510"/>
        <w:spacing w:after="0" w:line="266" w:lineRule="auto"/>
        <w:rPr>
          <w:sz w:val="20"/>
          <w:szCs w:val="20"/>
          <w:color w:val="auto"/>
        </w:rPr>
      </w:pPr>
      <w:r>
        <w:rPr>
          <w:rFonts w:ascii="Times New Roman" w:cs="Times New Roman" w:eastAsia="Times New Roman" w:hAnsi="Times New Roman"/>
          <w:sz w:val="18"/>
          <w:szCs w:val="18"/>
          <w:color w:val="auto"/>
        </w:rPr>
        <w:t>Gross margin for the three months ended January 31, 2021 was 42.6%, compared with gross margin of 28.0% for the comparable quarter last year, primarily because of a shift in mix to higher margin products, lower promotional product spending, favorable manufacturing fixed cost absorption, and increased pricing. These increases were partially offset by increased manufacturing spending and recall related expenses.</w:t>
      </w:r>
    </w:p>
    <w:p>
      <w:pPr>
        <w:spacing w:after="0" w:line="176"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Inventory balances increased $5.6 million at January 31, 2021 from the previous quarter end, primarily to support increased manufacturing demand and an increase in finished goods as we prepare for a new product launch.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 and Gross Profit – For the Nine Months Ended January 31, 2021</w:t>
      </w:r>
    </w:p>
    <w:p>
      <w:pPr>
        <w:spacing w:after="0" w:line="121" w:lineRule="exact"/>
        <w:rPr>
          <w:sz w:val="20"/>
          <w:szCs w:val="20"/>
          <w:color w:val="auto"/>
        </w:rPr>
      </w:pPr>
    </w:p>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net sales and gross profit for the nine months ended January 31, 2021 and 2020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20" w:type="dxa"/>
            <w:vAlign w:val="bottom"/>
            <w:tcBorders>
              <w:bottom w:val="single" w:sz="8" w:color="CFF0FC"/>
            </w:tcBorders>
          </w:tcPr>
          <w:p>
            <w:pPr>
              <w:spacing w:after="0"/>
              <w:rPr>
                <w:sz w:val="15"/>
                <w:szCs w:val="15"/>
                <w:color w:val="auto"/>
              </w:rPr>
            </w:pPr>
          </w:p>
        </w:tc>
        <w:tc>
          <w:tcPr>
            <w:tcW w:w="100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600" w:type="dxa"/>
            <w:vAlign w:val="bottom"/>
            <w:tcBorders>
              <w:bottom w:val="single" w:sz="8" w:color="CFF0FC"/>
            </w:tcBorders>
          </w:tcPr>
          <w:p>
            <w:pPr>
              <w:spacing w:after="0"/>
              <w:rPr>
                <w:sz w:val="15"/>
                <w:szCs w:val="15"/>
                <w:color w:val="auto"/>
              </w:rPr>
            </w:pPr>
          </w:p>
        </w:tc>
        <w:tc>
          <w:tcPr>
            <w:tcW w:w="16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Borders>
              <w:bottom w:val="single" w:sz="8" w:color="CFF0FC"/>
            </w:tcBorders>
            <w:gridSpan w:val="2"/>
          </w:tcPr>
          <w:p>
            <w:pPr>
              <w:spacing w:after="0"/>
              <w:rPr>
                <w:sz w:val="15"/>
                <w:szCs w:val="15"/>
                <w:color w:val="auto"/>
              </w:rPr>
            </w:pPr>
          </w:p>
        </w:tc>
        <w:tc>
          <w:tcPr>
            <w:tcW w:w="11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6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509,315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247,373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left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261,942</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tcBorders>
              <w:left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105.9%</w:t>
            </w:r>
          </w:p>
        </w:tc>
        <w:tc>
          <w:tcPr>
            <w:tcW w:w="0" w:type="dxa"/>
            <w:vAlign w:val="bottom"/>
          </w:tcPr>
          <w:p>
            <w:pPr>
              <w:spacing w:after="0"/>
              <w:rPr>
                <w:sz w:val="1"/>
                <w:szCs w:val="1"/>
                <w:color w:val="auto"/>
              </w:rPr>
            </w:pPr>
          </w:p>
        </w:tc>
      </w:tr>
      <w:tr>
        <w:trPr>
          <w:trHeight w:val="229"/>
        </w:trPr>
        <w:tc>
          <w:tcPr>
            <w:tcW w:w="4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128,236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30"/>
        </w:trPr>
        <w:tc>
          <w:tcPr>
            <w:tcW w:w="40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Products &amp; Services</w:t>
            </w:r>
          </w:p>
        </w:tc>
        <w:tc>
          <w:tcPr>
            <w:tcW w:w="1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35,516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26,023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left w:val="single" w:sz="8" w:color="CFF0FC"/>
            </w:tcBorders>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9,493</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tcBorders>
              <w:left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0"/>
        </w:trPr>
        <w:tc>
          <w:tcPr>
            <w:tcW w:w="4040" w:type="dxa"/>
            <w:vAlign w:val="bottom"/>
            <w:gridSpan w:val="4"/>
            <w:vMerge w:val="restart"/>
          </w:tcPr>
          <w:p>
            <w:pPr>
              <w:ind w:left="140"/>
              <w:spacing w:after="0"/>
              <w:rPr>
                <w:sz w:val="20"/>
                <w:szCs w:val="20"/>
                <w:color w:val="auto"/>
              </w:rPr>
            </w:pPr>
            <w:r>
              <w:rPr>
                <w:rFonts w:ascii="Times New Roman" w:cs="Times New Roman" w:eastAsia="Times New Roman" w:hAnsi="Times New Roman"/>
                <w:sz w:val="18"/>
                <w:szCs w:val="18"/>
                <w:color w:val="auto"/>
              </w:rPr>
              <w:t>Total Firearms Revenue</w:t>
            </w:r>
          </w:p>
        </w:tc>
        <w:tc>
          <w:tcPr>
            <w:tcW w:w="16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40" w:type="dxa"/>
            <w:vAlign w:val="bottom"/>
            <w:gridSpan w:val="4"/>
            <w:vMerge w:val="continue"/>
          </w:tcPr>
          <w:p>
            <w:pPr>
              <w:spacing w:after="0"/>
              <w:rPr>
                <w:sz w:val="19"/>
                <w:szCs w:val="19"/>
                <w:color w:val="auto"/>
              </w:rPr>
            </w:pPr>
          </w:p>
        </w:tc>
        <w:tc>
          <w:tcPr>
            <w:tcW w:w="162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736,247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399,672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30"/>
        </w:trPr>
        <w:tc>
          <w:tcPr>
            <w:tcW w:w="40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433,073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232,989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left w:val="single" w:sz="8" w:color="CFF0FC"/>
            </w:tcBorders>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200,084</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tcBorders>
              <w:left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0"/>
        </w:trPr>
        <w:tc>
          <w:tcPr>
            <w:tcW w:w="40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40" w:type="dxa"/>
            <w:vAlign w:val="bottom"/>
            <w:gridSpan w:val="4"/>
            <w:vMerge w:val="continue"/>
          </w:tcPr>
          <w:p>
            <w:pPr>
              <w:spacing w:after="0"/>
              <w:rPr>
                <w:sz w:val="19"/>
                <w:szCs w:val="19"/>
                <w:color w:val="auto"/>
              </w:rPr>
            </w:pPr>
          </w:p>
        </w:tc>
        <w:tc>
          <w:tcPr>
            <w:tcW w:w="162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303,174</w:t>
            </w:r>
          </w:p>
        </w:tc>
        <w:tc>
          <w:tcPr>
            <w:tcW w:w="18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103,586</w:t>
            </w:r>
          </w:p>
        </w:tc>
        <w:tc>
          <w:tcPr>
            <w:tcW w:w="1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199,588</w:t>
            </w:r>
          </w:p>
        </w:tc>
        <w:tc>
          <w:tcPr>
            <w:tcW w:w="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192.7%</w:t>
            </w:r>
          </w:p>
        </w:tc>
        <w:tc>
          <w:tcPr>
            <w:tcW w:w="0" w:type="dxa"/>
            <w:vAlign w:val="bottom"/>
          </w:tcPr>
          <w:p>
            <w:pPr>
              <w:spacing w:after="0"/>
              <w:rPr>
                <w:sz w:val="1"/>
                <w:szCs w:val="1"/>
                <w:color w:val="auto"/>
              </w:rPr>
            </w:pPr>
          </w:p>
        </w:tc>
      </w:tr>
      <w:tr>
        <w:trPr>
          <w:trHeight w:val="230"/>
        </w:trPr>
        <w:tc>
          <w:tcPr>
            <w:tcW w:w="4040" w:type="dxa"/>
            <w:vAlign w:val="bottom"/>
            <w:gridSpan w:val="4"/>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of net sales (gross margin)</w:t>
            </w:r>
          </w:p>
        </w:tc>
        <w:tc>
          <w:tcPr>
            <w:tcW w:w="1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shd w:val="clear" w:color="auto" w:fill="CFF0FC"/>
          </w:tcPr>
          <w:p>
            <w:pPr>
              <w:spacing w:after="0"/>
              <w:rPr>
                <w:sz w:val="19"/>
                <w:szCs w:val="19"/>
                <w:color w:val="auto"/>
              </w:rPr>
            </w:pPr>
          </w:p>
        </w:tc>
        <w:tc>
          <w:tcPr>
            <w:tcW w:w="180" w:type="dxa"/>
            <w:vAlign w:val="bottom"/>
            <w:tcBorders>
              <w:left w:val="single" w:sz="8" w:color="CFF0FC"/>
            </w:tcBorders>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tcBorders>
              <w:lef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11240" w:type="dxa"/>
            <w:vAlign w:val="bottom"/>
            <w:gridSpan w:val="21"/>
          </w:tcPr>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firearm units shipped by trade channel for the nine months ended January 31, 2021 and</w:t>
            </w:r>
          </w:p>
        </w:tc>
        <w:tc>
          <w:tcPr>
            <w:tcW w:w="0" w:type="dxa"/>
            <w:vAlign w:val="bottom"/>
          </w:tcPr>
          <w:p>
            <w:pPr>
              <w:spacing w:after="0"/>
              <w:rPr>
                <w:sz w:val="1"/>
                <w:szCs w:val="1"/>
                <w:color w:val="auto"/>
              </w:rPr>
            </w:pPr>
          </w:p>
        </w:tc>
      </w:tr>
      <w:tr>
        <w:trPr>
          <w:trHeight w:val="234"/>
        </w:trPr>
        <w:tc>
          <w:tcPr>
            <w:tcW w:w="4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2020 (units in thousands):</w:t>
            </w: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40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Total Units Shipped</w:t>
            </w: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7"/>
        </w:trPr>
        <w:tc>
          <w:tcPr>
            <w:tcW w:w="1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2820" w:type="dxa"/>
            <w:vAlign w:val="bottom"/>
            <w:tcBorders>
              <w:top w:val="single" w:sz="8" w:color="CFF0FC"/>
            </w:tcBorders>
            <w:gridSpan w:val="3"/>
            <w:shd w:val="clear" w:color="auto" w:fill="CFF0FC"/>
          </w:tcPr>
          <w:p>
            <w:pPr>
              <w:spacing w:after="0"/>
              <w:rPr>
                <w:sz w:val="18"/>
                <w:szCs w:val="18"/>
                <w:color w:val="auto"/>
              </w:rPr>
            </w:pPr>
          </w:p>
        </w:tc>
        <w:tc>
          <w:tcPr>
            <w:tcW w:w="16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center"/>
              <w:ind w:left="194"/>
              <w:spacing w:after="0"/>
              <w:rPr>
                <w:sz w:val="20"/>
                <w:szCs w:val="20"/>
                <w:color w:val="auto"/>
              </w:rPr>
            </w:pPr>
            <w:r>
              <w:rPr>
                <w:rFonts w:ascii="Times New Roman" w:cs="Times New Roman" w:eastAsia="Times New Roman" w:hAnsi="Times New Roman"/>
                <w:sz w:val="18"/>
                <w:szCs w:val="18"/>
                <w:color w:val="auto"/>
                <w:w w:val="98"/>
              </w:rPr>
              <w:t>1,426</w:t>
            </w:r>
          </w:p>
        </w:tc>
        <w:tc>
          <w:tcPr>
            <w:tcW w:w="1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center"/>
              <w:ind w:left="114"/>
              <w:spacing w:after="0"/>
              <w:rPr>
                <w:sz w:val="20"/>
                <w:szCs w:val="20"/>
                <w:color w:val="auto"/>
              </w:rPr>
            </w:pPr>
            <w:r>
              <w:rPr>
                <w:rFonts w:ascii="Times New Roman" w:cs="Times New Roman" w:eastAsia="Times New Roman" w:hAnsi="Times New Roman"/>
                <w:sz w:val="18"/>
                <w:szCs w:val="18"/>
                <w:color w:val="auto"/>
                <w:w w:val="96"/>
              </w:rPr>
              <w:t>800</w:t>
            </w: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left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626</w:t>
            </w:r>
          </w:p>
        </w:tc>
        <w:tc>
          <w:tcPr>
            <w:tcW w:w="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left w:val="single" w:sz="8" w:color="CFF0FC"/>
            </w:tcBorders>
            <w:shd w:val="clear" w:color="auto" w:fill="CFF0FC"/>
          </w:tcPr>
          <w:p>
            <w:pPr>
              <w:jc w:val="center"/>
              <w:ind w:left="15"/>
              <w:spacing w:after="0"/>
              <w:rPr>
                <w:sz w:val="20"/>
                <w:szCs w:val="20"/>
                <w:color w:val="auto"/>
              </w:rPr>
            </w:pPr>
            <w:r>
              <w:rPr>
                <w:rFonts w:ascii="Times New Roman" w:cs="Times New Roman" w:eastAsia="Times New Roman" w:hAnsi="Times New Roman"/>
                <w:sz w:val="18"/>
                <w:szCs w:val="18"/>
                <w:color w:val="auto"/>
                <w:w w:val="98"/>
              </w:rPr>
              <w:t>78.3%</w:t>
            </w: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left="174"/>
              <w:spacing w:after="0"/>
              <w:rPr>
                <w:sz w:val="20"/>
                <w:szCs w:val="20"/>
                <w:color w:val="auto"/>
              </w:rPr>
            </w:pPr>
            <w:r>
              <w:rPr>
                <w:rFonts w:ascii="Times New Roman" w:cs="Times New Roman" w:eastAsia="Times New Roman" w:hAnsi="Times New Roman"/>
                <w:sz w:val="18"/>
                <w:szCs w:val="18"/>
                <w:color w:val="auto"/>
                <w:w w:val="96"/>
              </w:rPr>
              <w:t>407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left="114"/>
              <w:spacing w:after="0"/>
              <w:rPr>
                <w:sz w:val="20"/>
                <w:szCs w:val="20"/>
                <w:color w:val="auto"/>
              </w:rPr>
            </w:pPr>
            <w:r>
              <w:rPr>
                <w:rFonts w:ascii="Times New Roman" w:cs="Times New Roman" w:eastAsia="Times New Roman" w:hAnsi="Times New Roman"/>
                <w:sz w:val="18"/>
                <w:szCs w:val="18"/>
                <w:color w:val="auto"/>
                <w:w w:val="96"/>
              </w:rPr>
              <w:t>189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w w:val="97"/>
              </w:rPr>
              <w:t>115.3%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Sporting Goods Channel Units Shipped</w:t>
            </w: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7"/>
        </w:trPr>
        <w:tc>
          <w:tcPr>
            <w:tcW w:w="4040" w:type="dxa"/>
            <w:vAlign w:val="bottom"/>
            <w:tcBorders>
              <w:top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6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center"/>
              <w:ind w:left="194"/>
              <w:spacing w:after="0"/>
              <w:rPr>
                <w:sz w:val="20"/>
                <w:szCs w:val="20"/>
                <w:color w:val="auto"/>
              </w:rPr>
            </w:pPr>
            <w:r>
              <w:rPr>
                <w:rFonts w:ascii="Times New Roman" w:cs="Times New Roman" w:eastAsia="Times New Roman" w:hAnsi="Times New Roman"/>
                <w:sz w:val="18"/>
                <w:szCs w:val="18"/>
                <w:color w:val="auto"/>
                <w:w w:val="98"/>
              </w:rPr>
              <w:t>1,334</w:t>
            </w:r>
          </w:p>
        </w:tc>
        <w:tc>
          <w:tcPr>
            <w:tcW w:w="1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center"/>
              <w:ind w:left="114"/>
              <w:spacing w:after="0"/>
              <w:rPr>
                <w:sz w:val="20"/>
                <w:szCs w:val="20"/>
                <w:color w:val="auto"/>
              </w:rPr>
            </w:pPr>
            <w:r>
              <w:rPr>
                <w:rFonts w:ascii="Times New Roman" w:cs="Times New Roman" w:eastAsia="Times New Roman" w:hAnsi="Times New Roman"/>
                <w:sz w:val="18"/>
                <w:szCs w:val="18"/>
                <w:color w:val="auto"/>
                <w:w w:val="96"/>
              </w:rPr>
              <w:t>729</w:t>
            </w: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left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605</w:t>
            </w:r>
          </w:p>
        </w:tc>
        <w:tc>
          <w:tcPr>
            <w:tcW w:w="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left w:val="single" w:sz="8" w:color="CFF0FC"/>
            </w:tcBorders>
            <w:shd w:val="clear" w:color="auto" w:fill="CFF0FC"/>
          </w:tcPr>
          <w:p>
            <w:pPr>
              <w:jc w:val="center"/>
              <w:ind w:left="15"/>
              <w:spacing w:after="0"/>
              <w:rPr>
                <w:sz w:val="20"/>
                <w:szCs w:val="20"/>
                <w:color w:val="auto"/>
              </w:rPr>
            </w:pPr>
            <w:r>
              <w:rPr>
                <w:rFonts w:ascii="Times New Roman" w:cs="Times New Roman" w:eastAsia="Times New Roman" w:hAnsi="Times New Roman"/>
                <w:sz w:val="18"/>
                <w:szCs w:val="18"/>
                <w:color w:val="auto"/>
                <w:w w:val="98"/>
              </w:rPr>
              <w:t>83.0%</w:t>
            </w: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left="174"/>
              <w:spacing w:after="0"/>
              <w:rPr>
                <w:sz w:val="20"/>
                <w:szCs w:val="20"/>
                <w:color w:val="auto"/>
              </w:rPr>
            </w:pPr>
            <w:r>
              <w:rPr>
                <w:rFonts w:ascii="Times New Roman" w:cs="Times New Roman" w:eastAsia="Times New Roman" w:hAnsi="Times New Roman"/>
                <w:sz w:val="18"/>
                <w:szCs w:val="18"/>
                <w:color w:val="auto"/>
                <w:w w:val="96"/>
              </w:rPr>
              <w:t>395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left="114"/>
              <w:spacing w:after="0"/>
              <w:rPr>
                <w:sz w:val="20"/>
                <w:szCs w:val="20"/>
                <w:color w:val="auto"/>
              </w:rPr>
            </w:pPr>
            <w:r>
              <w:rPr>
                <w:rFonts w:ascii="Times New Roman" w:cs="Times New Roman" w:eastAsia="Times New Roman" w:hAnsi="Times New Roman"/>
                <w:sz w:val="18"/>
                <w:szCs w:val="18"/>
                <w:color w:val="auto"/>
                <w:w w:val="96"/>
              </w:rPr>
              <w:t>177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w w:val="97"/>
              </w:rPr>
              <w:t>123.2%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7"/>
        </w:trPr>
        <w:tc>
          <w:tcPr>
            <w:tcW w:w="2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Professional Channel Units Shipped</w:t>
            </w:r>
          </w:p>
        </w:tc>
        <w:tc>
          <w:tcPr>
            <w:tcW w:w="1820" w:type="dxa"/>
            <w:vAlign w:val="bottom"/>
            <w:gridSpan w:val="2"/>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6"/>
        </w:trPr>
        <w:tc>
          <w:tcPr>
            <w:tcW w:w="4040" w:type="dxa"/>
            <w:vAlign w:val="bottom"/>
            <w:tcBorders>
              <w:top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6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center"/>
              <w:ind w:left="174"/>
              <w:spacing w:after="0"/>
              <w:rPr>
                <w:sz w:val="20"/>
                <w:szCs w:val="20"/>
                <w:color w:val="auto"/>
              </w:rPr>
            </w:pPr>
            <w:r>
              <w:rPr>
                <w:rFonts w:ascii="Times New Roman" w:cs="Times New Roman" w:eastAsia="Times New Roman" w:hAnsi="Times New Roman"/>
                <w:sz w:val="18"/>
                <w:szCs w:val="18"/>
                <w:color w:val="auto"/>
                <w:w w:val="99"/>
              </w:rPr>
              <w:t>92</w:t>
            </w:r>
          </w:p>
        </w:tc>
        <w:tc>
          <w:tcPr>
            <w:tcW w:w="1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center"/>
              <w:ind w:left="114"/>
              <w:spacing w:after="0"/>
              <w:rPr>
                <w:sz w:val="20"/>
                <w:szCs w:val="20"/>
                <w:color w:val="auto"/>
              </w:rPr>
            </w:pPr>
            <w:r>
              <w:rPr>
                <w:rFonts w:ascii="Times New Roman" w:cs="Times New Roman" w:eastAsia="Times New Roman" w:hAnsi="Times New Roman"/>
                <w:sz w:val="18"/>
                <w:szCs w:val="18"/>
                <w:color w:val="auto"/>
                <w:w w:val="99"/>
              </w:rPr>
              <w:t>71</w:t>
            </w: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left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left w:val="single" w:sz="8" w:color="CFF0FC"/>
            </w:tcBorders>
            <w:shd w:val="clear" w:color="auto" w:fill="CFF0FC"/>
          </w:tcPr>
          <w:p>
            <w:pPr>
              <w:jc w:val="center"/>
              <w:ind w:left="15"/>
              <w:spacing w:after="0"/>
              <w:rPr>
                <w:sz w:val="20"/>
                <w:szCs w:val="20"/>
                <w:color w:val="auto"/>
              </w:rPr>
            </w:pPr>
            <w:r>
              <w:rPr>
                <w:rFonts w:ascii="Times New Roman" w:cs="Times New Roman" w:eastAsia="Times New Roman" w:hAnsi="Times New Roman"/>
                <w:sz w:val="18"/>
                <w:szCs w:val="18"/>
                <w:color w:val="auto"/>
                <w:w w:val="98"/>
              </w:rPr>
              <w:t>29.6%</w:t>
            </w: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left="174"/>
              <w:spacing w:after="0"/>
              <w:rPr>
                <w:sz w:val="20"/>
                <w:szCs w:val="20"/>
                <w:color w:val="auto"/>
              </w:rPr>
            </w:pPr>
            <w:r>
              <w:rPr>
                <w:rFonts w:ascii="Times New Roman" w:cs="Times New Roman" w:eastAsia="Times New Roman" w:hAnsi="Times New Roman"/>
                <w:sz w:val="18"/>
                <w:szCs w:val="18"/>
                <w:color w:val="auto"/>
                <w:w w:val="99"/>
              </w:rPr>
              <w:t>12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left="114"/>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Revenue for our handguns increased $261.9 million, or 105.9%, over the prior year comparable period, primarily because of heightened demand by an increased consumer interest in firearms, likely resulting from continued concerns regarding the COVID-19 pandemic, recent events that raised fears about personal protection, and uncertainty regarding the possibility of increased firearm regulation following the recent political elections, as well as our annual price increase. We believe our comparative performance to adjusted NICS, which reported an increase in consumer demand of 83.2% over the prior year comparable period, was a result of decreased promotional activity and our ability to increase capacity to meet consumer demand.</w:t>
      </w:r>
    </w:p>
    <w:p>
      <w:pPr>
        <w:spacing w:after="0" w:line="183"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Revenue for our long guns increased $128.2 million, or 203.0%, over the prior year comparable period, primarily because of increased consumer demand for our M&amp;P modern sporting rifles, driven by an increased participation in outdoor activities due to COVID-19, partially offset by a bulk sale to clear discontinued products from the channel in the prior year. Unit shipments into our sporting goods channel increased 123.2% compared with a 58.8% increase in reported NICS checks over the prior year comparable period. We believe that our percentage increase in sales in long guns significantly exceeded the increase in NICS because our flexible manufacturing capabilities allowed us to increase production capacity significantly in a short period of time.</w:t>
      </w:r>
    </w:p>
    <w:p>
      <w:pPr>
        <w:spacing w:after="0" w:line="187"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Other products and services revenue increased $9.5 million, or 36.5%, over the prior year comparable period, primarily because of increased sales of component parts, handcuffs, and business-to-business services.</w:t>
      </w:r>
    </w:p>
    <w:p>
      <w:pPr>
        <w:spacing w:after="0" w:line="162" w:lineRule="exact"/>
        <w:rPr>
          <w:sz w:val="20"/>
          <w:szCs w:val="20"/>
          <w:color w:val="auto"/>
        </w:rPr>
      </w:pPr>
    </w:p>
    <w:p>
      <w:pPr>
        <w:ind w:right="220" w:firstLine="510"/>
        <w:spacing w:after="0" w:line="282" w:lineRule="auto"/>
        <w:rPr>
          <w:sz w:val="20"/>
          <w:szCs w:val="20"/>
          <w:color w:val="auto"/>
        </w:rPr>
      </w:pPr>
      <w:r>
        <w:rPr>
          <w:rFonts w:ascii="Times New Roman" w:cs="Times New Roman" w:eastAsia="Times New Roman" w:hAnsi="Times New Roman"/>
          <w:sz w:val="18"/>
          <w:szCs w:val="18"/>
          <w:color w:val="auto"/>
        </w:rPr>
        <w:t>New products represented 14.7% revenue for the nine months ended January 31, 2021 and included several new M&amp;P branded pistols, many new product line extensions, and promotional product bundle kits for our M&amp;P, Performance Center, and Thompson/Center Arms branded products.</w:t>
      </w:r>
    </w:p>
    <w:p>
      <w:pPr>
        <w:spacing w:after="0" w:line="162"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Gross margin for the nine months ended January 31, 2021 was 41.2%, compared with gross margin of 30.8% for the comparable prior year period, primarily because of a shift in mix to higher margin products, lower promotional product spending, and favorable manufacturing fixed cost absorption. These increases were partially offset by increased manufacturing spending, unfavorable inventory valuation adjustments, and recall related expenses.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26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expenses for the three months ended January 31, 2021 and 2020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vMerge w:val="continue"/>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29,298</w:t>
            </w:r>
          </w:p>
        </w:tc>
        <w:tc>
          <w:tcPr>
            <w:tcW w:w="2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26,877</w:t>
            </w:r>
          </w:p>
        </w:tc>
        <w:tc>
          <w:tcPr>
            <w:tcW w:w="2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240" w:type="dxa"/>
            <w:vAlign w:val="bottom"/>
            <w:vMerge w:val="continue"/>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of net sales</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Selling, marketing, and distribution expenses were relatively flat over the comparable quarter last year, in spite of increased freight-related expenses as a result of increased shipments and increased co-op advertising expenses, mostly offset by lower travel and entertainment expenses due to the cancellation of industry shows, decreased spending in targeted customer promotions, and decreased compensation-related expenses. General and administrative expenses increased $2.5 million, primarily because of $2.5 million of increased expenses related to stock and incentive compensation, $3.3 million of increased profit-sharing expense, and a donation to the National Shooting Sports Foundation. These expenses were partially offset by a reduction in professional fees, lower travel and entertainment expenses due to COVID-19, a reduction in expenses related to the Separation, and a favorable adjustment to allowance for doubtful accounts. The increases in total operating expenses were also partially offset by lower employee medical costs, likely due to the deferral of elective procedures resulting from the COVID-19 pandemic.</w:t>
      </w:r>
    </w:p>
    <w:p>
      <w:pPr>
        <w:spacing w:after="0" w:line="219" w:lineRule="exact"/>
        <w:rPr>
          <w:sz w:val="20"/>
          <w:szCs w:val="20"/>
          <w:color w:val="auto"/>
        </w:rPr>
      </w:pPr>
    </w:p>
    <w:p>
      <w:pPr>
        <w:ind w:right="32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expenses for the nine months ended January 31, 2021 and 2020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2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62,061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14,146</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6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99,674</w:t>
            </w:r>
          </w:p>
        </w:tc>
        <w:tc>
          <w:tcPr>
            <w:tcW w:w="30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84,255</w:t>
            </w:r>
          </w:p>
        </w:tc>
        <w:tc>
          <w:tcPr>
            <w:tcW w:w="2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15,419</w:t>
            </w:r>
          </w:p>
        </w:tc>
        <w:tc>
          <w:tcPr>
            <w:tcW w:w="260" w:type="dxa"/>
            <w:vAlign w:val="bottom"/>
            <w:vMerge w:val="continue"/>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9"/>
        </w:trPr>
        <w:tc>
          <w:tcPr>
            <w:tcW w:w="5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of net sales</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Selling, marketing, and distribution expenses increased $1.3 million over the prior year comparable period, primarily because of increased freight-related expenses and expenses related to temporary labor as a result of increased shipments, additional expenses for a consumer firearm safety program, increased co-op advertising expenses for strategic customers, and compensation-related expenses. These increased expenses were partially offset by lower travel and entertainment expenses as a result of COVID-19 and decreased spending on targeted customer promotions. General and administrative expenses increased $14.1 million, primarily because of $6.0 million of expenses related to the Separation, $9.0 million of increased profit-sharing expense, donations to the National Shooting Sports Foundation, and compensation-related expenses. These increased expenses were partially offset by reduced professional fees, lower travel and entertainment expenses due to COVID-19, and a favorable adjustment to allowance for doubtful accounts.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from Continuing Operations</w:t>
      </w:r>
    </w:p>
    <w:p>
      <w:pPr>
        <w:spacing w:after="0" w:line="121" w:lineRule="exact"/>
        <w:rPr>
          <w:sz w:val="20"/>
          <w:szCs w:val="20"/>
          <w:color w:val="auto"/>
        </w:rPr>
      </w:pPr>
    </w:p>
    <w:p>
      <w:pPr>
        <w:ind w:right="38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income for the three months ended January 31, 2021 and 2020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r>
      <w:tr>
        <w:trPr>
          <w:trHeight w:val="223"/>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from continuing operations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80,381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71,571</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812.4%</w:t>
            </w:r>
          </w:p>
        </w:tc>
      </w:tr>
      <w:tr>
        <w:trPr>
          <w:trHeight w:val="234"/>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of net sales (operating margin)</w:t>
            </w:r>
          </w:p>
        </w:tc>
        <w:tc>
          <w:tcPr>
            <w:tcW w:w="2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31.2%</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33"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Operating income from continuing operations for the three months ended January 31, 2021 increased $71.6 million over the comparable quarter last year, primarily because of increased revenue and the resulting improvements in gross margins. Operating income from continuing operations was also favorably impacted by lower promotional product spending, favorable manufacturing fixed-cost absorption, lower travel and entertainment expenses because of COVID-19, decreased advertising costs, and a favorable adjustment to allowance for doubtful accounts. These favorable impacts were partially offset by increased manufacturing spending, recall-related expenses, increased freight-related expenses, and increased profit-sharing expense.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4" w:name="page25"/>
    <w:bookmarkEnd w:id="24"/>
    <w:p>
      <w:pPr>
        <w:ind w:right="44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income for the nine months ended January 31, 2021 and 2020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r>
      <w:tr>
        <w:trPr>
          <w:trHeight w:val="223"/>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from continuing operations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203,500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19,331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184,169</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952.7%</w:t>
            </w:r>
          </w:p>
        </w:tc>
      </w:tr>
      <w:tr>
        <w:trPr>
          <w:trHeight w:val="234"/>
        </w:trPr>
        <w:tc>
          <w:tcPr>
            <w:tcW w:w="5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of net sales (operating margin)</w:t>
            </w:r>
          </w:p>
        </w:tc>
        <w:tc>
          <w:tcPr>
            <w:tcW w:w="2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27.6%</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20" w:lineRule="exact"/>
        <w:rPr>
          <w:sz w:val="20"/>
          <w:szCs w:val="20"/>
          <w:color w:val="auto"/>
        </w:rPr>
      </w:pPr>
    </w:p>
    <w:p>
      <w:pPr>
        <w:ind w:right="120" w:firstLine="510"/>
        <w:spacing w:after="0" w:line="255" w:lineRule="auto"/>
        <w:rPr>
          <w:sz w:val="20"/>
          <w:szCs w:val="20"/>
          <w:color w:val="auto"/>
        </w:rPr>
      </w:pPr>
      <w:r>
        <w:rPr>
          <w:rFonts w:ascii="Times New Roman" w:cs="Times New Roman" w:eastAsia="Times New Roman" w:hAnsi="Times New Roman"/>
          <w:sz w:val="18"/>
          <w:szCs w:val="18"/>
          <w:color w:val="auto"/>
        </w:rPr>
        <w:t>Operating income from continuing operations for the nine months ended January 31, 2021 increased $184.2 million over the prior year comparable period, primarily because of increased revenue and the resulting improvements in gross margins. Operating income from continuing operations was also favorably impacted by lower promotional product spending, favorable manufacturing fixed-cost absorption, lower travel and entertainment expenses because of COVID-19, a reduction in professional fees, decreased advertising cost, a favorable adjustment to our allowance for doubtful accounts, and decreased professional fees. These increases were partially offset by expenses related to the Separation, unfavorable inventory valuation adjustments, increased manufacturing spending, recall-related expenses, increased freight-related expenses, increased co-op advertising expense, and increased profit sharing expense.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48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interest expense for the three months ended January 31, 2021 and 2020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Borders>
              <w:bottom w:val="single" w:sz="8" w:color="CFF0FC"/>
            </w:tcBorders>
          </w:tcPr>
          <w:p>
            <w:pPr>
              <w:spacing w:after="0"/>
              <w:rPr>
                <w:sz w:val="15"/>
                <w:szCs w:val="15"/>
                <w:color w:val="auto"/>
              </w:rPr>
            </w:pPr>
          </w:p>
        </w:tc>
        <w:tc>
          <w:tcPr>
            <w:tcW w:w="228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r>
      <w:tr>
        <w:trPr>
          <w:trHeight w:val="223"/>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(550)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-80.9%</w:t>
            </w:r>
          </w:p>
        </w:tc>
      </w:tr>
    </w:tbl>
    <w:p>
      <w:pPr>
        <w:spacing w:after="0" w:line="238"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For the three months ended January 31, 2021, interest expense decreased by $2.3 million from the comparable quarter last year as a result of lower borrowings outstanding on our revolving line of credit.</w:t>
      </w:r>
    </w:p>
    <w:p>
      <w:pPr>
        <w:spacing w:after="0" w:line="202" w:lineRule="exact"/>
        <w:rPr>
          <w:sz w:val="20"/>
          <w:szCs w:val="20"/>
          <w:color w:val="auto"/>
        </w:rPr>
      </w:pPr>
    </w:p>
    <w:p>
      <w:pPr>
        <w:ind w:right="54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interest expense for the nine months ended January 31, 2021 and 2020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r>
      <w:tr>
        <w:trPr>
          <w:trHeight w:val="223"/>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-60.8%</w:t>
            </w:r>
          </w:p>
        </w:tc>
      </w:tr>
    </w:tbl>
    <w:p>
      <w:pPr>
        <w:spacing w:after="0" w:line="225" w:lineRule="exact"/>
        <w:rPr>
          <w:sz w:val="20"/>
          <w:szCs w:val="20"/>
          <w:color w:val="auto"/>
        </w:rPr>
      </w:pPr>
    </w:p>
    <w:p>
      <w:pPr>
        <w:ind w:right="360" w:firstLine="510"/>
        <w:spacing w:after="0" w:line="282" w:lineRule="auto"/>
        <w:rPr>
          <w:sz w:val="20"/>
          <w:szCs w:val="20"/>
          <w:color w:val="auto"/>
        </w:rPr>
      </w:pPr>
      <w:r>
        <w:rPr>
          <w:rFonts w:ascii="Times New Roman" w:cs="Times New Roman" w:eastAsia="Times New Roman" w:hAnsi="Times New Roman"/>
          <w:sz w:val="18"/>
          <w:szCs w:val="18"/>
          <w:color w:val="auto"/>
        </w:rPr>
        <w:t>During the nine months ended January 31, 2021, interest expense decreased by $5.2 million from the prior year comparable period as a result of lower borrowings outstanding on our revolving line of credit.</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2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income tax expense for the three months ended January 31, 2021 and 2020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r>
      <w:tr>
        <w:trPr>
          <w:trHeight w:val="223"/>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16,832</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997.2%</w:t>
            </w:r>
          </w:p>
        </w:tc>
      </w:tr>
      <w:tr>
        <w:trPr>
          <w:trHeight w:val="234"/>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of income from operations (effective tax rate)</w:t>
            </w:r>
          </w:p>
        </w:tc>
        <w:tc>
          <w:tcPr>
            <w:tcW w:w="2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28.5%</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r>
    </w:tbl>
    <w:p>
      <w:pPr>
        <w:spacing w:after="0" w:line="233" w:lineRule="exact"/>
        <w:rPr>
          <w:sz w:val="20"/>
          <w:szCs w:val="20"/>
          <w:color w:val="auto"/>
        </w:rPr>
      </w:pPr>
    </w:p>
    <w:p>
      <w:pPr>
        <w:jc w:val="both"/>
        <w:ind w:right="100" w:firstLine="510"/>
        <w:spacing w:after="0" w:line="266" w:lineRule="auto"/>
        <w:rPr>
          <w:sz w:val="20"/>
          <w:szCs w:val="20"/>
          <w:color w:val="auto"/>
        </w:rPr>
      </w:pPr>
      <w:r>
        <w:rPr>
          <w:rFonts w:ascii="Times New Roman" w:cs="Times New Roman" w:eastAsia="Times New Roman" w:hAnsi="Times New Roman"/>
          <w:sz w:val="18"/>
          <w:szCs w:val="18"/>
          <w:color w:val="auto"/>
        </w:rPr>
        <w:t>Income tax expense increased $16.8 million over the comparable quarter last year as a result of higher operating income for the reasons mentioned above. The effective tax rate decreased by 5.6% as a result of non-deductible expenses impacting taxable income to a lesser extent as taxable income rises. In addition, the prior year income tax expense included higher non-deductible spin-related transaction costs.</w:t>
      </w:r>
    </w:p>
    <w:p>
      <w:pPr>
        <w:spacing w:after="0" w:line="189" w:lineRule="exact"/>
        <w:rPr>
          <w:sz w:val="20"/>
          <w:szCs w:val="20"/>
          <w:color w:val="auto"/>
        </w:rPr>
      </w:pPr>
    </w:p>
    <w:p>
      <w:pPr>
        <w:ind w:right="28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income tax expense for the nine months ended January 31, 2021 and 2020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r>
      <w:tr>
        <w:trPr>
          <w:trHeight w:val="223"/>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47,176</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43,092</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1055.1%</w:t>
            </w:r>
          </w:p>
        </w:tc>
      </w:tr>
      <w:tr>
        <w:trPr>
          <w:trHeight w:val="234"/>
        </w:trPr>
        <w:tc>
          <w:tcPr>
            <w:tcW w:w="5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of income from operations (effective tax rate)</w:t>
            </w:r>
          </w:p>
        </w:tc>
        <w:tc>
          <w:tcPr>
            <w:tcW w:w="2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37.7%</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r>
    </w:tbl>
    <w:p>
      <w:pPr>
        <w:spacing w:after="0" w:line="220"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Income tax expense increased $43.1 million over the prior year comparable period as a result of higher operating income for the reasons mentioned above. The effective tax rate decreased by 14.3% as a result of non-deductible expenses impacting taxable income to a lesser extent as taxable income rises. This was offset by lower non-deductible spin-related transaction costs and a discrete tax item in the prior year comparable period.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Continuing Operations</w:t>
      </w:r>
    </w:p>
    <w:p>
      <w:pPr>
        <w:spacing w:after="0" w:line="121" w:lineRule="exact"/>
        <w:rPr>
          <w:sz w:val="20"/>
          <w:szCs w:val="20"/>
          <w:color w:val="auto"/>
        </w:rPr>
      </w:pPr>
    </w:p>
    <w:p>
      <w:pPr>
        <w:ind w:right="20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income from continuing operations and the related per share data for the three months ended January 31, 2021 and 2020 (dollars in thousands, except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40" w:type="dxa"/>
            <w:vAlign w:val="bottom"/>
            <w:tcBorders>
              <w:bottom w:val="single" w:sz="8" w:color="CFF0FC"/>
            </w:tcBorders>
          </w:tcPr>
          <w:p>
            <w:pPr>
              <w:spacing w:after="0"/>
              <w:rPr>
                <w:sz w:val="15"/>
                <w:szCs w:val="15"/>
                <w:color w:val="auto"/>
              </w:rPr>
            </w:pPr>
          </w:p>
        </w:tc>
        <w:tc>
          <w:tcPr>
            <w:tcW w:w="16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r>
      <w:tr>
        <w:trPr>
          <w:trHeight w:val="223"/>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6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62,263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58,036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1373.0%</w:t>
            </w:r>
          </w:p>
        </w:tc>
      </w:tr>
      <w:tr>
        <w:trPr>
          <w:trHeight w:val="22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4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 - continuing</w:t>
            </w:r>
          </w:p>
        </w:tc>
        <w:tc>
          <w:tcPr>
            <w:tcW w:w="18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shd w:val="clear" w:color="auto" w:fill="CFF0FC"/>
          </w:tcPr>
          <w:p>
            <w:pPr>
              <w:spacing w:after="0"/>
              <w:rPr>
                <w:sz w:val="19"/>
                <w:szCs w:val="19"/>
                <w:color w:val="auto"/>
              </w:rPr>
            </w:pP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CFF"/>
          </w:tcPr>
          <w:p>
            <w:pPr>
              <w:spacing w:after="0"/>
              <w:rPr>
                <w:sz w:val="19"/>
                <w:szCs w:val="19"/>
                <w:color w:val="auto"/>
              </w:rPr>
            </w:pPr>
          </w:p>
        </w:tc>
        <w:tc>
          <w:tcPr>
            <w:tcW w:w="1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1312.5%</w:t>
            </w:r>
          </w:p>
        </w:tc>
      </w:tr>
      <w:tr>
        <w:trPr>
          <w:trHeight w:val="234"/>
        </w:trPr>
        <w:tc>
          <w:tcPr>
            <w:tcW w:w="4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 - continuing</w:t>
            </w:r>
          </w:p>
        </w:tc>
        <w:tc>
          <w:tcPr>
            <w:tcW w:w="18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spacing w:after="0"/>
              <w:rPr>
                <w:sz w:val="20"/>
                <w:szCs w:val="20"/>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1300.0%</w:t>
            </w:r>
          </w:p>
        </w:tc>
      </w:tr>
    </w:tbl>
    <w:p>
      <w:pPr>
        <w:spacing w:after="0" w:line="220" w:lineRule="exact"/>
        <w:rPr>
          <w:sz w:val="20"/>
          <w:szCs w:val="20"/>
          <w:color w:val="auto"/>
        </w:rPr>
      </w:pPr>
    </w:p>
    <w:p>
      <w:pPr>
        <w:ind w:right="680" w:firstLine="510"/>
        <w:spacing w:after="0" w:line="282" w:lineRule="auto"/>
        <w:rPr>
          <w:sz w:val="20"/>
          <w:szCs w:val="20"/>
          <w:color w:val="auto"/>
        </w:rPr>
      </w:pPr>
      <w:r>
        <w:rPr>
          <w:rFonts w:ascii="Times New Roman" w:cs="Times New Roman" w:eastAsia="Times New Roman" w:hAnsi="Times New Roman"/>
          <w:sz w:val="18"/>
          <w:szCs w:val="18"/>
          <w:color w:val="auto"/>
        </w:rPr>
        <w:t>Income from continuing operations for the three months ended January 31, 2021 was $62.3 million compared with income from continuing operations of $4.2 million for the comparable quarter last year, primarily as a result of increased revenue across all of our product lines.</w:t>
      </w:r>
    </w:p>
    <w:p>
      <w:pPr>
        <w:spacing w:after="0" w:line="202" w:lineRule="exact"/>
        <w:rPr>
          <w:sz w:val="20"/>
          <w:szCs w:val="20"/>
          <w:color w:val="auto"/>
        </w:rPr>
      </w:pPr>
    </w:p>
    <w:p>
      <w:pPr>
        <w:jc w:val="both"/>
        <w:ind w:right="26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income from continuing operations and the related per share data for the nine months ended January 31, 2021 and 2020 (dollars in thousands, except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tcBorders>
              <w:bottom w:val="single" w:sz="8" w:color="CFF0FC"/>
            </w:tcBorders>
          </w:tcPr>
          <w:p>
            <w:pPr>
              <w:spacing w:after="0"/>
              <w:rPr>
                <w:sz w:val="15"/>
                <w:szCs w:val="15"/>
                <w:color w:val="auto"/>
              </w:rPr>
            </w:pPr>
          </w:p>
        </w:tc>
        <w:tc>
          <w:tcPr>
            <w:tcW w:w="16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r>
      <w:tr>
        <w:trPr>
          <w:trHeight w:val="223"/>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6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154,679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147,924</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2189.8%</w:t>
            </w:r>
          </w:p>
        </w:tc>
      </w:tr>
      <w:tr>
        <w:trPr>
          <w:trHeight w:val="22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 - continuing</w:t>
            </w:r>
          </w:p>
        </w:tc>
        <w:tc>
          <w:tcPr>
            <w:tcW w:w="188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48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42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2225.0%</w:t>
            </w:r>
          </w:p>
        </w:tc>
      </w:tr>
      <w:tr>
        <w:trPr>
          <w:trHeight w:val="234"/>
        </w:trPr>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 - continuing</w:t>
            </w:r>
          </w:p>
        </w:tc>
        <w:tc>
          <w:tcPr>
            <w:tcW w:w="18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4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6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2191.7%</w:t>
            </w:r>
          </w:p>
        </w:tc>
      </w:tr>
    </w:tbl>
    <w:p>
      <w:pPr>
        <w:spacing w:after="0" w:line="233" w:lineRule="exact"/>
        <w:rPr>
          <w:sz w:val="20"/>
          <w:szCs w:val="20"/>
          <w:color w:val="auto"/>
        </w:rPr>
      </w:pPr>
    </w:p>
    <w:p>
      <w:pPr>
        <w:ind w:right="640" w:firstLine="510"/>
        <w:spacing w:after="0" w:line="282" w:lineRule="auto"/>
        <w:rPr>
          <w:sz w:val="20"/>
          <w:szCs w:val="20"/>
          <w:color w:val="auto"/>
        </w:rPr>
      </w:pPr>
      <w:r>
        <w:rPr>
          <w:rFonts w:ascii="Times New Roman" w:cs="Times New Roman" w:eastAsia="Times New Roman" w:hAnsi="Times New Roman"/>
          <w:sz w:val="18"/>
          <w:szCs w:val="18"/>
          <w:color w:val="auto"/>
        </w:rPr>
        <w:t>Income from continuing operations for the nine months ended January 31, 2021 was $154.7 million compared with income from continuing operations of $6.8 million in the prior year comparable period, primarily as a result of increased revenue across all of our product lines.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260" w:firstLine="510"/>
        <w:spacing w:after="0" w:line="266" w:lineRule="auto"/>
        <w:rPr>
          <w:sz w:val="20"/>
          <w:szCs w:val="20"/>
          <w:color w:val="auto"/>
        </w:rPr>
      </w:pPr>
      <w:r>
        <w:rPr>
          <w:rFonts w:ascii="Times New Roman" w:cs="Times New Roman" w:eastAsia="Times New Roman" w:hAnsi="Times New Roman"/>
          <w:sz w:val="18"/>
          <w:szCs w:val="18"/>
          <w:color w:val="auto"/>
        </w:rPr>
        <w:t>Our principal cash requirements are to (1) finance the growth of our operations, including working capital and capital expenditures and (2) return capital to stockholders. Capital expenditures for new product development, additional manufacturing capacity, and repair and replacement of equipment represent important cash needs.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cash flow information for the nine months ended January 31, 2021 and 2020 (dollars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r>
      <w:tr>
        <w:trPr>
          <w:trHeight w:val="223"/>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196,308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(24,833)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221,141</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890.5%</w:t>
            </w:r>
          </w:p>
        </w:tc>
      </w:tr>
      <w:tr>
        <w:trPr>
          <w:trHeight w:val="22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(19,713)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(7,411)</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60.2%</w:t>
            </w:r>
          </w:p>
        </w:tc>
      </w:tr>
      <w:tr>
        <w:trPr>
          <w:trHeight w:val="23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(241,930)</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42,429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(284,359)</w:t>
            </w:r>
          </w:p>
        </w:tc>
        <w:tc>
          <w:tcPr>
            <w:tcW w:w="13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-670.2%</w:t>
            </w:r>
          </w:p>
        </w:tc>
      </w:tr>
      <w:tr>
        <w:trPr>
          <w:trHeight w:val="223"/>
        </w:trPr>
        <w:tc>
          <w:tcPr>
            <w:tcW w:w="5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cash flow</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(70,629)</w:t>
            </w:r>
          </w:p>
        </w:tc>
        <w:tc>
          <w:tcPr>
            <w:tcW w:w="2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-1334.1%</w:t>
            </w:r>
          </w:p>
        </w:tc>
        <w:tc>
          <w:tcPr>
            <w:tcW w:w="18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an annual basis, operating activities generally represent the principal source of our cash flow.</w:t>
      </w:r>
    </w:p>
    <w:p>
      <w:pPr>
        <w:spacing w:after="0" w:line="225"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Cash provided by operating activities was $196.3 million for the nine months ended January 31, 2021 compared with a cash usage in the prior year comparable period of $24.8 as a result of an incremental $147.9 million increase in income from operations, an incremental $51.0 million decrease in inventory because of increased shipments to meet consumer demand, an incremental $19.7 million increase in accounts payable due to increased manufacturing purchases and timing of payments, and $9.7 million increased profit sharing accruals due to higher income from operations. These favorable impacts were partially offset by an incremental $18.4 million decrease in accrued expenses, primarily due to lower promotional product discount accruals and the payment of deferred federal excise tax liabilities allowed by the Tax and Trade Bureau as a result of the COVID-19 pandemic, and a $8.5 million incremental increase in accounts receivable due to timing of shipments. We expect firearm inventory balances to remain relatively flat throughout our next fiscal quarter.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increased $7.4 million for the nine months ended January 31, 2021 over the prior year comparable period. We recorded capital expenditures of $18.4 million for the nine months ended January 31, 2021, $7.9 million higher than the prior year comparable period. We currently expect to spend between $25.0 million and $30.0 million on capital expenditures in fiscal 2021, an increase of $11.1 million to $16.1 million, as compared with $13.9 million in capital expenditures in fiscal 2020. The increase in capital expenditures over the prior fiscal year is primarily due to increases in manufacturing capacity.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$241.9 million for the nine months ended January 31, 2021 compared with cash provided by financing activities of $42.4 million for the nine months ended January 31, 2020. Cash used in financing activities during the nine months ended January 31, 2021 was primarily a result of a net repayment of $160.0 million of borrowings on our credit facility, funding a distribution of $25.0 million to our discontinued operations, and a $50.0 million treasury stock repurchase.</w:t>
      </w:r>
    </w:p>
    <w:p>
      <w:pPr>
        <w:spacing w:after="0" w:line="218" w:lineRule="exact"/>
        <w:rPr>
          <w:sz w:val="20"/>
          <w:szCs w:val="20"/>
          <w:color w:val="auto"/>
        </w:rPr>
      </w:pPr>
    </w:p>
    <w:p>
      <w:pPr>
        <w:ind w:right="80" w:firstLine="51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Finance Lease – </w:t>
      </w:r>
      <w:r>
        <w:rPr>
          <w:rFonts w:ascii="Times New Roman" w:cs="Times New Roman" w:eastAsia="Times New Roman" w:hAnsi="Times New Roman"/>
          <w:sz w:val="18"/>
          <w:szCs w:val="18"/>
          <w:color w:val="auto"/>
        </w:rPr>
        <w:t>We are a party to a $46.2 million lease for our national logistics facility in Columbia, Missouri, which has an effective interest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approximately 5.0% and is payable in 240 monthly installments through fiscal 2039. The building is pledged to secure the amounts outstanding. During the nine months ending January 31, 2021, we paid $736,000 in principal payments relating to this finance lease. With the completion of the Separation on August 24, 2020, we entered into a sublease for 59.0% of this facility under the same terms as the master lease. We have recorded $1.1 million of income related to this sublease agreement, which is recorded in other income/(expense) in our condensed consolidated statement of income/(loss) and comprehensive income/(loss).</w:t>
      </w:r>
    </w:p>
    <w:p>
      <w:pPr>
        <w:spacing w:after="0" w:line="209" w:lineRule="exact"/>
        <w:rPr>
          <w:sz w:val="20"/>
          <w:szCs w:val="20"/>
          <w:color w:val="auto"/>
        </w:rPr>
      </w:pPr>
    </w:p>
    <w:p>
      <w:pPr>
        <w:ind w:right="20" w:firstLine="51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Credit Facilities — </w:t>
      </w:r>
      <w:r>
        <w:rPr>
          <w:rFonts w:ascii="Times New Roman" w:cs="Times New Roman" w:eastAsia="Times New Roman" w:hAnsi="Times New Roman"/>
          <w:sz w:val="17"/>
          <w:szCs w:val="17"/>
          <w:color w:val="auto"/>
        </w:rPr>
        <w:t>On August 24, 2020, we and certain of our direct and indirect Domestic Subsidiaries entered into an amended and restated credit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or the Amended and Restated Credit Agreement, with certain lenders; TD Bank, N.A., as administrative agent; TD Securities (USA) LLC and Regions Bank, as joint lead arrangers and joint bookrunners; and Regions Bank, as syndication agent. The Amended and Restated Credit Agreement amended and restated that certain credit agreement, dated as of June 15, 2015, by and among us, certain of our direct and indirect Domestic Subsidiaries, the lenders party thereto, and TD Bank, N.A., as administrative agent and swingline lender, as previously amended. The Amended and Restated Credit Agreement is currently unsecured; however, should any Springing Lien Trigger Event (as defined in the Amended and Restated Credit Agreement) occur, we and certain of our direct and indirect Domestic Subsidiaries would be required to enter into certain documents that create in favor of TD Bank, N.A., as administrative agent, and the lenders party to such documents a legal, valid, and enforceable first priority Lien on the Collateral described therein.</w:t>
      </w:r>
    </w:p>
    <w:p>
      <w:pPr>
        <w:spacing w:after="0" w:line="174"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The Amended and Restated Credit Agreement provides for a revolving line of credit of $100.0 million at any one time, or the Revolving Line. The Revolving Line bears interest at either the Base Rate or LIBOR rate, plus an applicable margin based on our consolidated leverage ratio. The Amended and Restated Credit Agreement also provides a swingline facility in the maximum amount of $5.0 million at any one time (subject to availability under the Revolving Line). Each Swingline Loan (as defined in the Amended and Restated Credit Agreement) bears interest at the Base Rate, plus an applicable margin based on our consolidated leverage ratio. Subject to the satisfaction of certain terms and conditions described in the Amended and Restated Credit Agreement, we have an option to increase the Revolving Line by an aggregate amount not exceeding $50.0 million. The Revolving Line matures on the earlier of August 24, 2025, or the date that is six months in advance of the earliest maturity of any Permitted Notes under the Amended and Restated Credit Agreement.</w:t>
      </w:r>
    </w:p>
    <w:p>
      <w:pPr>
        <w:spacing w:after="0" w:line="192" w:lineRule="exact"/>
        <w:rPr>
          <w:sz w:val="20"/>
          <w:szCs w:val="20"/>
          <w:color w:val="auto"/>
        </w:rPr>
      </w:pPr>
    </w:p>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As of January 31, 2021, we did not have any borrowings outstanding on the Revolving Line. Had there been borrowings, they would have borne an interest rate of 1.63%, which is equal to the LIBOR rate plus an applicable margin.</w:t>
      </w:r>
    </w:p>
    <w:p>
      <w:pPr>
        <w:spacing w:after="0" w:line="162"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The Amended and Restated Credit Agreement contains customary limitations, including limitations on indebtedness, liens, fundamental changes to business or organizational structure, investments, loans, advances, guarantees, and acquisitions, asset sales, dividends, stock repurchases, stock redemptions, and the redemption or prepayment of other debt, and transactions with affiliates. We are also subject to financial covenants, including a minimum consolidated fixed charge coverage ratio and a maximum consolidated leverage ratio. We were in compliance with all debt covenants as of January 31, 2021.</w:t>
      </w:r>
    </w:p>
    <w:p>
      <w:pPr>
        <w:spacing w:after="0" w:line="222" w:lineRule="exact"/>
        <w:rPr>
          <w:sz w:val="20"/>
          <w:szCs w:val="20"/>
          <w:color w:val="auto"/>
        </w:rPr>
      </w:pPr>
    </w:p>
    <w:p>
      <w:pPr>
        <w:ind w:right="220" w:firstLine="51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Dividends — </w:t>
      </w:r>
      <w:r>
        <w:rPr>
          <w:rFonts w:ascii="Times New Roman" w:cs="Times New Roman" w:eastAsia="Times New Roman" w:hAnsi="Times New Roman"/>
          <w:sz w:val="18"/>
          <w:szCs w:val="18"/>
          <w:color w:val="auto"/>
        </w:rPr>
        <w:t>On March 2, 2021, our Board of Directors authorized a regular quarterly dividend for stockholders of $0.05 per share. The dividend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for stockholders of record as of market close on March 17, 2021 and is payable on March 31, 2021.</w:t>
      </w:r>
    </w:p>
    <w:p>
      <w:pPr>
        <w:spacing w:after="0" w:line="160"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net sales, the timing and extent of spending to support product development efforts, the expansion of sales and marketing activities, the timing of introductions of new products and enhancements to existing products, the costs to ensure access to adequate manufacturing capacity, and costs to enhance the equipment and software at our logistics facility. Further equity or debt financing may not be available to us on acceptable terms or at all. If</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27" w:name="page28"/>
    <w:bookmarkEnd w:id="27"/>
    <w:p>
      <w:pPr>
        <w:ind w:right="100"/>
        <w:spacing w:after="0" w:line="282" w:lineRule="auto"/>
        <w:rPr>
          <w:sz w:val="20"/>
          <w:szCs w:val="20"/>
          <w:color w:val="auto"/>
        </w:rPr>
      </w:pPr>
      <w:r>
        <w:rPr>
          <w:rFonts w:ascii="Times New Roman" w:cs="Times New Roman" w:eastAsia="Times New Roman" w:hAnsi="Times New Roman"/>
          <w:sz w:val="18"/>
          <w:szCs w:val="18"/>
          <w:color w:val="auto"/>
        </w:rPr>
        <w:t>sufficient funds are not available or are not available on acceptable terms, our ability to take advantage of unexpected business opportunities or to respond to competitive pressures could be limited or severely constrained.</w:t>
      </w:r>
    </w:p>
    <w:p>
      <w:pPr>
        <w:spacing w:after="0" w:line="189" w:lineRule="exact"/>
        <w:rPr>
          <w:sz w:val="20"/>
          <w:szCs w:val="20"/>
          <w:color w:val="auto"/>
        </w:rPr>
      </w:pPr>
    </w:p>
    <w:p>
      <w:pPr>
        <w:ind w:right="500" w:firstLine="510"/>
        <w:spacing w:after="0" w:line="266" w:lineRule="auto"/>
        <w:rPr>
          <w:sz w:val="20"/>
          <w:szCs w:val="20"/>
          <w:color w:val="auto"/>
        </w:rPr>
      </w:pPr>
      <w:r>
        <w:rPr>
          <w:rFonts w:ascii="Times New Roman" w:cs="Times New Roman" w:eastAsia="Times New Roman" w:hAnsi="Times New Roman"/>
          <w:sz w:val="18"/>
          <w:szCs w:val="18"/>
          <w:color w:val="auto"/>
        </w:rPr>
        <w:t>As of January 31, 2021, we had $59.7 million in cash and cash equivalents on hand. Based upon our current working capital position, current operating plans, and expected business conditions, we believe that our existing capital resources and credit facilities will be adequate to fund our operations, including our finance leases and other commitments, for the next 12 months.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us to make estimates and assumptions that affect the reported amounts of assets and liabilities at the date of the financial statements and the reported amounts of revenue and expenses during the reporting periods. Significant accounting policies are disclosed in Note 3 of the Notes to the Consolidated Financial Statements in our Annual Report on Form 10-K for the fiscal year ended April 30, 2020. The most significant areas involving our judgments and estimates are described in Management’s Discussion and Analysis of Financial Condition and Results of Operations in our Annual Report on Form 10-K for the fiscal year ended April 30, 2020, to which there have been no material changes. Actual results could differ from our estimates.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right="240" w:firstLine="510"/>
        <w:spacing w:after="0" w:line="284" w:lineRule="auto"/>
        <w:rPr>
          <w:sz w:val="20"/>
          <w:szCs w:val="20"/>
          <w:color w:val="auto"/>
        </w:rPr>
      </w:pPr>
      <w:r>
        <w:rPr>
          <w:rFonts w:ascii="Times New Roman" w:cs="Times New Roman" w:eastAsia="Times New Roman" w:hAnsi="Times New Roman"/>
          <w:sz w:val="18"/>
          <w:szCs w:val="18"/>
          <w:color w:val="auto"/>
        </w:rPr>
        <w:t xml:space="preserve">The nature and impact of recent accounting pronouncements, if any, is discussed in Note </w:t>
      </w:r>
      <w:r>
        <w:rPr>
          <w:rFonts w:ascii="Times New Roman" w:cs="Times New Roman" w:eastAsia="Times New Roman" w:hAnsi="Times New Roman"/>
          <w:sz w:val="18"/>
          <w:szCs w:val="18"/>
          <w:i w:val="1"/>
          <w:iCs w:val="1"/>
          <w:color w:val="auto"/>
        </w:rPr>
        <w:t>2—Basis of Presentation</w:t>
      </w:r>
      <w:r>
        <w:rPr>
          <w:rFonts w:ascii="Times New Roman" w:cs="Times New Roman" w:eastAsia="Times New Roman" w:hAnsi="Times New Roman"/>
          <w:sz w:val="18"/>
          <w:szCs w:val="18"/>
          <w:color w:val="auto"/>
        </w:rPr>
        <w:t xml:space="preserve"> to our condensed consolidated financial statements included elsewhere in this report, which is incorporated herein by reference.</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600" w:firstLine="510"/>
        <w:spacing w:after="0" w:line="282" w:lineRule="auto"/>
        <w:rPr>
          <w:sz w:val="20"/>
          <w:szCs w:val="20"/>
          <w:color w:val="auto"/>
        </w:rPr>
      </w:pPr>
      <w:r>
        <w:rPr>
          <w:rFonts w:ascii="Times New Roman" w:cs="Times New Roman" w:eastAsia="Times New Roman" w:hAnsi="Times New Roman"/>
          <w:sz w:val="18"/>
          <w:szCs w:val="18"/>
          <w:color w:val="auto"/>
        </w:rPr>
        <w:t>During the period ended January 31, 2021, we did not enter into or transact any forward option contracts nor did we have any forward contracts outstanding.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Securities Exchange Act of 1934, as amended, or the Exchange Act). Based on this evaluation, our Chief Executive Officer and Chief Financial Officer concluded that, as of January 31, 2021, our disclosure controls and procedures (as defined in Rules 13a-15(e) and 15d-15(e) under the Exchange Act) were effective to ensure that information required to be disclosed by us in reports that we file or submit under the Exchange Act was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92" w:lineRule="exact"/>
        <w:rPr>
          <w:sz w:val="20"/>
          <w:szCs w:val="20"/>
          <w:color w:val="auto"/>
        </w:rPr>
      </w:pPr>
    </w:p>
    <w:p>
      <w:pPr>
        <w:ind w:right="220" w:firstLine="510"/>
        <w:spacing w:after="0" w:line="258" w:lineRule="auto"/>
        <w:rPr>
          <w:sz w:val="20"/>
          <w:szCs w:val="20"/>
          <w:color w:val="auto"/>
        </w:rPr>
      </w:pPr>
      <w:r>
        <w:rPr>
          <w:rFonts w:ascii="Times New Roman" w:cs="Times New Roman" w:eastAsia="Times New Roman" w:hAnsi="Times New Roman"/>
          <w:sz w:val="18"/>
          <w:szCs w:val="18"/>
          <w:color w:val="auto"/>
        </w:rPr>
        <w:t>Based on this evaluation, our Chief Executive Officer and Chief Financial Officer have concluded that, as of January 31, 2021, our disclosure controls and procedures were effective at a reasonable assurance level in that they were reasonably designed to ensure that information required to be disclosed by us in the reports we file or submit under the Exchange Act (i) is recorded, processed, summarized, and reported within the time periods specified in the rules and forms of the SEC, and (ii) is accumulated and communicated to management, including our Chief Executive Officer and Chief Financial Officer, as appropriate to allow timely decisions regarding required disclosure.</w:t>
      </w:r>
    </w:p>
    <w:p>
      <w:pPr>
        <w:spacing w:after="0" w:line="183" w:lineRule="exact"/>
        <w:rPr>
          <w:sz w:val="20"/>
          <w:szCs w:val="20"/>
          <w:color w:val="auto"/>
        </w:rPr>
      </w:pPr>
    </w:p>
    <w:p>
      <w:pPr>
        <w:ind w:right="420" w:firstLine="510"/>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during the period covered by this Quarterly Report on Form 10-Q that has materially affected, or is reasonably likely to materially affect, our internal control over financial reporting.</w:t>
      </w:r>
    </w:p>
    <w:p>
      <w:pPr>
        <w:spacing w:after="0" w:line="202" w:lineRule="exact"/>
        <w:rPr>
          <w:sz w:val="20"/>
          <w:szCs w:val="20"/>
          <w:color w:val="auto"/>
        </w:rPr>
      </w:pPr>
    </w:p>
    <w:p>
      <w:pPr>
        <w:ind w:right="380" w:firstLine="510"/>
        <w:spacing w:after="0" w:line="266"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April 30, 2020. In making this assessment, our management used the criteria set forth by the Committee of Sponsoring Organizations of the Treadway Commission (COSO) in Internal Control – Integrated Framework (2013).</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8" w:name="page29"/>
    <w:bookmarkEnd w:id="28"/>
    <w:p>
      <w:pPr>
        <w:ind w:right="340" w:firstLine="510"/>
        <w:spacing w:after="0" w:line="266" w:lineRule="auto"/>
        <w:rPr>
          <w:sz w:val="20"/>
          <w:szCs w:val="20"/>
          <w:color w:val="auto"/>
        </w:rPr>
      </w:pPr>
      <w:r>
        <w:rPr>
          <w:rFonts w:ascii="Times New Roman" w:cs="Times New Roman" w:eastAsia="Times New Roman" w:hAnsi="Times New Roman"/>
          <w:sz w:val="18"/>
          <w:szCs w:val="18"/>
          <w:color w:val="auto"/>
        </w:rPr>
        <w:t>A material weakness, as defined in Exchange Act Rule 12b-2,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203"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In the course of preparing the financial statements that are included in our Form 10-K dated April 30, 2020, management identified a material weakness in the internal control environment as we did not appropriately design and maintain controls related to the accounting for goodwill impairment. Control activities were not designed or maintained over the preparation and review of the goodwill impairment analysis, including our accounting for the related income tax treatment and review of third-party experts’ work product.</w:t>
      </w:r>
    </w:p>
    <w:p>
      <w:pPr>
        <w:spacing w:after="0" w:line="220"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The material weakness resulted in audit adjustments to goodwill pertaining to our Outdoor Products &amp; Accessories reporting unit that were recorded in our consolidated financial statements as of and for the year ended April 30, 2020 prior to our issuance of those financial statements and could result in a reasonable possibility that a material misstatement to our annual or interim consolidated financial statements may not be prevented or detected on a timely basis by our internal controls.</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Because of this material weakness, management concluded that we did not maintain effective internal control over financial reporting as of April 30,</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w:t>
      </w:r>
    </w:p>
    <w:p>
      <w:pPr>
        <w:spacing w:after="0" w:line="234"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In response to the material weaknesses described above, during the nine months ended January 31, 2021, we began implementing, evaluating, and designing new internal controls and procedures related to the accounting for goodwill impairment. Though management is still evaluating the design of these new controls and procedures, we believe that our improved processes and procedures will assist in the remediation of our material weakness. Once placed in operation for a sufficient period of time, we will subject these controls and procedures to appropriate tests in order to determine whether they are operating effectively. Management, with oversight from the Audit Committee, is committed to the remediation of our known material weakness as expeditiously as possible.</w:t>
      </w:r>
    </w:p>
    <w:p>
      <w:pPr>
        <w:spacing w:after="0" w:line="187"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our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our management is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19" w:lineRule="exact"/>
        <w:rPr>
          <w:sz w:val="20"/>
          <w:szCs w:val="20"/>
          <w:color w:val="auto"/>
        </w:rPr>
      </w:pPr>
    </w:p>
    <w:p>
      <w:pPr>
        <w:ind w:right="540" w:firstLine="510"/>
        <w:spacing w:after="0" w:line="284" w:lineRule="auto"/>
        <w:rPr>
          <w:sz w:val="20"/>
          <w:szCs w:val="20"/>
          <w:color w:val="auto"/>
        </w:rPr>
      </w:pPr>
      <w:r>
        <w:rPr>
          <w:rFonts w:ascii="Times New Roman" w:cs="Times New Roman" w:eastAsia="Times New Roman" w:hAnsi="Times New Roman"/>
          <w:sz w:val="18"/>
          <w:szCs w:val="18"/>
          <w:color w:val="auto"/>
        </w:rPr>
        <w:t>The nature of legal proceedings against us is discussed in Note 11</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condensed consolidated financial statements included elsewhere in this report, which is incorporated herein by reference.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43" w:lineRule="exact"/>
        <w:rPr>
          <w:sz w:val="20"/>
          <w:szCs w:val="20"/>
          <w:color w:val="auto"/>
        </w:rPr>
      </w:pPr>
    </w:p>
    <w:p>
      <w:pPr>
        <w:jc w:val="both"/>
        <w:ind w:right="480" w:firstLine="510"/>
        <w:spacing w:after="0" w:line="312" w:lineRule="auto"/>
        <w:rPr>
          <w:sz w:val="20"/>
          <w:szCs w:val="20"/>
          <w:color w:val="auto"/>
        </w:rPr>
      </w:pPr>
      <w:r>
        <w:rPr>
          <w:rFonts w:ascii="Times New Roman" w:cs="Times New Roman" w:eastAsia="Times New Roman" w:hAnsi="Times New Roman"/>
          <w:sz w:val="17"/>
          <w:szCs w:val="17"/>
          <w:color w:val="auto"/>
        </w:rPr>
        <w:t>The following table sets forth certain information relating to the purchases of our common stock by us and any affiliated purchasers within the meaning of Rule 10b-18(a)(3) under the Exchange Act during the three months ended January 31, 2021 (dollars in thousands, except per share data):</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 # of Shares</w:t>
            </w:r>
          </w:p>
        </w:tc>
        <w:tc>
          <w:tcPr>
            <w:tcW w:w="16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Maximum Dollar</w:t>
            </w:r>
          </w:p>
        </w:tc>
      </w:tr>
      <w:tr>
        <w:trPr>
          <w:trHeight w:val="162"/>
        </w:trPr>
        <w:tc>
          <w:tcPr>
            <w:tcW w:w="4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Purchased as</w:t>
            </w:r>
          </w:p>
        </w:tc>
        <w:tc>
          <w:tcPr>
            <w:tcW w:w="16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 of Shares</w:t>
            </w:r>
          </w:p>
        </w:tc>
      </w:tr>
      <w:tr>
        <w:trPr>
          <w:trHeight w:val="162"/>
        </w:trPr>
        <w:tc>
          <w:tcPr>
            <w:tcW w:w="4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6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that May Yet Be</w:t>
            </w:r>
          </w:p>
        </w:tc>
      </w:tr>
      <w:tr>
        <w:trPr>
          <w:trHeight w:val="162"/>
        </w:trPr>
        <w:tc>
          <w:tcPr>
            <w:tcW w:w="4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 of</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Announced</w:t>
            </w:r>
          </w:p>
        </w:tc>
        <w:tc>
          <w:tcPr>
            <w:tcW w:w="16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Purchased</w:t>
            </w:r>
          </w:p>
        </w:tc>
      </w:tr>
      <w:tr>
        <w:trPr>
          <w:trHeight w:val="162"/>
        </w:trPr>
        <w:tc>
          <w:tcPr>
            <w:tcW w:w="4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Plans or</w:t>
            </w:r>
          </w:p>
        </w:tc>
        <w:tc>
          <w:tcPr>
            <w:tcW w:w="16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Under the Plans</w:t>
            </w:r>
          </w:p>
        </w:tc>
      </w:tr>
      <w:tr>
        <w:trPr>
          <w:trHeight w:val="173"/>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160" w:type="dxa"/>
            <w:vAlign w:val="bottom"/>
          </w:tcPr>
          <w:p>
            <w:pPr>
              <w:spacing w:after="0"/>
              <w:rPr>
                <w:sz w:val="15"/>
                <w:szCs w:val="15"/>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or Programs</w:t>
            </w:r>
          </w:p>
        </w:tc>
      </w:tr>
      <w:tr>
        <w:trPr>
          <w:trHeight w:val="223"/>
        </w:trPr>
        <w:tc>
          <w:tcPr>
            <w:tcW w:w="47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1 to 31, 2020</w:t>
            </w:r>
          </w:p>
        </w:tc>
        <w:tc>
          <w:tcPr>
            <w:tcW w:w="16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2,010,631</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28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2,010,631</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 to 31, 2021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726,858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726,858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20" w:type="dxa"/>
            <w:vAlign w:val="bottom"/>
            <w:tcBorders>
              <w:top w:val="single" w:sz="8" w:color="CCECFF"/>
              <w:bottom w:val="single" w:sz="8" w:color="CCECFF"/>
            </w:tcBorders>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2,737,489</w:t>
            </w:r>
          </w:p>
        </w:tc>
        <w:tc>
          <w:tcPr>
            <w:tcW w:w="260" w:type="dxa"/>
            <w:vAlign w:val="bottom"/>
            <w:tcBorders>
              <w:top w:val="single" w:sz="8" w:color="CCECFF"/>
              <w:bottom w:val="single" w:sz="8" w:color="CCECFF"/>
            </w:tcBorders>
            <w:shd w:val="clear" w:color="auto" w:fill="CCECFF"/>
          </w:tcPr>
          <w:p>
            <w:pPr>
              <w:spacing w:after="0"/>
              <w:rPr>
                <w:sz w:val="19"/>
                <w:szCs w:val="19"/>
                <w:color w:val="auto"/>
              </w:rPr>
            </w:pPr>
          </w:p>
        </w:tc>
        <w:tc>
          <w:tcPr>
            <w:tcW w:w="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280" w:type="dxa"/>
            <w:vAlign w:val="bottom"/>
            <w:tcBorders>
              <w:top w:val="single" w:sz="8" w:color="CCECFF"/>
              <w:bottom w:val="single" w:sz="8" w:color="CCECFF"/>
            </w:tcBorders>
            <w:shd w:val="clear" w:color="auto" w:fill="CCECFF"/>
          </w:tcPr>
          <w:p>
            <w:pPr>
              <w:spacing w:after="0"/>
              <w:rPr>
                <w:sz w:val="19"/>
                <w:szCs w:val="19"/>
                <w:color w:val="auto"/>
              </w:rPr>
            </w:pPr>
          </w:p>
        </w:tc>
        <w:tc>
          <w:tcPr>
            <w:tcW w:w="15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2,737,489</w:t>
            </w:r>
          </w:p>
        </w:tc>
        <w:tc>
          <w:tcPr>
            <w:tcW w:w="280" w:type="dxa"/>
            <w:vAlign w:val="bottom"/>
            <w:tcBorders>
              <w:top w:val="single" w:sz="8" w:color="CCECFF"/>
              <w:bottom w:val="single" w:sz="8" w:color="CCECFF"/>
            </w:tcBorders>
            <w:shd w:val="clear" w:color="auto" w:fill="CCECFF"/>
          </w:tcPr>
          <w:p>
            <w:pPr>
              <w:spacing w:after="0"/>
              <w:rPr>
                <w:sz w:val="19"/>
                <w:szCs w:val="19"/>
                <w:color w:val="auto"/>
              </w:rPr>
            </w:pPr>
          </w:p>
        </w:tc>
        <w:tc>
          <w:tcPr>
            <w:tcW w:w="160" w:type="dxa"/>
            <w:vAlign w:val="bottom"/>
            <w:tcBorders>
              <w:top w:val="single" w:sz="8" w:color="auto"/>
              <w:bottom w:val="single" w:sz="8" w:color="auto"/>
            </w:tcBorders>
            <w:shd w:val="clear" w:color="auto" w:fill="CCECFF"/>
          </w:tcPr>
          <w:p>
            <w:pPr>
              <w:spacing w:after="0"/>
              <w:rPr>
                <w:sz w:val="19"/>
                <w:szCs w:val="19"/>
                <w:color w:val="auto"/>
              </w:rPr>
            </w:pPr>
          </w:p>
        </w:tc>
        <w:tc>
          <w:tcPr>
            <w:tcW w:w="13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CFF"/>
              <w:bottom w:val="single" w:sz="8" w:color="CCECFF"/>
            </w:tcBorders>
            <w:shd w:val="clear" w:color="auto" w:fill="CCECFF"/>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9512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firstLine="8"/>
        <w:spacing w:after="0" w:line="266" w:lineRule="auto"/>
        <w:tabs>
          <w:tab w:leader="none" w:pos="8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15, 2020, our board of directors authorized the repurchase of up to $50.0 million of our common stock, subject to certain conditions, in the open market or in privately negotiated transactions until December 14, 2021. As of January 31, 2021, we completed this stock repurchase program by repurchasing 2,737,489 shares of our common stock for $50.0 million utilizing cash on hand.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62" w:lineRule="exact"/>
        <w:rPr>
          <w:sz w:val="20"/>
          <w:szCs w:val="20"/>
          <w:color w:val="auto"/>
        </w:rPr>
      </w:pPr>
    </w:p>
    <w:p>
      <w:pPr>
        <w:ind w:right="60" w:firstLine="450"/>
        <w:spacing w:after="0" w:line="261" w:lineRule="auto"/>
        <w:rPr>
          <w:sz w:val="20"/>
          <w:szCs w:val="20"/>
          <w:color w:val="auto"/>
        </w:rPr>
      </w:pPr>
      <w:r>
        <w:rPr>
          <w:rFonts w:ascii="Times New Roman" w:cs="Times New Roman" w:eastAsia="Times New Roman" w:hAnsi="Times New Roman"/>
          <w:sz w:val="18"/>
          <w:szCs w:val="18"/>
          <w:color w:val="auto"/>
        </w:rPr>
        <w:t>On March 2, 2021, our Board of Directors approved a program to repurchase up to $100.0 million of our outstanding shares of common stock through March 1, 2022. The amount and timing of any repurchases will depend on a number of factors, including price, trading volume, general market conditions, legal requirements, and other factors. The repurchases may be made on the open market, in block trades, or in privately negotiated transactions. Any shares of common stock repurchased under the program will be considered issued but not outstanding shares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121" w:lineRule="exact"/>
        <w:rPr>
          <w:sz w:val="20"/>
          <w:szCs w:val="20"/>
          <w:color w:val="auto"/>
        </w:rPr>
      </w:pPr>
    </w:p>
    <w:p>
      <w:pPr>
        <w:ind w:right="440" w:firstLine="510"/>
        <w:spacing w:after="0" w:line="282" w:lineRule="auto"/>
        <w:rPr>
          <w:sz w:val="20"/>
          <w:szCs w:val="20"/>
          <w:color w:val="auto"/>
        </w:rPr>
      </w:pPr>
      <w:r>
        <w:rPr>
          <w:rFonts w:ascii="Times New Roman" w:cs="Times New Roman" w:eastAsia="Times New Roman" w:hAnsi="Times New Roman"/>
          <w:sz w:val="18"/>
          <w:szCs w:val="18"/>
          <w:color w:val="auto"/>
        </w:rPr>
        <w:t>The exhibits listed on the Index to Exhibits (immediately preceding the signatures section of this Quarterly Report on Form 10-Q) are included herewith or incorporated herein by reference.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9720" w:type="dxa"/>
            <w:vAlign w:val="bottom"/>
          </w:tcPr>
          <w:p>
            <w:pPr>
              <w:ind w:left="380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459"/>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9720" w:type="dxa"/>
            <w:vAlign w:val="bottom"/>
          </w:tcPr>
          <w:p>
            <w:pPr>
              <w:ind w:left="220"/>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Rule 13a-14(a)/15d-14(a) Certification of Principal Executive Officer</w:t>
              </w:r>
            </w:hyperlink>
          </w:p>
        </w:tc>
      </w:tr>
      <w:tr>
        <w:trPr>
          <w:trHeight w:val="338"/>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9720" w:type="dxa"/>
            <w:vAlign w:val="bottom"/>
          </w:tcPr>
          <w:p>
            <w:pPr>
              <w:ind w:left="22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Rule 13a-14(a)/15d-14(a) Certification of Principal Financial Officer</w:t>
              </w:r>
            </w:hyperlink>
          </w:p>
        </w:tc>
      </w:tr>
      <w:tr>
        <w:trPr>
          <w:trHeight w:val="337"/>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9720" w:type="dxa"/>
            <w:vAlign w:val="bottom"/>
          </w:tcPr>
          <w:p>
            <w:pPr>
              <w:ind w:left="22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Section 1350 Certification of Principal Executive Officer</w:t>
              </w:r>
            </w:hyperlink>
          </w:p>
        </w:tc>
      </w:tr>
      <w:tr>
        <w:trPr>
          <w:trHeight w:val="338"/>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9720" w:type="dxa"/>
            <w:vAlign w:val="bottom"/>
          </w:tcPr>
          <w:p>
            <w:pPr>
              <w:ind w:left="220"/>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Section 1350 Certification of Principal Financial Officer</w:t>
              </w:r>
            </w:hyperlink>
          </w:p>
        </w:tc>
      </w:tr>
      <w:tr>
        <w:trPr>
          <w:trHeight w:val="26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 because its XBRL tags are embedded within the Inline XBRL</w:t>
            </w:r>
          </w:p>
        </w:tc>
      </w:tr>
      <w:tr>
        <w:trPr>
          <w:trHeight w:val="188"/>
        </w:trPr>
        <w:tc>
          <w:tcPr>
            <w:tcW w:w="920" w:type="dxa"/>
            <w:vAlign w:val="bottom"/>
          </w:tcPr>
          <w:p>
            <w:pPr>
              <w:spacing w:after="0"/>
              <w:rPr>
                <w:sz w:val="16"/>
                <w:szCs w:val="16"/>
                <w:color w:val="auto"/>
              </w:rPr>
            </w:pPr>
          </w:p>
        </w:tc>
        <w:tc>
          <w:tcPr>
            <w:tcW w:w="9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document.</w:t>
            </w:r>
          </w:p>
        </w:tc>
      </w:tr>
      <w:tr>
        <w:trPr>
          <w:trHeight w:val="30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33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bl>
    <w:p>
      <w:pPr>
        <w:ind w:left="1140" w:hanging="1132"/>
        <w:spacing w:after="0" w:line="181" w:lineRule="auto"/>
        <w:tabs>
          <w:tab w:leader="none" w:pos="1140" w:val="left"/>
        </w:tabs>
        <w:numPr>
          <w:ilvl w:val="0"/>
          <w:numId w:val="8"/>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4"/>
          <w:szCs w:val="14"/>
          <w:color w:val="auto"/>
        </w:rPr>
        <w:t>Cover Page Interactive Data File (formatted as Inline XBRL with applicable taxonomy extension information contained in Exhibits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549" w:right="9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7720" w:type="dxa"/>
            <w:vAlign w:val="bottom"/>
            <w:gridSpan w:val="2"/>
          </w:tcPr>
          <w:p>
            <w:pPr>
              <w:ind w:left="2960"/>
              <w:spacing w:after="0"/>
              <w:rPr>
                <w:sz w:val="20"/>
                <w:szCs w:val="20"/>
                <w:color w:val="auto"/>
              </w:rPr>
            </w:pPr>
            <w:r>
              <w:rPr>
                <w:rFonts w:ascii="Times New Roman" w:cs="Times New Roman" w:eastAsia="Times New Roman" w:hAnsi="Times New Roman"/>
                <w:sz w:val="18"/>
                <w:szCs w:val="18"/>
                <w:color w:val="auto"/>
              </w:rPr>
              <w:t>SMITH &amp; WESSON BRANDS, INC.</w:t>
            </w:r>
          </w:p>
        </w:tc>
      </w:tr>
      <w:tr>
        <w:trPr>
          <w:trHeight w:val="234"/>
        </w:trPr>
        <w:tc>
          <w:tcPr>
            <w:tcW w:w="3520" w:type="dxa"/>
            <w:vAlign w:val="bottom"/>
          </w:tcPr>
          <w:p>
            <w:pPr>
              <w:spacing w:after="0"/>
              <w:rPr>
                <w:sz w:val="20"/>
                <w:szCs w:val="20"/>
                <w:color w:val="auto"/>
              </w:rPr>
            </w:pPr>
          </w:p>
        </w:tc>
        <w:tc>
          <w:tcPr>
            <w:tcW w:w="7720" w:type="dxa"/>
            <w:vAlign w:val="bottom"/>
            <w:gridSpan w:val="2"/>
          </w:tcPr>
          <w:p>
            <w:pPr>
              <w:ind w:left="2960"/>
              <w:spacing w:after="0"/>
              <w:rPr>
                <w:sz w:val="20"/>
                <w:szCs w:val="20"/>
                <w:color w:val="auto"/>
              </w:rPr>
            </w:pPr>
            <w:r>
              <w:rPr>
                <w:rFonts w:ascii="Times New Roman" w:cs="Times New Roman" w:eastAsia="Times New Roman" w:hAnsi="Times New Roman"/>
                <w:sz w:val="18"/>
                <w:szCs w:val="18"/>
                <w:color w:val="auto"/>
              </w:rPr>
              <w:t>a Nevada corporation</w:t>
            </w:r>
          </w:p>
        </w:tc>
      </w:tr>
      <w:tr>
        <w:trPr>
          <w:trHeight w:val="33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March 4, 2021</w:t>
            </w:r>
          </w:p>
        </w:tc>
        <w:tc>
          <w:tcPr>
            <w:tcW w:w="358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Mark P. Smith</w:t>
            </w:r>
          </w:p>
        </w:tc>
      </w:tr>
      <w:tr>
        <w:trPr>
          <w:trHeight w:val="189"/>
        </w:trPr>
        <w:tc>
          <w:tcPr>
            <w:tcW w:w="35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4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Mark P. Smith</w:t>
            </w:r>
          </w:p>
        </w:tc>
      </w:tr>
      <w:tr>
        <w:trPr>
          <w:trHeight w:val="236"/>
        </w:trPr>
        <w:tc>
          <w:tcPr>
            <w:tcW w:w="35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March 4, 2021</w:t>
            </w:r>
          </w:p>
        </w:tc>
        <w:tc>
          <w:tcPr>
            <w:tcW w:w="358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Deana L. McPherson</w:t>
            </w:r>
          </w:p>
        </w:tc>
      </w:tr>
      <w:tr>
        <w:trPr>
          <w:trHeight w:val="189"/>
        </w:trPr>
        <w:tc>
          <w:tcPr>
            <w:tcW w:w="35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4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Deana L. McPherson</w:t>
            </w:r>
          </w:p>
        </w:tc>
      </w:tr>
      <w:tr>
        <w:trPr>
          <w:trHeight w:val="216"/>
        </w:trPr>
        <w:tc>
          <w:tcPr>
            <w:tcW w:w="35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w:t>
            </w:r>
          </w:p>
        </w:tc>
      </w:tr>
      <w:tr>
        <w:trPr>
          <w:trHeight w:val="236"/>
        </w:trPr>
        <w:tc>
          <w:tcPr>
            <w:tcW w:w="35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Treasurer, and Assistant Secretary</w:t>
            </w:r>
          </w:p>
        </w:tc>
      </w:tr>
      <w:tr>
        <w:trPr>
          <w:trHeight w:val="675"/>
        </w:trPr>
        <w:tc>
          <w:tcPr>
            <w:tcW w:w="3520" w:type="dxa"/>
            <w:vAlign w:val="bottom"/>
          </w:tcPr>
          <w:p>
            <w:pPr>
              <w:spacing w:after="0"/>
              <w:rPr>
                <w:sz w:val="24"/>
                <w:szCs w:val="24"/>
                <w:color w:val="auto"/>
              </w:rPr>
            </w:pPr>
          </w:p>
        </w:tc>
        <w:tc>
          <w:tcPr>
            <w:tcW w:w="3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32</w:t>
            </w:r>
          </w:p>
        </w:tc>
        <w:tc>
          <w:tcPr>
            <w:tcW w:w="4140" w:type="dxa"/>
            <w:vAlign w:val="bottom"/>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 13a-14(a)/15d-14(a) 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P. Smith, certify that:</w:t>
      </w:r>
    </w:p>
    <w:p>
      <w:pPr>
        <w:spacing w:after="0" w:line="117" w:lineRule="exact"/>
        <w:rPr>
          <w:sz w:val="20"/>
          <w:szCs w:val="20"/>
          <w:color w:val="auto"/>
        </w:rPr>
      </w:pPr>
    </w:p>
    <w:p>
      <w:pPr>
        <w:ind w:left="700" w:hanging="182"/>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Smith &amp; Wesson Brands, Inc.;</w:t>
      </w:r>
    </w:p>
    <w:p>
      <w:pPr>
        <w:spacing w:after="0" w:line="117" w:lineRule="exact"/>
        <w:rPr>
          <w:rFonts w:ascii="Times New Roman" w:cs="Times New Roman" w:eastAsia="Times New Roman" w:hAnsi="Times New Roman"/>
          <w:sz w:val="18"/>
          <w:szCs w:val="18"/>
          <w:color w:val="auto"/>
        </w:rPr>
      </w:pPr>
    </w:p>
    <w:p>
      <w:pPr>
        <w:ind w:right="80" w:firstLine="518"/>
        <w:spacing w:after="0" w:line="312" w:lineRule="auto"/>
        <w:tabs>
          <w:tab w:leader="none" w:pos="69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8"/>
        <w:spacing w:after="0" w:line="282" w:lineRule="auto"/>
        <w:tabs>
          <w:tab w:leader="none" w:pos="6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80" w:firstLine="518"/>
        <w:spacing w:after="0" w:line="266" w:lineRule="auto"/>
        <w:tabs>
          <w:tab w:leader="none" w:pos="68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firstLine="1026"/>
        <w:spacing w:after="0" w:line="266" w:lineRule="auto"/>
        <w:tabs>
          <w:tab w:leader="none" w:pos="126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1026"/>
        <w:spacing w:after="0" w:line="266" w:lineRule="auto"/>
        <w:tabs>
          <w:tab w:leader="none" w:pos="127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260" w:firstLine="1026"/>
        <w:spacing w:after="0" w:line="282" w:lineRule="auto"/>
        <w:tabs>
          <w:tab w:leader="none" w:pos="126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240" w:firstLine="1026"/>
        <w:spacing w:after="0" w:line="266" w:lineRule="auto"/>
        <w:tabs>
          <w:tab w:leader="none" w:pos="127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40" w:firstLine="518"/>
        <w:spacing w:after="0" w:line="282" w:lineRule="auto"/>
        <w:tabs>
          <w:tab w:leader="none" w:pos="68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500" w:firstLine="1026"/>
        <w:spacing w:after="0" w:line="282" w:lineRule="auto"/>
        <w:tabs>
          <w:tab w:leader="none" w:pos="125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80" w:firstLine="1026"/>
        <w:spacing w:after="0" w:line="282" w:lineRule="auto"/>
        <w:tabs>
          <w:tab w:leader="none" w:pos="126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6760"/>
        <w:spacing w:after="0"/>
        <w:tabs>
          <w:tab w:leader="none" w:pos="7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Mark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18415</wp:posOffset>
            </wp:positionV>
            <wp:extent cx="25374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Mark P. Smith</w:t>
      </w:r>
    </w:p>
    <w:p>
      <w:pPr>
        <w:spacing w:after="0" w:line="2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4, 2021</w:t>
      </w:r>
    </w:p>
    <w:p>
      <w:pPr>
        <w:sectPr>
          <w:pgSz w:w="11900" w:h="16838" w:orient="portrait"/>
          <w:cols w:equalWidth="0" w:num="1">
            <w:col w:w="11240"/>
          </w:cols>
          <w:pgMar w:left="320" w:top="360"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 13a-14(a)/15d-14(a) 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Deana L. McPherson, certify that:</w:t>
      </w:r>
    </w:p>
    <w:p>
      <w:pPr>
        <w:spacing w:after="0" w:line="117" w:lineRule="exact"/>
        <w:rPr>
          <w:sz w:val="20"/>
          <w:szCs w:val="20"/>
          <w:color w:val="auto"/>
        </w:rPr>
      </w:pPr>
    </w:p>
    <w:p>
      <w:pPr>
        <w:ind w:left="700" w:hanging="182"/>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Smith &amp; Wesson Brands, Inc.;</w:t>
      </w:r>
    </w:p>
    <w:p>
      <w:pPr>
        <w:spacing w:after="0" w:line="117" w:lineRule="exact"/>
        <w:rPr>
          <w:rFonts w:ascii="Times New Roman" w:cs="Times New Roman" w:eastAsia="Times New Roman" w:hAnsi="Times New Roman"/>
          <w:sz w:val="18"/>
          <w:szCs w:val="18"/>
          <w:color w:val="auto"/>
        </w:rPr>
      </w:pPr>
    </w:p>
    <w:p>
      <w:pPr>
        <w:ind w:right="80" w:firstLine="518"/>
        <w:spacing w:after="0" w:line="312" w:lineRule="auto"/>
        <w:tabs>
          <w:tab w:leader="none" w:pos="69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8"/>
        <w:spacing w:after="0" w:line="282" w:lineRule="auto"/>
        <w:tabs>
          <w:tab w:leader="none" w:pos="6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80" w:firstLine="518"/>
        <w:spacing w:after="0" w:line="266" w:lineRule="auto"/>
        <w:tabs>
          <w:tab w:leader="none" w:pos="68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firstLine="1026"/>
        <w:spacing w:after="0" w:line="266" w:lineRule="auto"/>
        <w:tabs>
          <w:tab w:leader="none" w:pos="126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1026"/>
        <w:spacing w:after="0" w:line="266" w:lineRule="auto"/>
        <w:tabs>
          <w:tab w:leader="none" w:pos="12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260" w:firstLine="1026"/>
        <w:spacing w:after="0" w:line="282" w:lineRule="auto"/>
        <w:tabs>
          <w:tab w:leader="none" w:pos="126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240" w:firstLine="1026"/>
        <w:spacing w:after="0" w:line="266" w:lineRule="auto"/>
        <w:tabs>
          <w:tab w:leader="none" w:pos="12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40" w:firstLine="518"/>
        <w:spacing w:after="0" w:line="282" w:lineRule="auto"/>
        <w:tabs>
          <w:tab w:leader="none" w:pos="68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500" w:firstLine="1026"/>
        <w:spacing w:after="0" w:line="282" w:lineRule="auto"/>
        <w:tabs>
          <w:tab w:leader="none" w:pos="125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80" w:firstLine="1026"/>
        <w:spacing w:after="0" w:line="282" w:lineRule="auto"/>
        <w:tabs>
          <w:tab w:leader="none" w:pos="126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6760"/>
        <w:spacing w:after="0"/>
        <w:tabs>
          <w:tab w:leader="none" w:pos="7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Deana L. McPherson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18415</wp:posOffset>
            </wp:positionV>
            <wp:extent cx="25374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Deana L. McPherson</w:t>
      </w:r>
    </w:p>
    <w:p>
      <w:pPr>
        <w:spacing w:after="0" w:line="2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i w:val="1"/>
          <w:iCs w:val="1"/>
          <w:color w:val="auto"/>
        </w:rPr>
        <w:t>Treasurer, and Assistant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4, 2021</w:t>
      </w:r>
    </w:p>
    <w:p>
      <w:pPr>
        <w:sectPr>
          <w:pgSz w:w="11900" w:h="16838" w:orient="portrait"/>
          <w:cols w:equalWidth="0" w:num="1">
            <w:col w:w="11240"/>
          </w:cols>
          <w:pgMar w:left="320" w:top="360"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ind w:left="340" w:right="1940"/>
        <w:spacing w:after="0" w:line="255"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86"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Smith &amp; Wesson Brands, Inc. (the “Company”) for the quarterly period ended January 31, 2021 as filed with the Securities and Exchange Commission on the date hereof (the “Report”), I, Mark P. Smith, President and Chief Executive Officer of the Company, certify, to the best of my knowledge and belief, pursuant to 18 U.S.C. § 1350, as adopted pursuant to § 906 of the Sarbanes-Oxley Act of 2002, that:</w:t>
      </w:r>
    </w:p>
    <w:p>
      <w:pPr>
        <w:spacing w:after="0" w:line="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 The Report fully complies with the requirements of Section 13(a) or 15(d), as applicable, of the Securities Exchange Act of 1934,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w:t>
      </w:r>
    </w:p>
    <w:p>
      <w:pPr>
        <w:spacing w:after="0" w:line="9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32" w:lineRule="exact"/>
        <w:rPr>
          <w:sz w:val="20"/>
          <w:szCs w:val="20"/>
          <w:color w:val="auto"/>
        </w:rPr>
      </w:pPr>
    </w:p>
    <w:p>
      <w:pPr>
        <w:ind w:left="6760"/>
        <w:spacing w:after="0"/>
        <w:tabs>
          <w:tab w:leader="none" w:pos="7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Mark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18415</wp:posOffset>
            </wp:positionV>
            <wp:extent cx="25374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Mark P. Smith</w:t>
      </w:r>
    </w:p>
    <w:p>
      <w:pPr>
        <w:spacing w:after="0" w:line="2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4, 2021</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on Form 10-Q to which it relates, is not deemed filed with the Securities and Exchange Commission, and is not to be incorporated by reference into any filing of Smith &amp; Wesson Brands,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40"/>
          </w:cols>
          <w:pgMar w:left="320" w:top="360"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ind w:left="340" w:right="1940"/>
        <w:spacing w:after="0" w:line="255"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 AS ADOPTED PURSUANT TO SECTION 906 OF THE SARBANES-OXLEY ACT OF 2002</w:t>
      </w:r>
    </w:p>
    <w:p>
      <w:pPr>
        <w:spacing w:after="0" w:line="186"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Smith &amp; Wesson Brands, Inc. (the “Company”) for the quarterly period ended January 31, 2021 as filed with the Securities and Exchange Commission on the date hereof (the “Report”), I, Deana L. McPherson, Executive Vice President, Chief Financial Officer, Treasurer, and Assistant Secretary of the Company, certify, to the best of my knowledge and belief, pursuant to 18 U.S.C. § 1350, as adopted pursuant to § 906 of the Sarbanes-Oxley Act of 2002, that:</w:t>
      </w:r>
    </w:p>
    <w:p>
      <w:pPr>
        <w:spacing w:after="0" w:line="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 The Report fully complies with the requirements of Section 13(a) or 15(d), as applicable, of the Securities Exchange Act of 1934,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w:t>
      </w:r>
    </w:p>
    <w:p>
      <w:pPr>
        <w:spacing w:after="0" w:line="9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32" w:lineRule="exact"/>
        <w:rPr>
          <w:sz w:val="20"/>
          <w:szCs w:val="20"/>
          <w:color w:val="auto"/>
        </w:rPr>
      </w:pPr>
    </w:p>
    <w:p>
      <w:pPr>
        <w:ind w:left="6760"/>
        <w:spacing w:after="0"/>
        <w:tabs>
          <w:tab w:leader="none" w:pos="7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Deana L. McPherson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18415</wp:posOffset>
            </wp:positionV>
            <wp:extent cx="25374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Deana L. McPherson</w:t>
      </w:r>
    </w:p>
    <w:p>
      <w:pPr>
        <w:spacing w:after="0" w:line="2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Treasurer, and Assistant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4, 2021</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on Form 10-Q to which it relates, is not deemed filed with the Securities and Exchange Commission, and is not to be incorporated by reference into any filing of Smith &amp; Wesson Brands,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04"/>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2021-03-04T15:21:39Z</dcterms:created>
  <dcterms:modified xsi:type="dcterms:W3CDTF">2021-03-04T15:21:39Z</dcterms:modified>
</cp:coreProperties>
</file>