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2019</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111760</wp:posOffset>
            </wp:positionV>
            <wp:extent cx="300990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99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American Outdoor Brands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3520" w:type="dxa"/>
            <w:vAlign w:val="bottom"/>
          </w:tcPr>
          <w:p>
            <w:pPr>
              <w:jc w:val="center"/>
              <w:ind w:left="978"/>
              <w:spacing w:after="0"/>
              <w:rPr>
                <w:sz w:val="20"/>
                <w:szCs w:val="20"/>
                <w:color w:val="auto"/>
              </w:rPr>
            </w:pPr>
            <w:r>
              <w:rPr>
                <w:rFonts w:ascii="Arial" w:cs="Arial" w:eastAsia="Arial" w:hAnsi="Arial"/>
                <w:sz w:val="18"/>
                <w:szCs w:val="18"/>
                <w:b w:val="1"/>
                <w:bCs w:val="1"/>
                <w:color w:val="auto"/>
                <w:w w:val="90"/>
              </w:rPr>
              <w:t>Nevada</w:t>
            </w: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tcPr>
          <w:p>
            <w:pPr>
              <w:jc w:val="right"/>
              <w:ind w:right="1780"/>
              <w:spacing w:after="0"/>
              <w:rPr>
                <w:sz w:val="20"/>
                <w:szCs w:val="20"/>
                <w:color w:val="auto"/>
              </w:rPr>
            </w:pPr>
            <w:r>
              <w:rPr>
                <w:rFonts w:ascii="Arial" w:cs="Arial" w:eastAsia="Arial" w:hAnsi="Arial"/>
                <w:sz w:val="18"/>
                <w:szCs w:val="18"/>
                <w:b w:val="1"/>
                <w:bCs w:val="1"/>
                <w:color w:val="auto"/>
              </w:rPr>
              <w:t>87-0543688</w:t>
            </w:r>
          </w:p>
        </w:tc>
      </w:tr>
      <w:tr>
        <w:trPr>
          <w:trHeight w:val="149"/>
        </w:trPr>
        <w:tc>
          <w:tcPr>
            <w:tcW w:w="3520" w:type="dxa"/>
            <w:vAlign w:val="bottom"/>
          </w:tcPr>
          <w:p>
            <w:pPr>
              <w:jc w:val="center"/>
              <w:ind w:left="978"/>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20" w:type="dxa"/>
            <w:vAlign w:val="bottom"/>
          </w:tcPr>
          <w:p>
            <w:pPr>
              <w:jc w:val="center"/>
              <w:ind w:right="13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20" w:type="dxa"/>
            <w:vAlign w:val="bottom"/>
          </w:tcPr>
          <w:p>
            <w:pPr>
              <w:jc w:val="center"/>
              <w:ind w:left="978"/>
              <w:spacing w:after="0"/>
              <w:rPr>
                <w:sz w:val="20"/>
                <w:szCs w:val="20"/>
                <w:color w:val="auto"/>
              </w:rPr>
            </w:pPr>
            <w:r>
              <w:rPr>
                <w:rFonts w:ascii="Arial" w:cs="Arial" w:eastAsia="Arial" w:hAnsi="Arial"/>
                <w:sz w:val="14"/>
                <w:szCs w:val="14"/>
                <w:b w:val="1"/>
                <w:bCs w:val="1"/>
                <w:color w:val="auto"/>
                <w:w w:val="93"/>
              </w:rPr>
              <w:t>incorporation or organization)</w:t>
            </w: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20" w:type="dxa"/>
            <w:vAlign w:val="bottom"/>
          </w:tcPr>
          <w:p>
            <w:pPr>
              <w:jc w:val="center"/>
              <w:ind w:right="130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520" w:type="dxa"/>
            <w:vAlign w:val="bottom"/>
          </w:tcPr>
          <w:p>
            <w:pPr>
              <w:jc w:val="center"/>
              <w:ind w:left="978"/>
              <w:spacing w:after="0"/>
              <w:rPr>
                <w:sz w:val="20"/>
                <w:szCs w:val="20"/>
                <w:color w:val="auto"/>
              </w:rPr>
            </w:pPr>
            <w:r>
              <w:rPr>
                <w:rFonts w:ascii="Arial" w:cs="Arial" w:eastAsia="Arial" w:hAnsi="Arial"/>
                <w:sz w:val="18"/>
                <w:szCs w:val="18"/>
                <w:b w:val="1"/>
                <w:bCs w:val="1"/>
                <w:color w:val="auto"/>
                <w:w w:val="86"/>
              </w:rPr>
              <w:t>2100 Roosevelt Avenue</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2"/>
        </w:trPr>
        <w:tc>
          <w:tcPr>
            <w:tcW w:w="3520" w:type="dxa"/>
            <w:vAlign w:val="bottom"/>
          </w:tcPr>
          <w:p>
            <w:pPr>
              <w:jc w:val="center"/>
              <w:ind w:left="978"/>
              <w:spacing w:after="0"/>
              <w:rPr>
                <w:sz w:val="20"/>
                <w:szCs w:val="20"/>
                <w:color w:val="auto"/>
              </w:rPr>
            </w:pPr>
            <w:r>
              <w:rPr>
                <w:rFonts w:ascii="Arial" w:cs="Arial" w:eastAsia="Arial" w:hAnsi="Arial"/>
                <w:sz w:val="18"/>
                <w:szCs w:val="18"/>
                <w:b w:val="1"/>
                <w:bCs w:val="1"/>
                <w:color w:val="auto"/>
                <w:w w:val="88"/>
              </w:rPr>
              <w:t>Springfield, Massachusetts</w:t>
            </w: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tcPr>
          <w:p>
            <w:pPr>
              <w:jc w:val="right"/>
              <w:ind w:right="2000"/>
              <w:spacing w:after="0"/>
              <w:rPr>
                <w:sz w:val="20"/>
                <w:szCs w:val="20"/>
                <w:color w:val="auto"/>
              </w:rPr>
            </w:pPr>
            <w:r>
              <w:rPr>
                <w:rFonts w:ascii="Arial" w:cs="Arial" w:eastAsia="Arial" w:hAnsi="Arial"/>
                <w:sz w:val="18"/>
                <w:szCs w:val="18"/>
                <w:b w:val="1"/>
                <w:bCs w:val="1"/>
                <w:color w:val="auto"/>
              </w:rPr>
              <w:t>01104</w:t>
            </w:r>
          </w:p>
        </w:tc>
      </w:tr>
      <w:tr>
        <w:trPr>
          <w:trHeight w:val="186"/>
        </w:trPr>
        <w:tc>
          <w:tcPr>
            <w:tcW w:w="3520" w:type="dxa"/>
            <w:vAlign w:val="bottom"/>
          </w:tcPr>
          <w:p>
            <w:pPr>
              <w:jc w:val="center"/>
              <w:ind w:left="9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20" w:type="dxa"/>
            <w:vAlign w:val="bottom"/>
          </w:tcPr>
          <w:p>
            <w:pPr>
              <w:jc w:val="center"/>
              <w:ind w:right="128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3520" w:type="dxa"/>
            <w:vAlign w:val="bottom"/>
          </w:tcPr>
          <w:p>
            <w:pPr>
              <w:spacing w:after="0"/>
              <w:rPr>
                <w:sz w:val="24"/>
                <w:szCs w:val="24"/>
                <w:color w:val="auto"/>
              </w:rPr>
            </w:pPr>
          </w:p>
        </w:tc>
        <w:tc>
          <w:tcPr>
            <w:tcW w:w="2820" w:type="dxa"/>
            <w:vAlign w:val="bottom"/>
            <w:gridSpan w:val="2"/>
          </w:tcPr>
          <w:p>
            <w:pPr>
              <w:jc w:val="center"/>
              <w:ind w:left="459"/>
              <w:spacing w:after="0"/>
              <w:rPr>
                <w:sz w:val="20"/>
                <w:szCs w:val="20"/>
                <w:color w:val="auto"/>
              </w:rPr>
            </w:pPr>
            <w:r>
              <w:rPr>
                <w:rFonts w:ascii="Arial" w:cs="Arial" w:eastAsia="Arial" w:hAnsi="Arial"/>
                <w:sz w:val="18"/>
                <w:szCs w:val="18"/>
                <w:b w:val="1"/>
                <w:bCs w:val="1"/>
                <w:color w:val="auto"/>
                <w:w w:val="90"/>
              </w:rPr>
              <w:t>(800) 331-0852</w:t>
            </w:r>
          </w:p>
        </w:tc>
        <w:tc>
          <w:tcPr>
            <w:tcW w:w="8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6"/>
        </w:trPr>
        <w:tc>
          <w:tcPr>
            <w:tcW w:w="3520" w:type="dxa"/>
            <w:vAlign w:val="bottom"/>
          </w:tcPr>
          <w:p>
            <w:pPr>
              <w:spacing w:after="0"/>
              <w:rPr>
                <w:sz w:val="16"/>
                <w:szCs w:val="16"/>
                <w:color w:val="auto"/>
              </w:rPr>
            </w:pPr>
          </w:p>
        </w:tc>
        <w:tc>
          <w:tcPr>
            <w:tcW w:w="3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220" w:type="dxa"/>
            <w:vAlign w:val="bottom"/>
          </w:tcPr>
          <w:p>
            <w:pPr>
              <w:spacing w:after="0"/>
              <w:rPr>
                <w:sz w:val="16"/>
                <w:szCs w:val="16"/>
                <w:color w:val="auto"/>
              </w:rPr>
            </w:pPr>
          </w:p>
        </w:tc>
      </w:tr>
      <w:tr>
        <w:trPr>
          <w:trHeight w:val="134"/>
        </w:trPr>
        <w:tc>
          <w:tcPr>
            <w:tcW w:w="4060" w:type="dxa"/>
            <w:vAlign w:val="bottom"/>
            <w:gridSpan w:val="2"/>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318"/>
        </w:trPr>
        <w:tc>
          <w:tcPr>
            <w:tcW w:w="71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20" w:type="dxa"/>
            <w:vAlign w:val="bottom"/>
          </w:tcPr>
          <w:p>
            <w:pPr>
              <w:spacing w:after="0"/>
              <w:rPr>
                <w:sz w:val="24"/>
                <w:szCs w:val="24"/>
                <w:color w:val="auto"/>
              </w:rPr>
            </w:pPr>
          </w:p>
        </w:tc>
      </w:tr>
      <w:tr>
        <w:trPr>
          <w:trHeight w:val="319"/>
        </w:trPr>
        <w:tc>
          <w:tcPr>
            <w:tcW w:w="3520" w:type="dxa"/>
            <w:vAlign w:val="bottom"/>
          </w:tcPr>
          <w:p>
            <w:pPr>
              <w:jc w:val="center"/>
              <w:ind w:right="658"/>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4"/>
                <w:szCs w:val="24"/>
                <w:color w:val="auto"/>
              </w:rPr>
            </w:pPr>
          </w:p>
        </w:tc>
        <w:tc>
          <w:tcPr>
            <w:tcW w:w="31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Trading Symbol</w:t>
            </w:r>
          </w:p>
        </w:tc>
        <w:tc>
          <w:tcPr>
            <w:tcW w:w="3220" w:type="dxa"/>
            <w:vAlign w:val="bottom"/>
          </w:tcPr>
          <w:p>
            <w:pPr>
              <w:jc w:val="center"/>
              <w:ind w:left="340"/>
              <w:spacing w:after="0"/>
              <w:rPr>
                <w:sz w:val="20"/>
                <w:szCs w:val="20"/>
                <w:color w:val="auto"/>
              </w:rPr>
            </w:pPr>
            <w:r>
              <w:rPr>
                <w:rFonts w:ascii="Arial" w:cs="Arial" w:eastAsia="Arial" w:hAnsi="Arial"/>
                <w:sz w:val="18"/>
                <w:szCs w:val="18"/>
                <w:color w:val="auto"/>
                <w:w w:val="89"/>
              </w:rPr>
              <w:t>Name of exchange on which registered</w:t>
            </w:r>
          </w:p>
        </w:tc>
      </w:tr>
      <w:tr>
        <w:trPr>
          <w:trHeight w:val="182"/>
        </w:trPr>
        <w:tc>
          <w:tcPr>
            <w:tcW w:w="3520" w:type="dxa"/>
            <w:vAlign w:val="bottom"/>
          </w:tcPr>
          <w:p>
            <w:pPr>
              <w:jc w:val="center"/>
              <w:ind w:right="658"/>
              <w:spacing w:after="0"/>
              <w:rPr>
                <w:sz w:val="20"/>
                <w:szCs w:val="20"/>
                <w:color w:val="auto"/>
              </w:rPr>
            </w:pPr>
            <w:r>
              <w:rPr>
                <w:rFonts w:ascii="Arial" w:cs="Arial" w:eastAsia="Arial" w:hAnsi="Arial"/>
                <w:sz w:val="14"/>
                <w:szCs w:val="14"/>
                <w:color w:val="auto"/>
                <w:w w:val="91"/>
              </w:rPr>
              <w:t>Common Stock, par value $.001 per share</w:t>
            </w:r>
          </w:p>
        </w:tc>
        <w:tc>
          <w:tcPr>
            <w:tcW w:w="540" w:type="dxa"/>
            <w:vAlign w:val="bottom"/>
          </w:tcPr>
          <w:p>
            <w:pPr>
              <w:spacing w:after="0"/>
              <w:rPr>
                <w:sz w:val="15"/>
                <w:szCs w:val="15"/>
                <w:color w:val="auto"/>
              </w:rPr>
            </w:pPr>
          </w:p>
        </w:tc>
        <w:tc>
          <w:tcPr>
            <w:tcW w:w="3120" w:type="dxa"/>
            <w:vAlign w:val="bottom"/>
            <w:gridSpan w:val="2"/>
          </w:tcPr>
          <w:p>
            <w:pPr>
              <w:jc w:val="center"/>
              <w:ind w:right="840"/>
              <w:spacing w:after="0"/>
              <w:rPr>
                <w:sz w:val="20"/>
                <w:szCs w:val="20"/>
                <w:color w:val="auto"/>
              </w:rPr>
            </w:pPr>
            <w:r>
              <w:rPr>
                <w:rFonts w:ascii="Arial" w:cs="Arial" w:eastAsia="Arial" w:hAnsi="Arial"/>
                <w:sz w:val="14"/>
                <w:szCs w:val="14"/>
                <w:color w:val="auto"/>
              </w:rPr>
              <w:t>AOBC</w:t>
            </w:r>
          </w:p>
        </w:tc>
        <w:tc>
          <w:tcPr>
            <w:tcW w:w="3220" w:type="dxa"/>
            <w:vAlign w:val="bottom"/>
          </w:tcPr>
          <w:p>
            <w:pPr>
              <w:jc w:val="center"/>
              <w:ind w:left="360"/>
              <w:spacing w:after="0"/>
              <w:rPr>
                <w:sz w:val="20"/>
                <w:szCs w:val="20"/>
                <w:color w:val="auto"/>
              </w:rPr>
            </w:pPr>
            <w:r>
              <w:rPr>
                <w:rFonts w:ascii="Arial" w:cs="Arial" w:eastAsia="Arial" w:hAnsi="Arial"/>
                <w:sz w:val="14"/>
                <w:szCs w:val="14"/>
                <w:color w:val="auto"/>
                <w:w w:val="93"/>
              </w:rPr>
              <w:t>Nasdaq Global Select Market</w:t>
            </w:r>
          </w:p>
        </w:tc>
      </w:tr>
    </w:tbl>
    <w:p>
      <w:pPr>
        <w:spacing w:after="0" w:line="92"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87" w:lineRule="exact"/>
        <w:rPr>
          <w:sz w:val="24"/>
          <w:szCs w:val="24"/>
          <w:color w:val="auto"/>
        </w:rPr>
      </w:pPr>
    </w:p>
    <w:p>
      <w:pPr>
        <w:ind w:right="4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registrant had 55,060,972 shares of common stock, par value $0.001, outstanding as of December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0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rPr>
              <w:t>AMERICAN OUTDOOR BRANDS CORPORATION</w:t>
            </w:r>
          </w:p>
        </w:tc>
        <w:tc>
          <w:tcPr>
            <w:tcW w:w="170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4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w w:val="94"/>
              </w:rPr>
              <w:t>Quarterly Report on Form 10-Q</w:t>
            </w:r>
          </w:p>
        </w:tc>
        <w:tc>
          <w:tcPr>
            <w:tcW w:w="170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8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w w:val="91"/>
              </w:rPr>
              <w:t>For the Three and Six Months Ended October 31, 2019 and 2018</w:t>
            </w:r>
          </w:p>
        </w:tc>
        <w:tc>
          <w:tcPr>
            <w:tcW w:w="1700" w:type="dxa"/>
            <w:vAlign w:val="bottom"/>
          </w:tcPr>
          <w:p>
            <w:pPr>
              <w:spacing w:after="0"/>
              <w:rPr>
                <w:sz w:val="20"/>
                <w:szCs w:val="20"/>
                <w:color w:val="auto"/>
              </w:rPr>
            </w:pPr>
          </w:p>
        </w:tc>
      </w:tr>
      <w:tr>
        <w:trPr>
          <w:trHeight w:val="459"/>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4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24"/>
                <w:szCs w:val="24"/>
                <w:color w:val="auto"/>
              </w:rPr>
            </w:pPr>
          </w:p>
        </w:tc>
      </w:tr>
      <w:tr>
        <w:trPr>
          <w:trHeight w:val="419"/>
        </w:trPr>
        <w:tc>
          <w:tcPr>
            <w:tcW w:w="31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6580" w:type="dxa"/>
            <w:vAlign w:val="bottom"/>
            <w:gridSpan w:val="5"/>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6440" w:type="dxa"/>
            <w:vAlign w:val="bottom"/>
            <w:gridSpan w:val="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0" w:type="dxa"/>
            <w:vAlign w:val="bottom"/>
          </w:tcPr>
          <w:p>
            <w:pPr>
              <w:spacing w:after="0"/>
              <w:rPr>
                <w:sz w:val="17"/>
                <w:szCs w:val="17"/>
                <w:color w:val="auto"/>
              </w:rPr>
            </w:pPr>
          </w:p>
        </w:tc>
        <w:tc>
          <w:tcPr>
            <w:tcW w:w="70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Operations</w:t>
              </w:r>
            </w:hyperlink>
          </w:p>
        </w:tc>
        <w:tc>
          <w:tcPr>
            <w:tcW w:w="240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0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4500" w:type="dxa"/>
            <w:vAlign w:val="bottom"/>
            <w:gridSpan w:val="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0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28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6880" w:type="dxa"/>
            <w:vAlign w:val="bottom"/>
            <w:gridSpan w:val="6"/>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1. Legal Proceedings</w:t>
              </w:r>
            </w:hyperlink>
          </w:p>
        </w:tc>
        <w:tc>
          <w:tcPr>
            <w:tcW w:w="7520" w:type="dxa"/>
            <w:vAlign w:val="bottom"/>
            <w:gridSpan w:val="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0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2. Unregistered Sales of Equity Securities and Use of Proceeds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0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6"/>
          </w:tcPr>
          <w:p>
            <w:pPr>
              <w:spacing w:after="0"/>
              <w:rPr>
                <w:sz w:val="17"/>
                <w:szCs w:val="17"/>
                <w:color w:val="auto"/>
              </w:rPr>
            </w:pPr>
          </w:p>
        </w:tc>
        <w:tc>
          <w:tcPr>
            <w:tcW w:w="4520" w:type="dxa"/>
            <w:vAlign w:val="bottom"/>
            <w:gridSpan w:val="3"/>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72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37"/>
        </w:trPr>
        <w:tc>
          <w:tcPr>
            <w:tcW w:w="7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EX-31.1</w:t>
            </w:r>
          </w:p>
        </w:tc>
        <w:tc>
          <w:tcPr>
            <w:tcW w:w="8960" w:type="dxa"/>
            <w:vAlign w:val="bottom"/>
            <w:gridSpan w:val="10"/>
          </w:tcPr>
          <w:p>
            <w:pPr>
              <w:spacing w:after="0"/>
              <w:rPr>
                <w:sz w:val="20"/>
                <w:szCs w:val="20"/>
                <w:color w:val="auto"/>
              </w:rPr>
            </w:pPr>
          </w:p>
        </w:tc>
        <w:tc>
          <w:tcPr>
            <w:tcW w:w="170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21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Smith &amp; Wesson®, S&amp;W®, M&amp;P®, M&amp;P Shield®, Performance Center®, Bodyguard®, Governor®, SW22 Victory®, T/C ®, America’s Master Gunmaker ®, Compass®, Contender®, Dimension®, Encore®, Triumph®, Weather Shield®, Caldwell®, Delta Series®, Wheeler®, Tipton®, Frankford Arsenal®, Lockdown®, BOG-POD®, Golden Rod®, Mag Charger®, Hooyman®, Schrade®, Old Timer®, Uncle Henry®, Imperial®, Non-Typical Wildlife Solutions®, Crimson Trace®, Lasergrips®, Laserguard®, Rail Master®, Shockstop®, Laserlyte®, Key Gear®, U-Dig-It®, Bubba®, Bubba Blade®, One Cut and You’re Through®, Gemtech®, G-Core®, Halo®, Integra®, World Class Silencers®, LiNQ®, Stinky Bubba®, and Turkinator™ are some of the registered U.S. trademarks of our company or one of our subsidiaries. American Outdoor Brands CorporationSM, M2.0™, SDVE™, Thompson/Center Arms™, Impact!™, Strike™, Venture™, Defender Series™, Instinctive Activation™, Master Series™, UST™, Blast Jacket™, One™, The Professional’s Choice for Decades™, and World Class Ammunition™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56"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assessments that we make about determining segments and reporting units; the features of our outstanding debt; estimated amortization expense of intangible assets for future periods; the outcome of the lawsuits to which we are subject and their effect on us; the proposed spin-off, including the timing and purpose thereof and the expected restructuring charges, our belief that inventory levels, both internally and in the distribution channel, in excess of demand, may negatively impact future operating results; our belief that it is difficult to forecast the potential impact of distributor inventories on future revenue and income as demand is impacted by many factors, including seasonality, new product introductions, news events, political events, and consumer tastes; our assessment of consumer demand and factors that stimulate demand for our products; the effect on our business of various factors, including terrorism and the level of political pressures on firearm laws and regulations; expected inventory levels for future periods; future investments for capital expenditures; future products and product developments; the features, quality, and performance of our products; the success of particular product or marketing programs; our market share and factors that affect our market share; and liquidity and anticipated cash needs and availability.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firearms-related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the completion of our proposed spin-off and the operations and performance of the two separate companies thereafter; our ability to maintain and enhance brand recognition and reputation; risks associated with the establishment of our new 632,000 square foot national logistics facility including the expected benefits; our ability to introduce new products; the success of new products; our ability to expand our markets; our ability to integrate acquired businesses in a successful manner; the general growth of our outdoor products and accessories business; the potential for cancellation of orders from our backlog; and other factors detailed from time to time in our reports filed with the Securities and Exchange Commission, or the SEC, including our Annual Report on Form 10-K for the fiscal year ended April 30, 2019, filed with the SEC on June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BALANCE SHEETS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w w:val="98"/>
              </w:rPr>
              <w:t>October 31, 2019</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April 30,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6"/>
          </w:tcPr>
          <w:p>
            <w:pPr>
              <w:jc w:val="right"/>
              <w:ind w:right="500"/>
              <w:spacing w:after="0"/>
              <w:rPr>
                <w:sz w:val="20"/>
                <w:szCs w:val="20"/>
                <w:color w:val="auto"/>
              </w:rPr>
            </w:pPr>
            <w:r>
              <w:rPr>
                <w:rFonts w:ascii="Arial" w:cs="Arial" w:eastAsia="Arial" w:hAnsi="Arial"/>
                <w:sz w:val="14"/>
                <w:szCs w:val="14"/>
                <w:color w:val="auto"/>
                <w:w w:val="96"/>
              </w:rPr>
              <w:t>(In thousands, except par value and share data)</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 $2,036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October 31, 2019 and $1,899 on April 30,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93,629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84,907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353,060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82,562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808,796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766,789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37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36,102</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deferred revenue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Accrued payroll and incentives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Accrued profit sharing</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and loans payable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Notes and loans payable, net of current portion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Finance lease payable, net of current portion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40,389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362,246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20,000,000 shares authorized, no shares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or outstanding</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Common stock, $.001 par value, 100,000,000 shares authorized, 73,226,141 issued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and 55,059,279 shares outstanding on October 31, 2019 and 72,863,624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issued and 54,696,762 shares outstanding on April 30,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402,131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Treasury stock, at cost (18,166,862 shares on October 31, 2019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April 30,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(222,375)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(222,375)</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446,550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444,444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808,796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left="260" w:right="1140"/>
        <w:spacing w:after="0" w:line="275"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INCOME/(LOSS) AND COMPREHENSIVE INCOME/(LOSS) (Unaudited)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6"/>
              </w:rPr>
              <w:t>For the Three Months Ended October 31,</w:t>
            </w:r>
          </w:p>
        </w:tc>
        <w:tc>
          <w:tcPr>
            <w:tcW w:w="180" w:type="dxa"/>
            <w:vAlign w:val="bottom"/>
          </w:tcPr>
          <w:p>
            <w:pPr>
              <w:spacing w:after="0"/>
              <w:rPr>
                <w:sz w:val="14"/>
                <w:szCs w:val="14"/>
                <w:color w:val="auto"/>
              </w:rPr>
            </w:pPr>
          </w:p>
        </w:tc>
        <w:tc>
          <w:tcPr>
            <w:tcW w:w="29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For the Six Months Ended October 31,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4"/>
                <w:szCs w:val="14"/>
                <w:color w:val="auto"/>
                <w:w w:val="97"/>
              </w:rPr>
              <w:t>(In thousands, except per share data)</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154,388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278,057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179,898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50,306</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Selling, marketing, and distribution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19,352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23,082</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26,518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income/(expense), net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(3,039)</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(2,274)</w:t>
            </w: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(expense)/income, net</w:t>
            </w: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Income from operations before income taxes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income/(loss)</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(loss)/income: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Change in unrealized loss on interest rate swap</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loss, before income taxes</w:t>
            </w: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benefit on other comprehensive loss</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income/(loss):</w:t>
            </w:r>
          </w:p>
        </w:tc>
        <w:tc>
          <w:tcPr>
            <w:tcW w:w="6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26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23"/>
                <w:szCs w:val="23"/>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w:t>
            </w: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54,912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55,424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55,107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 OF CHANGES IN STOCKHOLDERS’ EQUITY (Unaudited)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8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w:t>
            </w: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40" w:type="dxa"/>
            <w:vAlign w:val="bottom"/>
            <w:gridSpan w:val="3"/>
          </w:tcPr>
          <w:p>
            <w:pPr>
              <w:jc w:val="right"/>
              <w:ind w:right="9"/>
              <w:spacing w:after="0"/>
              <w:rPr>
                <w:sz w:val="20"/>
                <w:szCs w:val="20"/>
                <w:color w:val="auto"/>
              </w:rPr>
            </w:pPr>
            <w:r>
              <w:rPr>
                <w:rFonts w:ascii="Arial" w:cs="Arial" w:eastAsia="Arial" w:hAnsi="Arial"/>
                <w:sz w:val="13"/>
                <w:szCs w:val="13"/>
                <w:b w:val="1"/>
                <w:bCs w:val="1"/>
                <w:color w:val="auto"/>
              </w:rPr>
              <w:t>Stock</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900" w:type="dxa"/>
            <w:vAlign w:val="bottom"/>
            <w:gridSpan w:val="5"/>
          </w:tcPr>
          <w:p>
            <w:pPr>
              <w:jc w:val="right"/>
              <w:ind w:right="619"/>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line="143" w:lineRule="exact"/>
              <w:rPr>
                <w:sz w:val="20"/>
                <w:szCs w:val="20"/>
                <w:color w:val="auto"/>
              </w:rPr>
            </w:pPr>
            <w:r>
              <w:rPr>
                <w:rFonts w:ascii="Arial" w:cs="Arial" w:eastAsia="Arial" w:hAnsi="Arial"/>
                <w:sz w:val="13"/>
                <w:szCs w:val="13"/>
                <w:color w:val="auto"/>
              </w:rPr>
              <w:t>(In thousands)</w:t>
            </w:r>
          </w:p>
        </w:tc>
        <w:tc>
          <w:tcPr>
            <w:tcW w:w="940" w:type="dxa"/>
            <w:vAlign w:val="bottom"/>
            <w:tcBorders>
              <w:top w:val="single" w:sz="8" w:color="auto"/>
            </w:tcBorders>
            <w:gridSpan w:val="2"/>
          </w:tcPr>
          <w:p>
            <w:pPr>
              <w:ind w:left="16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w w:val="86"/>
              </w:rPr>
              <w:t>Earnings</w:t>
            </w: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3" w:lineRule="exact"/>
              <w:rPr>
                <w:sz w:val="20"/>
                <w:szCs w:val="20"/>
                <w:color w:val="auto"/>
              </w:rPr>
            </w:pPr>
            <w:r>
              <w:rPr>
                <w:rFonts w:ascii="Arial" w:cs="Arial" w:eastAsia="Arial" w:hAnsi="Arial"/>
                <w:sz w:val="13"/>
                <w:szCs w:val="13"/>
                <w:b w:val="1"/>
                <w:bCs w:val="1"/>
                <w:color w:val="auto"/>
                <w:w w:val="86"/>
              </w:rPr>
              <w:t>Income/(Loss)</w:t>
            </w:r>
          </w:p>
        </w:tc>
        <w:tc>
          <w:tcPr>
            <w:tcW w:w="940" w:type="dxa"/>
            <w:vAlign w:val="bottom"/>
            <w:tcBorders>
              <w:top w:val="single" w:sz="8" w:color="auto"/>
            </w:tcBorders>
            <w:gridSpan w:val="2"/>
          </w:tcPr>
          <w:p>
            <w:pPr>
              <w:ind w:left="18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July 31, 2018</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72,551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255,189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392,181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1,612</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426,680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 interest rate swap, net of</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tax effect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tcPr>
          <w:p>
            <w:pPr>
              <w:spacing w:after="0" w:line="143" w:lineRule="exact"/>
              <w:rPr>
                <w:sz w:val="20"/>
                <w:szCs w:val="20"/>
                <w:color w:val="auto"/>
              </w:rPr>
            </w:pPr>
            <w:r>
              <w:rPr>
                <w:rFonts w:ascii="Arial" w:cs="Arial" w:eastAsia="Arial" w:hAnsi="Arial"/>
                <w:sz w:val="14"/>
                <w:szCs w:val="14"/>
                <w:color w:val="auto"/>
                <w:w w:val="97"/>
              </w:rPr>
              <w:t>Issuance of common stock under restricted stock unit awards,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color w:val="auto"/>
              </w:rPr>
              <w:t>net of shares surrendered</w:t>
            </w: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color w:val="auto"/>
              </w:rPr>
              <w:t>Balance at October 31, 2018</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72,706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258,126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398,846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1,572</w:t>
            </w: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(222,375)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436,242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Balance at April 30, 2018</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72,434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253,616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389,146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(222,375)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422,148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 interest rate swap, net of</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tax effect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(117)</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Impact of adoption of accounting standard updates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(4,610)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(4,610)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7"/>
              </w:rPr>
              <w:t>Issuance of common stock under restricted stock unit awards,</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net of shares surrendered</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14,310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October 31, 2018</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72,706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258,126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398,846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1,572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436,242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Balance at July 31, 2019</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72,988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264,230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400,838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(222,375)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443,058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173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 interest rate swap, net of tax</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effect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(153)</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tcPr>
          <w:p>
            <w:pPr>
              <w:spacing w:after="0" w:line="143" w:lineRule="exact"/>
              <w:rPr>
                <w:sz w:val="20"/>
                <w:szCs w:val="20"/>
                <w:color w:val="auto"/>
              </w:rPr>
            </w:pPr>
            <w:r>
              <w:rPr>
                <w:rFonts w:ascii="Arial" w:cs="Arial" w:eastAsia="Arial" w:hAnsi="Arial"/>
                <w:sz w:val="14"/>
                <w:szCs w:val="14"/>
                <w:color w:val="auto"/>
                <w:w w:val="97"/>
              </w:rPr>
              <w:t>Issuance of common stock under restricted stock unit awards,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color w:val="auto"/>
              </w:rPr>
              <w:t>net of shares surrendered</w:t>
            </w: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color w:val="auto"/>
              </w:rPr>
              <w:t>Balance at October 31, 2019</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73,226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266,582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402,131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w:t>
            </w: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(222,375)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446,550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Balance at April 30, 2019</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72,864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263,180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402,946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(222,375)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444,444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173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 interest rate swap, net of tax</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effect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(481)</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40" w:type="dxa"/>
            <w:vAlign w:val="bottom"/>
          </w:tcPr>
          <w:p>
            <w:pPr>
              <w:spacing w:after="0" w:line="143" w:lineRule="exact"/>
              <w:rPr>
                <w:sz w:val="20"/>
                <w:szCs w:val="20"/>
                <w:color w:val="auto"/>
              </w:rPr>
            </w:pPr>
            <w:r>
              <w:rPr>
                <w:rFonts w:ascii="Arial" w:cs="Arial" w:eastAsia="Arial" w:hAnsi="Arial"/>
                <w:sz w:val="14"/>
                <w:szCs w:val="14"/>
                <w:color w:val="auto"/>
                <w:w w:val="97"/>
              </w:rPr>
              <w:t>Issuance of common stock under restricted stock unit awards,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color w:val="auto"/>
              </w:rPr>
              <w:t>net of shares surrendered</w:t>
            </w:r>
          </w:p>
        </w:tc>
        <w:tc>
          <w:tcPr>
            <w:tcW w:w="700" w:type="dxa"/>
            <w:vAlign w:val="bottom"/>
          </w:tcPr>
          <w:p>
            <w:pPr>
              <w:jc w:val="right"/>
              <w:spacing w:after="0"/>
              <w:rPr>
                <w:sz w:val="20"/>
                <w:szCs w:val="20"/>
                <w:color w:val="auto"/>
              </w:rPr>
            </w:pPr>
            <w:r>
              <w:rPr>
                <w:rFonts w:ascii="Arial" w:cs="Arial" w:eastAsia="Arial" w:hAnsi="Arial"/>
                <w:sz w:val="14"/>
                <w:szCs w:val="14"/>
                <w:color w:val="auto"/>
              </w:rPr>
              <w:t>174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color w:val="auto"/>
              </w:rPr>
              <w:t>Balance at October 31, 2019</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73,226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266,582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402,131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w:t>
            </w: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(222,375</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446,550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CASH FLOWS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For the Six Months Ended October 31,</w:t>
            </w:r>
          </w:p>
        </w:tc>
        <w:tc>
          <w:tcPr>
            <w:tcW w:w="0" w:type="dxa"/>
            <w:vAlign w:val="bottom"/>
          </w:tcPr>
          <w:p>
            <w:pPr>
              <w:spacing w:after="0"/>
              <w:rPr>
                <w:sz w:val="1"/>
                <w:szCs w:val="1"/>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gridSpan w:val="4"/>
          </w:tcPr>
          <w:p>
            <w:pPr>
              <w:jc w:val="right"/>
              <w:ind w:right="105"/>
              <w:spacing w:after="0" w:line="155" w:lineRule="exact"/>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Net (loss)/income</w:t>
            </w:r>
          </w:p>
        </w:tc>
        <w:tc>
          <w:tcPr>
            <w:tcW w:w="18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(used in)/provided by operating</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8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Loss/(gain) on sale/disposition of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Provision for losses on notes and accounts receivable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(9,114)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(37,443)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(22,482)</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Accrued payroll and incentives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(10,833)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profit sharing</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Accrued expenses and deferred revenue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(12,052)</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warranty</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non-current liabilities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in)/provided by operating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(34,606)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Payments to acquire patents and software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Payments to acquire property and equipment</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(19,605)</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loans and notes payable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Payments on finance lease obligation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notes and loans payable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(28,150)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(53,150)</w:t>
            </w:r>
          </w:p>
        </w:tc>
        <w:tc>
          <w:tcPr>
            <w:tcW w:w="0" w:type="dxa"/>
            <w:vAlign w:val="bottom"/>
          </w:tcPr>
          <w:p>
            <w:pPr>
              <w:spacing w:after="0"/>
              <w:rPr>
                <w:sz w:val="1"/>
                <w:szCs w:val="1"/>
                <w:color w:val="auto"/>
              </w:rPr>
            </w:pPr>
          </w:p>
        </w:tc>
      </w:tr>
      <w:tr>
        <w:trPr>
          <w:trHeight w:val="215"/>
        </w:trPr>
        <w:tc>
          <w:tcPr>
            <w:tcW w:w="6980" w:type="dxa"/>
            <w:vAlign w:val="bottom"/>
          </w:tcPr>
          <w:p>
            <w:pPr>
              <w:ind w:left="260"/>
              <w:spacing w:after="0"/>
              <w:rPr>
                <w:sz w:val="20"/>
                <w:szCs w:val="20"/>
                <w:color w:val="auto"/>
              </w:rPr>
            </w:pPr>
            <w:r>
              <w:rPr>
                <w:rFonts w:ascii="Arial" w:cs="Arial" w:eastAsia="Arial" w:hAnsi="Arial"/>
                <w:sz w:val="18"/>
                <w:szCs w:val="18"/>
                <w:color w:val="auto"/>
              </w:rPr>
              <w:t>Proceeds from exercise of options to acquire common stock, including employee</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stock purchase plan</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employee withholding tax related to restricted stock units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by/(used in) financing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increase/(decrease) in cash and cash equivalents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8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Interest</w:t>
            </w:r>
          </w:p>
        </w:tc>
        <w:tc>
          <w:tcPr>
            <w:tcW w:w="18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5,767</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184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4,184</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6980" w:type="dxa"/>
            <w:vAlign w:val="bottom"/>
          </w:tcPr>
          <w:p>
            <w:pPr>
              <w:ind w:left="566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left="260" w:right="246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CASH FLOWS - (Continued) (Unaudited)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2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3"/>
              </w:rPr>
              <w:t>For the Six Months Ended October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20" w:type="dxa"/>
            <w:vAlign w:val="bottom"/>
            <w:gridSpan w:val="2"/>
          </w:tcPr>
          <w:p>
            <w:pPr>
              <w:jc w:val="center"/>
              <w:ind w:right="399"/>
              <w:spacing w:after="0" w:line="155" w:lineRule="exact"/>
              <w:rPr>
                <w:sz w:val="20"/>
                <w:szCs w:val="20"/>
                <w:color w:val="auto"/>
              </w:rPr>
            </w:pPr>
            <w:r>
              <w:rPr>
                <w:rFonts w:ascii="Arial" w:cs="Arial" w:eastAsia="Arial" w:hAnsi="Arial"/>
                <w:sz w:val="14"/>
                <w:szCs w:val="14"/>
                <w:color w:val="auto"/>
                <w:w w:val="93"/>
              </w:rPr>
              <w:t>(In thousands)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246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66</w:t>
            </w:r>
          </w:p>
        </w:tc>
        <w:tc>
          <w:tcPr>
            <w:tcW w:w="11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funded by capital lease</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16,547</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16,547</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Changes in other assets for operating lease obligations</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11,821</w:t>
            </w:r>
          </w:p>
        </w:tc>
        <w:tc>
          <w:tcPr>
            <w:tcW w:w="11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Change in property and equipment for adoption of ASU 2016-02</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3,201</w:t>
            </w:r>
          </w:p>
        </w:tc>
        <w:tc>
          <w:tcPr>
            <w:tcW w:w="1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Changes in finance lease liabilities for the adoption of ASU 2016-02</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(4,245)</w:t>
            </w:r>
          </w:p>
        </w:tc>
        <w:tc>
          <w:tcPr>
            <w:tcW w:w="11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Changes in lease liabilities for operating lease obligations</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w w:val="98"/>
              </w:rPr>
              <w:t>12,790</w:t>
            </w:r>
          </w:p>
        </w:tc>
        <w:tc>
          <w:tcPr>
            <w:tcW w:w="1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left="260" w:right="21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Thompson/Center Arms, and Gemtech brands. We manufacture our firearm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7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our Outdoor Products &amp; Accessories segment, we design, source, distribute, and manufacture reloading, gunsmithing, and gun cleaning supplies; high-quality stainless steel cutting tools and accessories; flashlights; tree saws and related trimming accessories; shooting supplies, rests, and other related accessories; fishing accessories; apparel; vault accessories; laser grips and laser sights; and a full range of products for survival and emergency preparedness. We sell our products under the Caldwell, Crimson Trace, Wheeler, Tipton, Frankford Arsenal, Schrade, Imperial, Uncle Henry, BUBBA, UST, Lockdown, Hooyman, BOG, Old Timer, LaserLyte, and KeyGear brands. We also offer firearms and non-firearms accessories, such as flashlights and knives, under our brands in our firearms business, including Smith &amp; Wesson, M&amp;P, Performance Center, and Thompson/Center Arms. We develop and market our outdoor products and accessories at our facilities in Columbia, Missouri and Wilsonville, Oregon.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i w:val="1"/>
          <w:iCs w:val="1"/>
          <w:color w:val="auto"/>
        </w:rPr>
        <w:t xml:space="preserve">Interim Financial Information – </w:t>
      </w:r>
      <w:r>
        <w:rPr>
          <w:rFonts w:ascii="Arial" w:cs="Arial" w:eastAsia="Arial" w:hAnsi="Arial"/>
          <w:sz w:val="17"/>
          <w:szCs w:val="17"/>
          <w:color w:val="auto"/>
        </w:rPr>
        <w:t>The condensed consolidated balance sheet as of October 31, 2019, the condensed consolidated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income/(loss) and comprehensive income(loss) for the three and six months ended October 31, 2019 and 2018, the condensed consolidated statement of changes in stockholders’ equity for the six months ended October 31, 2019 and 2018, and the condensed consolidated statements of cash flows for the six months ended October 31, 2019 and 2018 have been prepared by us without audit. In our opinion, all adjustments, which include only normal recurring adjustments necessary to fairly present the financial position, results of operations, changes in stockholders’ equity, and cash flows at October 31, 2019 and for the periods presented, have been included. All intercompany transactions have been eliminated in consolidation. The consolidated balance sheet as of April 30, 2019 has been derived from our audited consolidated financial statements.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2019. The results of operations for the six months ended October 31, 2019 may not be indicative of the results that may be expected for the year ending April 30, 2020, or any other period.</w:t>
      </w:r>
    </w:p>
    <w:p>
      <w:pPr>
        <w:spacing w:after="0" w:line="18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We recognize revenue in accordance with the provisions of Accounting Standards Update, or ASU,</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(Topic 606), which became effective for us on May 1, 2018. Generally, all performance obligations are satisfied and revenue is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risks and rewards of ownership have transferred to the customer, which is generally upon shipment but could be delayed until the receipt of customer acceptance.</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some instances, sales include multiple performance obligations. The most common of these instances relates to sales promotion programs that entitle customers to receive free goods based upon their purchase of our products. The fulfillment of these free goods are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revenue proportionally as each performance obligation is satisfied, based on the relative transaction price of each product. The net change in contract liabilities for a given period is reported as an increase or decrease to sales.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Our product sales are generally sold free on board, or FOB, shipping point and provide payment terms to most commercial customers ranging from 20 to 90 days of product shipment with a discount available in certain cases for early payment. For contracts with discounted terms, we determine the transaction price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6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 xml:space="preserve">Recently Issued Accounting Standards – </w:t>
      </w:r>
      <w:r>
        <w:rPr>
          <w:rFonts w:ascii="Arial" w:cs="Arial" w:eastAsia="Arial" w:hAnsi="Arial"/>
          <w:sz w:val="17"/>
          <w:szCs w:val="17"/>
          <w:color w:val="auto"/>
        </w:rPr>
        <w:t>In February 2016, the Financial Accounting Standards Board, or FASB issued ASU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842), or ASU 2016-02, which amends the existing guidance to require lessees to recognize right-of-use assets and lease liabilities in a classified balance sheet. The most prominent among the changes in the standard is the requirement for lessees to recognize right-of-use assets and lease liabilities for those leases classified as operating leases under current U.S. GAAP. The requirements of this ASU are effective for financial statements for annual periods beginning after December 15, 2018, and early adoption is permitted. We utilized leasing software to assist us in the accounting and tracking of leases and used the optional transitional method allowed by ASU 2018-11,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Targeted Improvements. Under this method, we applied the standard using the modified retrospective method with an adoption date of May 1, 2019. We elected to use the package of practical expedients, which permits us to not reassess certain lease contract provisions. We adopted ASU 2016-02 effective May 1, 2019 and recognized right-of-use assets of $11.5 million, and lease liabilities of $12.8 million. The difference between the right-of-use assets and the lease liabilities of $1.3 million is a result of the reclassification of deferred rent and lease incentive liabilities primarily relating to our real estate operating leases into the right-of use assets, which had no impact to retained earnings. See also Note 3 – </w:t>
      </w:r>
      <w:r>
        <w:rPr>
          <w:rFonts w:ascii="Arial" w:cs="Arial" w:eastAsia="Arial" w:hAnsi="Arial"/>
          <w:sz w:val="17"/>
          <w:szCs w:val="17"/>
          <w:i w:val="1"/>
          <w:iCs w:val="1"/>
          <w:color w:val="auto"/>
        </w:rPr>
        <w:t>Leases</w:t>
      </w:r>
      <w:r>
        <w:rPr>
          <w:rFonts w:ascii="Arial" w:cs="Arial" w:eastAsia="Arial" w:hAnsi="Arial"/>
          <w:sz w:val="17"/>
          <w:szCs w:val="17"/>
          <w:color w:val="auto"/>
        </w:rPr>
        <w:t>, for more information.</w:t>
      </w:r>
    </w:p>
    <w:p>
      <w:pPr>
        <w:spacing w:after="0" w:line="18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In June 2016, the FASB issued ASU 2016-13, Financial Instruments — </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(Topic 326): Measurement of Credit Losses on Financial Instruments. The new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this ASU are effective for financial statements for annual periods beginning after December 15, 2019, and early adoption is permitted. While we are currently evaluating the impact this standard will have on our consolidated financial statements, we do not expect that impact to be material.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lease certain of our real estate, machinery, photocopiers, and vehicles under non-cancelable operating lease agreements.</w:t>
      </w:r>
    </w:p>
    <w:p>
      <w:pPr>
        <w:spacing w:after="0" w:line="225"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Operating lease assets and liabilities are recognized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expense is recognized on a straight-line basis over the lease term. Tenant improvement allowances are recorded as an offsetting adjustment included in our calculation of the respective right-of-use asset.</w:t>
      </w:r>
    </w:p>
    <w:p>
      <w:pPr>
        <w:spacing w:after="0" w:line="173"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Many of our leases include renewal options that can extend the lease term. The execution of those renewal options is at our sole discretion and reflected in the lease term when they are reasonably certain to be exercised. The depreciable life of assets and leasehold improvements are limited by the expected lease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amounts of assets and liabilities related to our operating and financing leases as of October 31, 2019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40" w:type="dxa"/>
            <w:vAlign w:val="bottom"/>
            <w:gridSpan w:val="2"/>
          </w:tcPr>
          <w:p>
            <w:pPr>
              <w:ind w:left="1200"/>
              <w:spacing w:after="0"/>
              <w:rPr>
                <w:sz w:val="20"/>
                <w:szCs w:val="20"/>
                <w:color w:val="auto"/>
              </w:rPr>
            </w:pPr>
            <w:r>
              <w:rPr>
                <w:rFonts w:ascii="Arial" w:cs="Arial" w:eastAsia="Arial" w:hAnsi="Arial"/>
                <w:sz w:val="14"/>
                <w:szCs w:val="14"/>
                <w:b w:val="1"/>
                <w:bCs w:val="1"/>
                <w:color w:val="auto"/>
              </w:rPr>
              <w:t>Balance Sheet Caption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October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3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Right-of-use assets</w:t>
            </w: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3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Right-of-use assets, net</w:t>
            </w:r>
          </w:p>
        </w:tc>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4040" w:type="dxa"/>
            <w:vAlign w:val="bottom"/>
            <w:gridSpan w:val="2"/>
          </w:tcPr>
          <w:p>
            <w:pPr>
              <w:spacing w:after="0"/>
              <w:rPr>
                <w:sz w:val="20"/>
                <w:szCs w:val="20"/>
                <w:color w:val="auto"/>
              </w:rPr>
            </w:pPr>
            <w:r>
              <w:rPr>
                <w:rFonts w:ascii="Arial" w:cs="Arial" w:eastAsia="Arial" w:hAnsi="Arial"/>
                <w:sz w:val="18"/>
                <w:szCs w:val="18"/>
                <w:color w:val="auto"/>
              </w:rPr>
              <w:t>Accrued expenses and deferred revenue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operating lease liabilities</w:t>
            </w:r>
          </w:p>
        </w:tc>
        <w:tc>
          <w:tcPr>
            <w:tcW w:w="38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Leases</w:t>
            </w:r>
          </w:p>
        </w:tc>
        <w:tc>
          <w:tcPr>
            <w:tcW w:w="3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Right-of-use assets</w:t>
            </w: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3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Right-of-use assets, net</w:t>
            </w:r>
          </w:p>
        </w:tc>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4040" w:type="dxa"/>
            <w:vAlign w:val="bottom"/>
            <w:gridSpan w:val="2"/>
          </w:tcPr>
          <w:p>
            <w:pPr>
              <w:spacing w:after="0"/>
              <w:rPr>
                <w:sz w:val="20"/>
                <w:szCs w:val="20"/>
                <w:color w:val="auto"/>
              </w:rPr>
            </w:pPr>
            <w:r>
              <w:rPr>
                <w:rFonts w:ascii="Arial" w:cs="Arial" w:eastAsia="Arial" w:hAnsi="Arial"/>
                <w:sz w:val="18"/>
                <w:szCs w:val="18"/>
                <w:color w:val="auto"/>
              </w:rPr>
              <w:t>Accrued expenses and deferred revenue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payable, net of current portion</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Total finance lease liabilities</w:t>
            </w: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recorded $928,000 of operating lease costs, of which $279,000 were short-term, $526,000 of financing lease amortization, and $518,000 of financing lease interest expense during the three months ended October 31, 2019. We recorded $1.9 million of operating lease costs, of which $479,000 were short-term, $1.1 million of financing lease amortization, and $1.0 million of financing lease interest expense during the six months ended October 31, 2019. As of October 31, 2019, our weighted average lease term and weighted average discount rate for our operating leases was 4.6 years and 4.5%, respectively. As of October 31, 2019, our weighted average lease term and weighted average discount rate for our financing leases was 19.0 years and 5.0%, respectively, and consists primarily of our national logistics facility located in Columbia, Missouri. The depreciable lives of right-of-use assets are limited by the lease term and are amortized on a straight-line basis over the life of the lease.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lease payments for all our operating and finance leases for succeeding fiscal years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2021</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2023</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2025</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48,783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49,462</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future lease payments</w:t>
            </w:r>
          </w:p>
        </w:tc>
        <w:tc>
          <w:tcPr>
            <w:tcW w:w="2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13,317</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65,726</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79,043</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Less amounts representing interest</w:t>
            </w:r>
          </w:p>
        </w:tc>
        <w:tc>
          <w:tcPr>
            <w:tcW w:w="2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(24,391)</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(26,051)</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Present value of lease payments</w:t>
            </w:r>
          </w:p>
        </w:tc>
        <w:tc>
          <w:tcPr>
            <w:tcW w:w="2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11,657</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52,992</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 of lease liabilities</w:t>
            </w:r>
          </w:p>
        </w:tc>
        <w:tc>
          <w:tcPr>
            <w:tcW w:w="2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Long-term maturities of lease liabilities</w:t>
            </w:r>
          </w:p>
        </w:tc>
        <w:tc>
          <w:tcPr>
            <w:tcW w:w="2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8,824</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40,389</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49,213</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During the three and six months ended October 31, 2019, the cash paid for amounts included in the measurement of the liabilities and the operating cash flows was $1.4 million and $2.8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 and Contracts with Customers:</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 xml:space="preserve">On May 1, 2018, we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or ASU 2014-09, using the modified retrospective approach, and recorded a contract liability, included in accrued expenses in the condensed consolidated balance sheet, for outstanding performance obligations related to sales promotions. When evaluating our performance obligations, we disaggregate revenue based on major product lines, which correlate with our reportable segments disclosed in Note 12 —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Also, domestic sales account for approximately 95% of our total net sales. There are no significant judgments or estimates used in the determination of performance obligations, and the transaction price for the performance obligations are allocated on a pro-rata basis. There are no other contract costs that need to be considered based on the nature of our performance obligations.</w:t>
      </w:r>
    </w:p>
    <w:p>
      <w:pPr>
        <w:spacing w:after="0" w:line="16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 outlines the impact of the adoption of ASU 2014-09 on revenue recognized during the six-month periods ended October 31, 2019 and 2018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CFF0FC"/>
            </w:tcBorders>
          </w:tcPr>
          <w:p>
            <w:pPr>
              <w:spacing w:after="0"/>
              <w:rPr>
                <w:sz w:val="18"/>
                <w:szCs w:val="18"/>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Outstanding performance obligations at beginning of period</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23,305</w:t>
            </w:r>
          </w:p>
        </w:tc>
        <w:tc>
          <w:tcPr>
            <w:tcW w:w="28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Revenue recognized</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(14,571)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(13,998)</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Revenue deferred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280" w:type="dxa"/>
            <w:vAlign w:val="bottom"/>
            <w:shd w:val="clear" w:color="auto" w:fill="CFF0FC"/>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Outstanding performance obligations at July 31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13,621</w:t>
            </w:r>
          </w:p>
        </w:tc>
        <w:tc>
          <w:tcPr>
            <w:tcW w:w="28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(12,337)</w:t>
            </w: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deferred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280" w:type="dxa"/>
            <w:vAlign w:val="bottom"/>
            <w:tcBorders>
              <w:bottom w:val="single" w:sz="8" w:color="CFF0FC"/>
            </w:tcBorders>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performance obligations as of October 31</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8,951</w:t>
            </w:r>
          </w:p>
        </w:tc>
        <w:tc>
          <w:tcPr>
            <w:tcW w:w="28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During the six months ended October 31, 2019, we recognized $22.3 million of deferred revenue, of which $10.5 million was previously deferred as of April 30, 2019, as the performance obligations relating to sales promotions were satisfied. This recognition of revenue was partially offset by $15.6 million of additional deferred revenue for outstanding performance obligations relating to sales promotions that have not been satisfied, which was recorded to accrued expenses in the condensed consolidation balance sheet. This resulted in a $6.7 million net increase in revenue during the six months ended October 31, 2019. We estimate that revenue from the outstanding performance obligations as of October 31, 2019 will be recognized during fiscal 2020.</w:t>
      </w:r>
    </w:p>
    <w:p>
      <w:pPr>
        <w:spacing w:after="0" w:line="158" w:lineRule="exact"/>
        <w:rPr>
          <w:sz w:val="20"/>
          <w:szCs w:val="20"/>
          <w:color w:val="auto"/>
        </w:rPr>
      </w:pPr>
    </w:p>
    <w:p>
      <w:pPr>
        <w:jc w:val="both"/>
        <w:ind w:right="40" w:firstLine="518"/>
        <w:spacing w:after="0" w:line="257" w:lineRule="auto"/>
        <w:rPr>
          <w:sz w:val="20"/>
          <w:szCs w:val="20"/>
          <w:color w:val="auto"/>
        </w:rPr>
      </w:pPr>
      <w:r>
        <w:rPr>
          <w:rFonts w:ascii="Arial" w:cs="Arial" w:eastAsia="Arial" w:hAnsi="Arial"/>
          <w:sz w:val="18"/>
          <w:szCs w:val="18"/>
          <w:color w:val="auto"/>
        </w:rPr>
        <w:t>During the six months ended October 31, 2018, we recognized $26.3 million of revenue previously deferred, most of which was deferred as of May 1, 2018, the date we adopted ASU 2014-09, as the performance obligations relating to sales promotions were satisfied. This recognition of revenue was partially offset by $12.0 million of additional deferred revenue for outstanding performance obligations relating to sales promotions that have not been satisfied, which was recorded to accrued expenses in the condensed consolidated balance sheet. This resulted in a $14.3 million net increase in revenue during the six months ended October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changes in the carrying amount of goodwill for the three and six months ended October 31, 2019 by reporting segment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Outdoor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Products &amp;</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Firearms</w:t>
            </w: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Accessories</w:t>
            </w:r>
          </w:p>
        </w:tc>
        <w:tc>
          <w:tcPr>
            <w:tcW w:w="24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Total</w:t>
            </w:r>
          </w:p>
        </w:tc>
      </w:tr>
      <w:tr>
        <w:trPr>
          <w:trHeight w:val="17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2019</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July 31, 2019</w:t>
            </w: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163,243</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October 31, 2019</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more detail on segment financial information.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intangible assets as of October 31, 2019 and April 30,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October 31, 2019</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April 30, 2019</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Net Carrying</w:t>
            </w:r>
          </w:p>
        </w:tc>
      </w:tr>
      <w:tr>
        <w:trPr>
          <w:trHeight w:val="171"/>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(41,643)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(11,454)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(10,428)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and trade names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57,747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(31,399)</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(28,479)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28,998</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Backlog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(1,150)</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3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172,687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(91,315)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81,372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(81,700)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Patents in progress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 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173,651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(91,315)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82,336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173,314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(81,700)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(91,315</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(81,700</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518"/>
        <w:spacing w:after="0" w:line="276" w:lineRule="auto"/>
        <w:rPr>
          <w:sz w:val="20"/>
          <w:szCs w:val="20"/>
          <w:color w:val="auto"/>
        </w:rPr>
      </w:pPr>
      <w:r>
        <w:rPr>
          <w:rFonts w:ascii="Arial" w:cs="Arial" w:eastAsia="Arial" w:hAnsi="Arial"/>
          <w:sz w:val="17"/>
          <w:szCs w:val="17"/>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$4.8 million and $5.5 million for the three months ended October 31, 2019 and 2018, respectively. Amortization expense, excluding amortization of deferred financing costs, amounted to $9.7 million and $11.0 million for the six months ended October 31, 2019 and 2018, respectively.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Estimated amortization expense of intangible assets for the remainder of fiscal 2020 and succeeding fiscal years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16,608</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14,222</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18,968</w:t>
            </w: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Loans Payable, and Financing Arrangements:</w:t>
      </w:r>
    </w:p>
    <w:p>
      <w:pPr>
        <w:spacing w:after="0" w:line="121" w:lineRule="exact"/>
        <w:rPr>
          <w:sz w:val="20"/>
          <w:szCs w:val="20"/>
          <w:color w:val="auto"/>
        </w:rPr>
      </w:pPr>
    </w:p>
    <w:p>
      <w:pPr>
        <w:ind w:right="80" w:firstLine="518"/>
        <w:spacing w:after="0" w:line="283" w:lineRule="auto"/>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 On June 15, 2015, we and certain of our domestic subsidiaries entered into an unsecured credit facility, or the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TD Bank, N.A. and other lenders, or the Lenders, which included a $175.0 million revolving line of credit, or the Revolving Line, and a $105.0 million term loan, or the Term Loan, of which $78.2 million remained outstanding as of October 31, 2019.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On November 22, 2019, we entered into a fifth amendment to our Credit Agreement, or the Fifth Amendment, which, among other things, provides the Lenders’ consent to the spin-off of the Outdoor Products &amp; Accessories business, provided that certain financial conditions are satisfied, including (x) granting the Lenders security interest in the assets of the remaining business,</w:t>
      </w:r>
    </w:p>
    <w:p>
      <w:pPr>
        <w:spacing w:after="0" w:line="7" w:lineRule="exact"/>
        <w:rPr>
          <w:sz w:val="20"/>
          <w:szCs w:val="20"/>
          <w:color w:val="auto"/>
        </w:rPr>
      </w:pPr>
    </w:p>
    <w:p>
      <w:pPr>
        <w:ind w:right="24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reducing the Revolving Line to $250.0 million at the time of the spin-off, and (z) reducing the option to expand the credit agreement to $50.0 million at the time of the spin-off. Other than the changes described in the Second and Fifth Amendments, we otherwise remain subject to the terms of the Credit Agreement, as described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ind w:left="320" w:right="206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jc w:val="both"/>
        <w:ind w:right="160" w:firstLine="518"/>
        <w:spacing w:after="0" w:line="286" w:lineRule="auto"/>
        <w:rPr>
          <w:sz w:val="20"/>
          <w:szCs w:val="20"/>
          <w:color w:val="auto"/>
        </w:rPr>
      </w:pPr>
      <w:r>
        <w:rPr>
          <w:rFonts w:ascii="Arial" w:cs="Arial" w:eastAsia="Arial" w:hAnsi="Arial"/>
          <w:sz w:val="17"/>
          <w:szCs w:val="17"/>
          <w:color w:val="auto"/>
        </w:rPr>
        <w:t>As of October 31, 2019, we had $50.0 million of borrowings outstanding on the Revolving Line, which bore interest at 4.13%, which is equal to the LIBOR rate plus an applicable margin. The Term Loan, which bears interest at a variable rate, requires principal payments of $6.3 million per annum plus interest, payable quarterly. The Term Loan was paid in full on November 19, 2019 with proceeds from the Revolving Line.</w:t>
      </w:r>
    </w:p>
    <w:p>
      <w:pPr>
        <w:spacing w:after="0" w:line="166"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October 31, 2019, our interest rate on the Term Loan was 4.29%.</w:t>
      </w:r>
    </w:p>
    <w:p>
      <w:pPr>
        <w:spacing w:after="0" w:line="178"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As of October 31, 2019, the interest rate swap was considered effective and had no effect on earnings. The fair value of the interest rate swap on October 31, 2019 was an asset of $92,000, which was recorded in other assets on our condensed consolidated balance sheet. In accordance with the repayment of the Term Loan on November 19, 2019, the interest rate swap was terminated causing a small gain in the amount of approximately $40,000.</w:t>
      </w:r>
    </w:p>
    <w:p>
      <w:pPr>
        <w:spacing w:after="0" w:line="17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2020 Senior Notes </w:t>
      </w:r>
      <w:r>
        <w:rPr>
          <w:rFonts w:ascii="Arial" w:cs="Arial" w:eastAsia="Arial" w:hAnsi="Arial"/>
          <w:sz w:val="18"/>
          <w:szCs w:val="18"/>
          <w:color w:val="auto"/>
        </w:rPr>
        <w:t>– On February 28, 2018, we issued an aggregate of $75.0 million of the 2020 Senior Notes to various institutional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As of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On December 5, 2019, we issued a notice of redemption to holders of our outstanding 5.000% Senior Notes that we intend to redeem all of our outstanding 5.000% Senior Notes on January 6, 2020, or the Redemption Date. The redemption price for the 5.000% Senior Notes will be 100% of the principal amount of the 5.000% Senior Notes, plus accrued and unpaid interest to, but not including, the Redemption Date.</w:t>
      </w:r>
    </w:p>
    <w:p>
      <w:pPr>
        <w:spacing w:after="0" w:line="15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October 31, 2019, we had outstanding letters of credit aggregating $1.0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We follow the provisions of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93"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Financial assets and liabilities recorded on the accompanying condensed consolidated balance sheets are categorized based on the inputs to the valuation techniques as follows:</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 at the measurement date (examples include active exchange-traded equity securities, listed derivatives, and most U.S. Government and agency securities).</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cash and cash equivalents, which are measured at fair value on a recurring basis, totaled $43.8 million and $41.0 million as of October 31, 2019 and April 30, 2019, respectively. We utilized Level 1 of the value hierarchy to determine the fair values of these assets.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of instruments with similar attributes in active markets. Level 2 inputs include the following:</w:t>
      </w:r>
    </w:p>
    <w:p>
      <w:pPr>
        <w:spacing w:after="0" w:line="62" w:lineRule="exact"/>
        <w:rPr>
          <w:sz w:val="20"/>
          <w:szCs w:val="20"/>
          <w:color w:val="auto"/>
        </w:rPr>
      </w:pPr>
    </w:p>
    <w:p>
      <w:pPr>
        <w:ind w:left="900" w:hanging="379"/>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non-active markets (such as corporate and municipal bonds which trade infrequently);</w:t>
      </w:r>
    </w:p>
    <w:p>
      <w:pPr>
        <w:spacing w:after="0" w:line="140" w:lineRule="exact"/>
        <w:rPr>
          <w:rFonts w:ascii="Arial" w:cs="Arial" w:eastAsia="Arial" w:hAnsi="Arial"/>
          <w:sz w:val="16"/>
          <w:szCs w:val="16"/>
          <w:color w:val="auto"/>
        </w:rPr>
      </w:pPr>
    </w:p>
    <w:p>
      <w:pPr>
        <w:ind w:left="900" w:right="60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substantially the full term of the asset or liability (such as interest rate and currency swaps); and</w:t>
      </w:r>
    </w:p>
    <w:p>
      <w:pPr>
        <w:spacing w:after="0" w:line="62" w:lineRule="exact"/>
        <w:rPr>
          <w:rFonts w:ascii="Arial" w:cs="Arial" w:eastAsia="Arial" w:hAnsi="Arial"/>
          <w:sz w:val="18"/>
          <w:szCs w:val="18"/>
          <w:color w:val="auto"/>
        </w:rPr>
      </w:pPr>
    </w:p>
    <w:p>
      <w:pPr>
        <w:ind w:left="900" w:right="16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 xml:space="preserve">The carrying value of our Term Loan approximated the fair value as of October 31, 2019 in considering Level 2 inputs within the hierarchy. The carrying value of our 2020 Senior Notes as of October 31, 2019 approximated the fair value in considering Level 2 inputs within the hierarchy as our 2020 Senior Notes are not frequently traded. The fair value of our interest rate swap was estimated by a third-party using inputs that are observable or that can be corroborated by observable market data, such as interest rate yield curves, and, therefore, is classified within Level 2 of the valuation hierarchy. For more information regarding the interest rate swap, refer to Note 6 — </w:t>
      </w:r>
      <w:r>
        <w:rPr>
          <w:rFonts w:ascii="Arial" w:cs="Arial" w:eastAsia="Arial" w:hAnsi="Arial"/>
          <w:sz w:val="17"/>
          <w:szCs w:val="17"/>
          <w:i w:val="1"/>
          <w:iCs w:val="1"/>
          <w:color w:val="auto"/>
        </w:rPr>
        <w:t>Notes, Loans Payable, and Financing Arrangements</w:t>
      </w:r>
      <w:r>
        <w:rPr>
          <w:rFonts w:ascii="Arial" w:cs="Arial" w:eastAsia="Arial" w:hAnsi="Arial"/>
          <w:sz w:val="17"/>
          <w:szCs w:val="17"/>
          <w:color w:val="auto"/>
        </w:rPr>
        <w:t>.</w:t>
      </w:r>
    </w:p>
    <w:p>
      <w:pPr>
        <w:spacing w:after="0" w:line="173"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reflect our assumptions about the assumptions a market participant would use in pricing the asset or liability.</w:t>
      </w:r>
    </w:p>
    <w:p>
      <w:pPr>
        <w:spacing w:after="0" w:line="18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The acquisition-related contingent consideration liability represents the estimated fair value of additional future earn-outs payable for acquisitions of businesses that included earn-out clauses. The valuation of the contingent consideration will be evaluated on an ongoing basis and is based on management estimates and entity-specific assumptions, which are considered Level 3 inputs.</w:t>
      </w:r>
    </w:p>
    <w:p>
      <w:pPr>
        <w:spacing w:after="0" w:line="18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 xml:space="preserve">In connection with the Gemtech acquisition, up to a maximum of $17.1 million may be paid contingent upon the cumulative three-year sales volume of Gemtech products. The valuation of this contingent consideration liability was established in accordance with ASC 805 — </w:t>
      </w:r>
      <w:r>
        <w:rPr>
          <w:rFonts w:ascii="Arial" w:cs="Arial" w:eastAsia="Arial" w:hAnsi="Arial"/>
          <w:sz w:val="16"/>
          <w:szCs w:val="16"/>
          <w:i w:val="1"/>
          <w:iCs w:val="1"/>
          <w:color w:val="auto"/>
        </w:rPr>
        <w:t>Business Combinations</w:t>
      </w:r>
      <w:r>
        <w:rPr>
          <w:rFonts w:ascii="Arial" w:cs="Arial" w:eastAsia="Arial" w:hAnsi="Arial"/>
          <w:sz w:val="16"/>
          <w:szCs w:val="16"/>
          <w:color w:val="auto"/>
        </w:rPr>
        <w:t>. During the six months ended October 31, 2019, we reduced the remaining fair value of this contingent liability by $100,000 to zero because we confirmed the performance metrics were not achieved. This reduction was recorded in other income on the condensed consolidated statements of income/(loss).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summary of inventories, net of reserves, stated at lower of cost or net realizable value, as of October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2018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October 31, 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138,085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Finished parts</w:t>
            </w:r>
          </w:p>
        </w:tc>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42,823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4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w:t>
            </w:r>
          </w:p>
        </w:tc>
        <w:tc>
          <w:tcPr>
            <w:tcW w:w="4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inventories</w:t>
            </w:r>
          </w:p>
        </w:tc>
        <w:tc>
          <w:tcPr>
            <w:tcW w:w="44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201,213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440" w:type="dxa"/>
            <w:vAlign w:val="bottom"/>
            <w:vMerge w:val="restart"/>
          </w:tcPr>
          <w:p>
            <w:pPr>
              <w:jc w:val="right"/>
              <w:ind w:right="197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Deferred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other accrued expenses as of October 31, 2019 and April 30,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 2019</w:t>
            </w:r>
          </w:p>
        </w:tc>
        <w:tc>
          <w:tcPr>
            <w:tcW w:w="24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taxes other than income</w:t>
            </w:r>
          </w:p>
        </w:tc>
        <w:tc>
          <w:tcPr>
            <w:tcW w:w="1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Accrued rebates and promotions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benefits</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Right-of-use lease liabilities</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Accrued distributor incentives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Accrued commissions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Current portion of capital lease obligation</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Total accrued expenses and deferred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42,545</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39,322</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following table provides a reconciliation of the net income/(loss) amounts and weighted average number of common and common equivalent shares used to determine basic and diluted earnings per share for the three and six months ended October 31, 2019 and 2018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w w:val="96"/>
              </w:rPr>
              <w:t>For the Three Months Ended October 31,</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3"/>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ind w:right="380"/>
              <w:spacing w:after="0" w:line="147" w:lineRule="exact"/>
              <w:rPr>
                <w:sz w:val="20"/>
                <w:szCs w:val="20"/>
                <w:color w:val="auto"/>
              </w:rPr>
            </w:pPr>
            <w:r>
              <w:rPr>
                <w:rFonts w:ascii="Arial" w:cs="Arial" w:eastAsia="Arial" w:hAnsi="Arial"/>
                <w:sz w:val="14"/>
                <w:szCs w:val="14"/>
                <w:b w:val="1"/>
                <w:bCs w:val="1"/>
                <w:color w:val="auto"/>
                <w:w w:val="97"/>
              </w:rPr>
              <w:t>Net</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5"/>
          </w:tcPr>
          <w:p>
            <w:pPr>
              <w:ind w:left="240"/>
              <w:spacing w:after="0" w:line="147" w:lineRule="exact"/>
              <w:rPr>
                <w:sz w:val="20"/>
                <w:szCs w:val="20"/>
                <w:color w:val="auto"/>
              </w:rPr>
            </w:pPr>
            <w:r>
              <w:rPr>
                <w:rFonts w:ascii="Arial" w:cs="Arial" w:eastAsia="Arial" w:hAnsi="Arial"/>
                <w:sz w:val="14"/>
                <w:szCs w:val="14"/>
                <w:b w:val="1"/>
                <w:bCs w:val="1"/>
                <w:color w:val="auto"/>
              </w:rPr>
              <w:t>Net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2"/>
                <w:szCs w:val="12"/>
                <w:color w:val="auto"/>
              </w:rPr>
            </w:pPr>
          </w:p>
        </w:tc>
      </w:tr>
      <w:tr>
        <w:trPr>
          <w:trHeight w:val="171"/>
        </w:trPr>
        <w:tc>
          <w:tcPr>
            <w:tcW w:w="45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Borders>
              <w:bottom w:val="single" w:sz="8" w:color="CFF0FC"/>
            </w:tcBorders>
            <w:gridSpan w:val="2"/>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CFF0FC"/>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4"/>
                <w:szCs w:val="14"/>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Basic earnings</w:t>
            </w:r>
          </w:p>
        </w:tc>
        <w:tc>
          <w:tcPr>
            <w:tcW w:w="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1,293</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54,912</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54,444</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FF0FC"/>
          </w:tcPr>
          <w:p>
            <w:pPr>
              <w:spacing w:after="0"/>
              <w:rPr>
                <w:sz w:val="18"/>
                <w:szCs w:val="18"/>
                <w:color w:val="auto"/>
              </w:rPr>
            </w:pPr>
          </w:p>
        </w:tc>
      </w:tr>
      <w:tr>
        <w:trPr>
          <w:trHeight w:val="227"/>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dilutive stock awards</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gridSpan w:val="2"/>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512</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9"/>
                <w:szCs w:val="19"/>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w:t>
            </w:r>
          </w:p>
        </w:tc>
        <w:tc>
          <w:tcPr>
            <w:tcW w:w="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1,293</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55,424</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55,107</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FF0FC"/>
          </w:tcPr>
          <w:p>
            <w:pPr>
              <w:spacing w:after="0"/>
              <w:rPr>
                <w:sz w:val="18"/>
                <w:szCs w:val="18"/>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29"/>
        </w:trPr>
        <w:tc>
          <w:tcPr>
            <w:tcW w:w="4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w w:val="96"/>
              </w:rPr>
              <w:t>For the Six Months Ended October 31,</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56"/>
        </w:trPr>
        <w:tc>
          <w:tcPr>
            <w:tcW w:w="45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3"/>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ind w:right="420"/>
              <w:spacing w:after="0" w:line="147" w:lineRule="exact"/>
              <w:rPr>
                <w:sz w:val="20"/>
                <w:szCs w:val="20"/>
                <w:color w:val="auto"/>
              </w:rPr>
            </w:pPr>
            <w:r>
              <w:rPr>
                <w:rFonts w:ascii="Arial" w:cs="Arial" w:eastAsia="Arial" w:hAnsi="Arial"/>
                <w:sz w:val="14"/>
                <w:szCs w:val="14"/>
                <w:b w:val="1"/>
                <w:bCs w:val="1"/>
                <w:color w:val="auto"/>
                <w:w w:val="97"/>
              </w:rPr>
              <w:t>Net</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3"/>
              <w:spacing w:after="0" w:line="147" w:lineRule="exact"/>
              <w:rPr>
                <w:sz w:val="20"/>
                <w:szCs w:val="20"/>
                <w:color w:val="auto"/>
              </w:rPr>
            </w:pPr>
            <w:r>
              <w:rPr>
                <w:rFonts w:ascii="Arial" w:cs="Arial" w:eastAsia="Arial" w:hAnsi="Arial"/>
                <w:sz w:val="14"/>
                <w:szCs w:val="14"/>
                <w:b w:val="1"/>
                <w:bCs w:val="1"/>
                <w:color w:val="auto"/>
                <w:w w:val="91"/>
              </w:rPr>
              <w:t>Per Share</w:t>
            </w:r>
          </w:p>
        </w:tc>
        <w:tc>
          <w:tcPr>
            <w:tcW w:w="2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5"/>
          </w:tcPr>
          <w:p>
            <w:pPr>
              <w:ind w:left="180"/>
              <w:spacing w:after="0" w:line="147" w:lineRule="exact"/>
              <w:rPr>
                <w:sz w:val="20"/>
                <w:szCs w:val="20"/>
                <w:color w:val="auto"/>
              </w:rPr>
            </w:pPr>
            <w:r>
              <w:rPr>
                <w:rFonts w:ascii="Arial" w:cs="Arial" w:eastAsia="Arial" w:hAnsi="Arial"/>
                <w:sz w:val="14"/>
                <w:szCs w:val="14"/>
                <w:b w:val="1"/>
                <w:bCs w:val="1"/>
                <w:color w:val="auto"/>
              </w:rPr>
              <w:t>Net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23"/>
              <w:spacing w:after="0" w:line="147" w:lineRule="exact"/>
              <w:rPr>
                <w:sz w:val="20"/>
                <w:szCs w:val="20"/>
                <w:color w:val="auto"/>
              </w:rPr>
            </w:pPr>
            <w:r>
              <w:rPr>
                <w:rFonts w:ascii="Arial" w:cs="Arial" w:eastAsia="Arial" w:hAnsi="Arial"/>
                <w:sz w:val="14"/>
                <w:szCs w:val="14"/>
                <w:b w:val="1"/>
                <w:bCs w:val="1"/>
                <w:color w:val="auto"/>
                <w:w w:val="91"/>
              </w:rPr>
              <w:t>Per Share</w:t>
            </w:r>
          </w:p>
        </w:tc>
        <w:tc>
          <w:tcPr>
            <w:tcW w:w="220" w:type="dxa"/>
            <w:vAlign w:val="bottom"/>
            <w:gridSpan w:val="2"/>
          </w:tcPr>
          <w:p>
            <w:pPr>
              <w:spacing w:after="0"/>
              <w:rPr>
                <w:sz w:val="12"/>
                <w:szCs w:val="12"/>
                <w:color w:val="auto"/>
              </w:rPr>
            </w:pPr>
          </w:p>
        </w:tc>
      </w:tr>
      <w:tr>
        <w:trPr>
          <w:trHeight w:val="171"/>
        </w:trPr>
        <w:tc>
          <w:tcPr>
            <w:tcW w:w="45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CFF0FC"/>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CFF0FC"/>
            </w:tcBorders>
            <w:gridSpan w:val="2"/>
          </w:tcPr>
          <w:p>
            <w:pPr>
              <w:spacing w:after="0"/>
              <w:rPr>
                <w:sz w:val="14"/>
                <w:szCs w:val="14"/>
                <w:color w:val="auto"/>
              </w:rPr>
            </w:pPr>
          </w:p>
        </w:tc>
        <w:tc>
          <w:tcPr>
            <w:tcW w:w="160" w:type="dxa"/>
            <w:vAlign w:val="bottom"/>
            <w:tcBorders>
              <w:bottom w:val="single" w:sz="8" w:color="auto"/>
            </w:tcBorders>
            <w:gridSpan w:val="2"/>
          </w:tcPr>
          <w:p>
            <w:pPr>
              <w:spacing w:after="0"/>
              <w:rPr>
                <w:sz w:val="14"/>
                <w:szCs w:val="14"/>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Basic earnings</w:t>
            </w:r>
          </w:p>
        </w:tc>
        <w:tc>
          <w:tcPr>
            <w:tcW w:w="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(815)</w:t>
            </w: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54,847</w:t>
            </w:r>
          </w:p>
        </w:tc>
        <w:tc>
          <w:tcPr>
            <w:tcW w:w="40" w:type="dxa"/>
            <w:vAlign w:val="bottom"/>
            <w:shd w:val="clear" w:color="auto" w:fill="CFF0FC"/>
          </w:tcPr>
          <w:p>
            <w:pPr>
              <w:spacing w:after="0"/>
              <w:rPr>
                <w:sz w:val="18"/>
                <w:szCs w:val="18"/>
                <w:color w:val="auto"/>
              </w:rPr>
            </w:pPr>
          </w:p>
        </w:tc>
        <w:tc>
          <w:tcPr>
            <w:tcW w:w="32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(0.01)</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14,310</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54,395</w:t>
            </w:r>
          </w:p>
        </w:tc>
        <w:tc>
          <w:tcPr>
            <w:tcW w:w="8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dilutive stock awards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tcPr>
          <w:p>
            <w:pPr>
              <w:spacing w:after="0"/>
              <w:rPr>
                <w:sz w:val="18"/>
                <w:szCs w:val="18"/>
                <w:color w:val="auto"/>
              </w:rPr>
            </w:pP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w:t>
            </w:r>
          </w:p>
        </w:tc>
        <w:tc>
          <w:tcPr>
            <w:tcW w:w="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(815)</w:t>
            </w: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54,847</w:t>
            </w:r>
          </w:p>
        </w:tc>
        <w:tc>
          <w:tcPr>
            <w:tcW w:w="40" w:type="dxa"/>
            <w:vAlign w:val="bottom"/>
            <w:shd w:val="clear" w:color="auto" w:fill="CFF0FC"/>
          </w:tcPr>
          <w:p>
            <w:pPr>
              <w:spacing w:after="0"/>
              <w:rPr>
                <w:sz w:val="18"/>
                <w:szCs w:val="18"/>
                <w:color w:val="auto"/>
              </w:rPr>
            </w:pPr>
          </w:p>
        </w:tc>
        <w:tc>
          <w:tcPr>
            <w:tcW w:w="32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(0.01)</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14,310</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55,047</w:t>
            </w:r>
          </w:p>
        </w:tc>
        <w:tc>
          <w:tcPr>
            <w:tcW w:w="8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For the three months ended October 31, 2019, options to purchase 45,441 shares of common stock were excluded from the computation of diluted earnings per share because the effect would be antidilutive. All of our outstanding stock options and restricted stock units, or RSUs, were included in the computation of diluted earnings per share for the three months ended October 31, 2018. All of our outstanding stock options and RSUs were included in the computation of diluted earnings per share for the three and six months ended October 31, 2019 and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and Employee Stock Purchase Plans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two incentive stock plans: the 2004 Incentive Stock Plan and the 2013 Incentive Stock Plan. New grants under the 2004 Incentive Stock Plan have not been made since the approval of the 2013 Incentive Stock Plan at our September 23, 2013 annual meeting of stockholders. All new grants covering all participants are issued under the 2013 Incentive Stock Plan. Except in specific circumstances, grants vest over a period of three or four years and stock options are exercisable for a period of 10 years from the date of grant. The plan also permits the grant of awards to non-employees, which our board of directors has authorized in the past.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number of shares and weighted average exercise prices of stock options for the three and six months ended October 31, 2019 and 2018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3"/>
              </w:rPr>
              <w:t>For the Six Months Ended October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bottom w:val="single" w:sz="8" w:color="auto"/>
            </w:tcBorders>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beginning of year</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316,160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(32,899)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w:t>
            </w: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 years</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060" w:type="dxa"/>
            <w:vAlign w:val="bottom"/>
            <w:tcBorders>
              <w:top w:val="single" w:sz="8" w:color="auto"/>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 years</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060" w:type="dxa"/>
            <w:vAlign w:val="bottom"/>
            <w:tcBorders>
              <w:top w:val="single" w:sz="8" w:color="auto"/>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end of period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252,761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283,261</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remaining contractual life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 years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aggregate intrinsic value of outstanding and exercisable stock options as of October 31, 2019 and 2018 was $335,000 and $2.0 million, respectively. The aggregate intrinsic value of stock options exercised in the three and six months ended October 31, 2019 was $100,000. The aggregate intrinsic value of the stock options exercised in the three and six months ended October 31, 2018 was $154,000 and $230,000, respectively. At October 31, 2019, there was no unrecognized compensation expense relating to outstanding stock options.</w:t>
      </w:r>
    </w:p>
    <w:p>
      <w:pPr>
        <w:spacing w:after="0" w:line="18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have an Employee Stock Purchase Plan, or ESPP, in which each participant is granted an option to purchase our common stock on each subsequent exercise date during the offering period (as such terms are defined in the ESPP) in accordance with the terms of the ESPP.</w:t>
      </w:r>
    </w:p>
    <w:p>
      <w:pPr>
        <w:spacing w:after="0" w:line="170"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The total stock-based compensation expense, including stock options, purchases under our ESPP, RSUs, and performance-based RSUs, or PSUs, was $3.0 million and $4.0 million for the six months ended October 31, 2019 and 2018, respectively. Stock-based compensation expense is included in cost of sales, sales and marketing, research and development, and general and administrative expenses.</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grant service-based RSUs to employees and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7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During the six months ended October 31, 2019, we granted an aggregate of 252,911 service-based RSUs, including 137,271 RSUs to non-executive officer employees and 115,640 RSUs to our directors. Compensation expense related to grants of RSUs and PSUs was $2.7 million for the six months ended October 31, 2019. During the six months ended October 31, 2019, we cancelled 156,725 PSUs as a result of the failure to satisfy the performance metric and 67,454 service-based RSUs as a result of the service condition not being met. In connection with the vesting of RSUs, during the six months ended October 31, 2019, we delivered common stock to our employees and directors, including our executive officers, with a total market value of $1.9 million.</w:t>
      </w:r>
    </w:p>
    <w:p>
      <w:pPr>
        <w:spacing w:after="0" w:line="158"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During the six months ended October 31, 2018, we granted an aggregate of 191,085 service-based RSUs, including 141,576 RSUs to non-executive officer employees and 49,509 RSUs to our directors. Compensation expense related to grants of RSUs and PSUs was $3.6 million for the six months ended October 31, 2018. During the six months ended October 31, 2018, we cancelled 112,000 PSUs as a result of the failure to satisfy the performance metric and 16,363 service-based RSUs as a result of the failure to satisfy the service condition. In connection with the vesting of RSUs, during the six months ended October 31, 2018, we delivered common stock to our employees and directors, including our executive officers with a total market value of $2.2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unvested RSUs and PSUs for the six months ended October 31, 2019 and 2018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3"/>
              </w:rPr>
              <w:t>For the Six Months Ended October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65"/>
              <w:spacing w:after="0" w:line="155"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 of</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 #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Grant Date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beginning of period</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1,631,631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1,442,316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Awarded</w:t>
            </w:r>
          </w:p>
        </w:tc>
        <w:tc>
          <w:tcPr>
            <w:tcW w:w="1140" w:type="dxa"/>
            <w:vAlign w:val="bottom"/>
          </w:tcPr>
          <w:p>
            <w:pPr>
              <w:jc w:val="right"/>
              <w:spacing w:after="0"/>
              <w:rPr>
                <w:sz w:val="20"/>
                <w:szCs w:val="20"/>
                <w:color w:val="auto"/>
              </w:rPr>
            </w:pPr>
            <w:r>
              <w:rPr>
                <w:rFonts w:ascii="Arial" w:cs="Arial" w:eastAsia="Arial" w:hAnsi="Arial"/>
                <w:sz w:val="18"/>
                <w:szCs w:val="18"/>
                <w:color w:val="auto"/>
              </w:rPr>
              <w:t>252,911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191,085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(236,489)</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(182,536)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(224,179)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(128,363)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1,423,874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1,322,502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October 31, 2019, there was $6.2 million of unrecognized compensation expense related to unvested RSUs and PSUs. This expense is expected to be recognized over a weighted average remaining contractual term of 1.5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 xml:space="preserve">In January 2018, Gemini Technologies, Incorporated, or Gemini, commenced an action against us in the U.S. District Court for the District of Idaho, or the District Court. The complaint alleges, among other things, that the defendants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In June 2018, Gemini appealed the decision dismissing its complaint to the U.S. Court of Appeals for the Ninth Circuit. On July 24, 2019, the Ninth Circuit reversed the dismissal, and remanded the case to the District Court to perform a traditional forum non conveniens analysis. On September 6, 2019, the parties stipulated that they do not contest that the venue is proper in the District of Idaho. On November 4, 2019, we filed an answer to plaintiff’s complaint and a counterclaim against Gemini and its stockholders at the time of the signing of the Asset Purchase Agreement. We believe the claims asserted in the complaint have no merit, and we intend to aggressively defend this action.</w:t>
      </w:r>
    </w:p>
    <w:p>
      <w:pPr>
        <w:spacing w:after="0" w:line="16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We are a defendant in seven product liability cases and are aware of five other product liability claims, primarily alleging defective product design, defective manufacturing, or failure to provide adequate warnings. In addition, we are a co-defendant in a case filed on August 27, 1999 by the city of Gary, Indiana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On July 8, 2019, defendants filed a Petition to Transfer jurisdiction to the Indiana Supreme Court. Briefing was completed in the Indiana Supreme Court on August 5, 2019. On November 26, 2019, the Indiana Supreme Court denied our petition to transfer. The case will now return to the trial court.</w:t>
      </w:r>
    </w:p>
    <w:p>
      <w:pPr>
        <w:spacing w:after="0" w:line="166"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On November 21, 2019, the court granted defendants’ motion to dismiss plaintiffs’ second amended complaint, with prejudice.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4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On July 31, 2019, our competitor, Sturm, Ruger &amp; Co., Inc., filed a complaint and motion for preliminary injunction against us in the U.S. District Court, District of New Hampshire, seeking injunctive relief and damages. Plaintiff alleges trade dress infringement, involving our Thompson/Center brand T/CR22 rifle, as well as violation of the New Hampshire Consumer Protection Act. A hearing on plaintiff’s motion for preliminary injunction was held in November 2019. On December 2, 2019, plaintiff withdrew its motion for preliminary injunction.</w:t>
      </w:r>
    </w:p>
    <w:p>
      <w:pPr>
        <w:spacing w:after="0" w:line="21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August 2019, Primus Group, LLC filed an action in the U.S. District Court for the Southern District of Ohio Eastern Division against us and other firearms manufacturers, alleging Racketeer Influenced Corrupt Organizations Act (RICO) violations, racketeering enterprise, and intentional misrepresentation. Plaintiff, which operates as an “entertainment venue” in Columbus, Ohio, purports to bring this action on behalf of “all persons entitled to freely attend schools, shopping locations, churches, entertainment venues, and workplaces in the United States without the intrusion of individuals armed with assault weapons.” In addition to compensatory and punitive damages, plaintiff seeks preliminary and permanent injunctive relief enjoining the distribution and sale of “assault weapons.” On August 20, 2019, the court denied without prejudice plaintiff’s Motion for Temporary Restraining Order. On September 3, 2019, defendants moved to dismiss plaintiff’s complaint. On September 16, 2019, plaintiff filed an amended complaint, adding claims of public nuisance, negligent design, and failure to warn. On October 9, 2019, the U.S. District Court granted defendants’ motion, dismissing the case in its entirety. On October 11, 2019, plaintiff filed a notice of appeal with the U.S. Court of Appeals for the Sixth Circuit. On November 1, 2019, the Sixth Circuit dismissed plaintiff’s appeal for failure to pay the required fee. On November 4, 2019, plaintiff-appellant filed, and the Sixth Circuit granted, a motion to reinstate the case. Appellant’s brief is due on December 16, 2019. Our response is due by January 13, 2020.</w:t>
      </w:r>
    </w:p>
    <w:p>
      <w:pPr>
        <w:spacing w:after="0" w:line="183"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70"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$18.6 million. In our experience, initial demands do not generally bear a reasonable relationship to the facts and circumstances of a particular matter. We believe that our accruals for product liability cases and claims, as described below, are a reasonable quantitative measure of the cost to us of product liability cases and claims.</w:t>
      </w:r>
    </w:p>
    <w:p>
      <w:pPr>
        <w:spacing w:after="0" w:line="154"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4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78"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We report our results of operations in two segments: (1) Firearms (which includes Firearms and Manufacturing Services divisions) and (2) Outdoor Products &amp; Accessories. Our two segments are defined based on the reporting and review process used by the chief operating decision maker, our Chief Executive Officer. The Firearms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Firearms segment. The Outdoor Products &amp; Accessories segment is evaluated by a measurement of incoming orders per day and sales and gross margin by customer and brand.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Firearms segment includes our firearms, services, and other components, which we manufacture or provide at our facilities in Springfield, Massachusetts; Houlton, Maine;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our electro-optics products, which we develop, market, and assemble in our Wilsonville, Oregon facility. We report operating costs based on the activities performed within each segment.</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Segment assets are those directly used in or clearly allocable to a reportable segment’s operations. Assets by business segment are presented in the following table as of October 31, 2019 and April 30, 2019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Borders>
              <w:bottom w:val="single" w:sz="8" w:color="auto"/>
            </w:tcBorders>
            <w:gridSpan w:val="5"/>
          </w:tcPr>
          <w:p>
            <w:pPr>
              <w:jc w:val="center"/>
              <w:ind w:left="642"/>
              <w:spacing w:after="0"/>
              <w:rPr>
                <w:sz w:val="20"/>
                <w:szCs w:val="20"/>
                <w:color w:val="auto"/>
              </w:rPr>
            </w:pPr>
            <w:r>
              <w:rPr>
                <w:rFonts w:ascii="Arial" w:cs="Arial" w:eastAsia="Arial" w:hAnsi="Arial"/>
                <w:sz w:val="14"/>
                <w:szCs w:val="14"/>
                <w:b w:val="1"/>
                <w:bCs w:val="1"/>
                <w:color w:val="auto"/>
                <w:w w:val="91"/>
              </w:rPr>
              <w:t>As of October 31, 2019</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As of April 30, 2019</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Outdoor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Outdoor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Firearms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Products &amp;</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Accessories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Accessories</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452,099</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   356,697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808,796</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   389,719</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377,070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766,789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159,347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170,348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Intangibles, net</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4,619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82,562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87,179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Goodwill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19,024</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182,267</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163,245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Results by business segment are presented in the following tables for the three months ended October 31, 2019 and 2018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3"/>
          </w:tcPr>
          <w:p>
            <w:pPr>
              <w:jc w:val="right"/>
              <w:ind w:right="460"/>
              <w:spacing w:after="0"/>
              <w:rPr>
                <w:sz w:val="20"/>
                <w:szCs w:val="20"/>
                <w:color w:val="auto"/>
              </w:rPr>
            </w:pPr>
            <w:r>
              <w:rPr>
                <w:rFonts w:ascii="Arial" w:cs="Arial" w:eastAsia="Arial" w:hAnsi="Arial"/>
                <w:sz w:val="14"/>
                <w:szCs w:val="14"/>
                <w:b w:val="1"/>
                <w:bCs w:val="1"/>
                <w:color w:val="auto"/>
                <w:w w:val="97"/>
              </w:rPr>
              <w:t>For the Three Months Ended October 31, 2019 (a)</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4"/>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Corporate</w:t>
            </w:r>
          </w:p>
        </w:tc>
        <w:tc>
          <w:tcPr>
            <w:tcW w:w="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Accessories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112,884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41,504</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(7,138)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113,717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47,809</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(7,138)</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81,596</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29,226</w:t>
            </w: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32,121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(10,924)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(3,989)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3"/>
          </w:tcPr>
          <w:p>
            <w:pPr>
              <w:jc w:val="right"/>
              <w:ind w:right="460"/>
              <w:spacing w:after="0"/>
              <w:rPr>
                <w:sz w:val="20"/>
                <w:szCs w:val="20"/>
                <w:color w:val="auto"/>
              </w:rPr>
            </w:pPr>
            <w:r>
              <w:rPr>
                <w:rFonts w:ascii="Arial" w:cs="Arial" w:eastAsia="Arial" w:hAnsi="Arial"/>
                <w:sz w:val="14"/>
                <w:szCs w:val="14"/>
                <w:b w:val="1"/>
                <w:bCs w:val="1"/>
                <w:color w:val="auto"/>
                <w:w w:val="97"/>
              </w:rPr>
              <w:t>For the Three Months Ended October 31, 2018 (a)</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7"/>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Accessories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110,994</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50,709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(6,004)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111,756</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55,951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(6,004)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79,912</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30,536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(5,131)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(11,189)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2019 and 2018</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Results by business segment are presented in the following tables for the six months ended October 31, 2019 and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3"/>
          </w:tcPr>
          <w:p>
            <w:pPr>
              <w:jc w:val="right"/>
              <w:ind w:right="540"/>
              <w:spacing w:after="0"/>
              <w:rPr>
                <w:sz w:val="20"/>
                <w:szCs w:val="20"/>
                <w:color w:val="auto"/>
              </w:rPr>
            </w:pPr>
            <w:r>
              <w:rPr>
                <w:rFonts w:ascii="Arial" w:cs="Arial" w:eastAsia="Arial" w:hAnsi="Arial"/>
                <w:sz w:val="14"/>
                <w:szCs w:val="14"/>
                <w:b w:val="1"/>
                <w:bCs w:val="1"/>
                <w:color w:val="auto"/>
              </w:rPr>
              <w:t>For the Six Months Ended October 31, 2019 (a)</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4"/>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Corporate</w:t>
            </w:r>
          </w:p>
        </w:tc>
        <w:tc>
          <w:tcPr>
            <w:tcW w:w="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Accessories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207,443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70,614</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10,410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(12,125)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209,158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81,024</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(12,125)</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141,639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48,369</w:t>
            </w: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67,519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32,655</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14,409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(8,424)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(21,943)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21,984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(7,028)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3"/>
          </w:tcPr>
          <w:p>
            <w:pPr>
              <w:jc w:val="right"/>
              <w:ind w:right="560"/>
              <w:spacing w:after="0"/>
              <w:rPr>
                <w:sz w:val="20"/>
                <w:szCs w:val="20"/>
                <w:color w:val="auto"/>
              </w:rPr>
            </w:pPr>
            <w:r>
              <w:rPr>
                <w:rFonts w:ascii="Arial" w:cs="Arial" w:eastAsia="Arial" w:hAnsi="Arial"/>
                <w:sz w:val="14"/>
                <w:szCs w:val="14"/>
                <w:b w:val="1"/>
                <w:bCs w:val="1"/>
                <w:color w:val="auto"/>
                <w:w w:val="99"/>
              </w:rPr>
              <w:t>For the Six Months Ended October 31, 2018 (a)</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7"/>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Accessories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215,468</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85,068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(9,685)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217,014</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93,207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(9,685)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150,377</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50,910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(21,740)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24,101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690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9" w:lineRule="exact"/>
        <w:rPr>
          <w:sz w:val="20"/>
          <w:szCs w:val="20"/>
          <w:color w:val="auto"/>
        </w:rPr>
      </w:pPr>
    </w:p>
    <w:p>
      <w:pPr>
        <w:ind w:left="380" w:right="24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allocate all of corporate overhead expenses except for interest and income taxes, such as general and administrative expenses and other corporate-level expenses, to both our Firearms and Outdoor Products &amp; Accessories segments.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3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November 12, 2019, our Board of Directors approved proceeding with a plan to spin-off our outdoor products and accessories business as a tax-free stock dividend to our stockholders. Pending final approval of our Board of Directors, customary regulatory approvals, and tax and legal considerations, this spin-off is expected to be completed in the second half of calendar 2020 and would create two independent publicly traded companies: Smith &amp; Wesson Brands, Inc. (which would encompass our firearm business) and American Outdoor Brands, Inc. (which would encompass our outdoor products and accessories business).</w:t>
      </w:r>
    </w:p>
    <w:p>
      <w:pPr>
        <w:spacing w:after="0" w:line="22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purpose of the spin-off is to enable the management team of each company to focus on its specific strategies, including (1) structuring its business to take advantage of growth opportunities in its specific markets; (2) tailoring its business operation and financial model to its specific long-term strategies; and, (3) aligning its external financial resources, such as stock, access to markets, credit, and insurance factors, with its particular type of business. In connection with the proposed spin-off, we expect to incur restructuring charges of approximately $9.0 million to $12.0 million relating to legal, regulatory, and financial services, reorganization and restructuring costs, and start-up costs for the new company beginning in our second quarter of fiscal 2020 and concluding in our the second half of calendar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jc w:val="both"/>
        <w:ind w:right="120" w:firstLine="518"/>
        <w:spacing w:after="0" w:line="286" w:lineRule="auto"/>
        <w:rPr>
          <w:sz w:val="20"/>
          <w:szCs w:val="20"/>
          <w:color w:val="auto"/>
        </w:rPr>
      </w:pPr>
      <w:r>
        <w:rPr>
          <w:rFonts w:ascii="Arial" w:cs="Arial" w:eastAsia="Arial" w:hAnsi="Arial"/>
          <w:sz w:val="17"/>
          <w:szCs w:val="17"/>
          <w:color w:val="auto"/>
        </w:rPr>
        <w:t>Please refer to the Management’s Discussion and Analysis of Financial Condition and Results of Operations in our Annual Report on Form 10-K for the fiscal year ended April 30, 2019 and our unaudited condensed consolidated financial statements included in Item 1 of this Quarterly Report on Form 10-Q. This section sets forth key objectives and performance indicators used by us as well as key industry data tracked by us.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report our results of operations in two segments: (1) Firearms and (2) Outdoor Products &amp; Accessories.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2020 Highlights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three months ended October 31, 2019 included the following:</w:t>
      </w:r>
    </w:p>
    <w:p>
      <w:pPr>
        <w:spacing w:after="0" w:line="117" w:lineRule="exact"/>
        <w:rPr>
          <w:sz w:val="20"/>
          <w:szCs w:val="20"/>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net sales were $154.4 million, a decrease of $7.3 million, or 4.5%, from the comparable quarter last year.</w:t>
      </w:r>
    </w:p>
    <w:p>
      <w:pPr>
        <w:spacing w:after="0" w:line="117" w:lineRule="exact"/>
        <w:rPr>
          <w:rFonts w:ascii="Arial" w:cs="Arial" w:eastAsia="Arial" w:hAnsi="Arial"/>
          <w:sz w:val="18"/>
          <w:szCs w:val="18"/>
          <w:color w:val="auto"/>
        </w:rPr>
      </w:pPr>
    </w:p>
    <w:p>
      <w:pPr>
        <w:ind w:left="900" w:hanging="379"/>
        <w:spacing w:after="0" w:line="28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Firearms segment gross sales were $113.7 million, which included $833,000 of inter-segment revenue, an increase of $2.0 million, or 1.8%, over the comparable quarter last year, primarily because of increased handgun sales and a change in the timing of our federal excise tax obligation that resulted in an increase in revenue and a corresponding increase in cost of sales. This change was a direct result of the opening of our distribution center in June 2019 and was caused by the Tax and Trade Bureau denying our petition and requiring us to assess federal excise tax on the first transfer of a firearm. Starting in June 2019, we began transferring all completed firearms to our new distribution center and became required to assess federal excise tax at that point. Previously, we assessed federal excise tax at the point of sale to our third-party customers, allowing us to reduce the invoice value of our firearms by the federal excise tax assessed. This tax is now a cost of inventory at the distribution center and results in sales to our customers and the related cost of sales both being increased by the tax amount. This change does not impact gross profit dollars but results in a reduction in gross margin percentage. The impact during the three months ended October 31, 2019 was an $8.1 million increase in sales and cost of sales and a 2.2% decrease in gross margin percentage.</w:t>
      </w:r>
    </w:p>
    <w:p>
      <w:pPr>
        <w:spacing w:after="0" w:line="61" w:lineRule="exact"/>
        <w:rPr>
          <w:rFonts w:ascii="Arial" w:cs="Arial" w:eastAsia="Arial" w:hAnsi="Arial"/>
          <w:sz w:val="16"/>
          <w:szCs w:val="16"/>
          <w:color w:val="auto"/>
        </w:rPr>
      </w:pPr>
    </w:p>
    <w:p>
      <w:pPr>
        <w:ind w:left="900" w:right="26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Outdoor Products &amp; Accessories segment gross sales were $47.8 million, which included $6.3 million of inter-segment revenue, a decrease of $8.1 million, or 14.6%, from the comparable quarter last year.</w:t>
      </w:r>
    </w:p>
    <w:p>
      <w:pPr>
        <w:spacing w:after="0" w:line="62" w:lineRule="exact"/>
        <w:rPr>
          <w:rFonts w:ascii="Arial" w:cs="Arial" w:eastAsia="Arial" w:hAnsi="Arial"/>
          <w:sz w:val="18"/>
          <w:szCs w:val="18"/>
          <w:color w:val="auto"/>
        </w:rPr>
      </w:pPr>
    </w:p>
    <w:p>
      <w:pPr>
        <w:ind w:left="900" w:right="100" w:hanging="379"/>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Consolidated gross margin was 32.6%, a decrease of 230 basis points from the comparable quarter last year. Excluding the impact of the change in federal excise tax treatment, gross margin would have been 34.4%, or a decrease of 50 basis points from the comparable quarter last year.</w:t>
      </w:r>
    </w:p>
    <w:p>
      <w:pPr>
        <w:spacing w:after="0" w:line="15" w:lineRule="exact"/>
        <w:rPr>
          <w:rFonts w:ascii="Arial" w:cs="Arial" w:eastAsia="Arial" w:hAnsi="Arial"/>
          <w:sz w:val="16"/>
          <w:szCs w:val="16"/>
          <w:color w:val="auto"/>
        </w:rPr>
      </w:pPr>
    </w:p>
    <w:p>
      <w:pPr>
        <w:ind w:left="900" w:right="20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net income was $1.3 million, or $0.02 per diluted share, compared with net income of $6.7 million, or $0.12 per diluted share for the comparable quarter last year.</w:t>
      </w:r>
    </w:p>
    <w:p>
      <w:pPr>
        <w:spacing w:after="0" w:line="62" w:lineRule="exact"/>
        <w:rPr>
          <w:rFonts w:ascii="Arial" w:cs="Arial" w:eastAsia="Arial" w:hAnsi="Arial"/>
          <w:sz w:val="18"/>
          <w:szCs w:val="18"/>
          <w:color w:val="auto"/>
        </w:rPr>
      </w:pPr>
    </w:p>
    <w:p>
      <w:pPr>
        <w:ind w:left="900" w:right="100" w:hanging="379"/>
        <w:spacing w:after="0" w:line="270"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November 14, 2019, we announced a plan to spin-off our outdoor products and accessories business, pending final approval, as a tax-free dividend to our stockholders. We expect the spin-off to be completed in the second half of calendar 2020. The spin-off will create two independent publicly traded companies: Smith &amp; Wesson Brands, Inc. (which would encompass our firearm business) and American Outdoor Brands, Inc. (which would encompass our outdoor products and accessories business). The primary purpose of the spin-off is to enable the management team of each company to focus on its specific strategies, including (1) structuring its business to take advantage of growth opportunities in its specific markets; (2) tailoring its business operation and financial model to its specific long-term strategies; and, (3) aligning its external financial resources, such as stock, access to markets, credit, and insurance factors, with its particular type of business. In connection with the proposed spin-off, we expect to incur restructuring charges of approximately $9.0 million to $12.0 million relating to legal, regulatory, and financial services, reorganization and restructuring costs, and start-up costs for the new company.</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six months ended October 31, 2019 included the following:</w:t>
      </w:r>
    </w:p>
    <w:p>
      <w:pPr>
        <w:spacing w:after="0" w:line="117" w:lineRule="exact"/>
        <w:rPr>
          <w:sz w:val="20"/>
          <w:szCs w:val="20"/>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net sales were $278.1 million, a decrease of $22.5 million, or 7.5%, from the prior year comparable period.</w:t>
      </w:r>
    </w:p>
    <w:p>
      <w:pPr>
        <w:spacing w:after="0" w:line="117" w:lineRule="exact"/>
        <w:rPr>
          <w:rFonts w:ascii="Arial" w:cs="Arial" w:eastAsia="Arial" w:hAnsi="Arial"/>
          <w:sz w:val="18"/>
          <w:szCs w:val="18"/>
          <w:color w:val="auto"/>
        </w:rPr>
      </w:pPr>
    </w:p>
    <w:p>
      <w:pPr>
        <w:ind w:left="900" w:right="60" w:hanging="379"/>
        <w:spacing w:after="0" w:line="27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Firearms segment gross sales were $209.2 million, which included $1.7 million of inter-segment revenue, a decrease of $7.9 million, or 3.6%, from the prior year comparable period, primarily because of decreased demand and increased promotional activity for our modern sporting rifles and lower bolt action rifle sales, partially offset by a change in the timing of our federal excise tax obligation as mentioned above. The change in federal excise tax treatment had a $10.6 million favorable impact on revenue during the six months ended October 31, 2019 as compared to the prior year comparable period and a 1.7% decrease in gross margin percentage.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ind w:left="900" w:right="200" w:hanging="379"/>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Outdoor Products &amp; Accessories segment gross sales were $81.0 million, which included $10.4 million of inter-segment revenue, a decrease of $12.2 million, or 13.1%, from the prior year comparable period. The decrease in sales was primarily because of timing of shipments to a significant customer.</w:t>
      </w:r>
    </w:p>
    <w:p>
      <w:pPr>
        <w:spacing w:after="0" w:line="73" w:lineRule="exact"/>
        <w:rPr>
          <w:rFonts w:ascii="Arial" w:cs="Arial" w:eastAsia="Arial" w:hAnsi="Arial"/>
          <w:sz w:val="18"/>
          <w:szCs w:val="18"/>
          <w:color w:val="auto"/>
        </w:rPr>
      </w:pPr>
    </w:p>
    <w:p>
      <w:pPr>
        <w:ind w:left="900" w:right="180" w:hanging="379"/>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Consolidated gross margin was 35.3%, a decrease of 90 basis points from the prior year comparable period. Excluding the impact of the change in federal excise tax, gross margin would have been 36.7%, or an increase of 50 basis points from the prior year comparable period.</w:t>
      </w:r>
    </w:p>
    <w:p>
      <w:pPr>
        <w:spacing w:after="0" w:line="15" w:lineRule="exact"/>
        <w:rPr>
          <w:rFonts w:ascii="Arial" w:cs="Arial" w:eastAsia="Arial" w:hAnsi="Arial"/>
          <w:sz w:val="16"/>
          <w:szCs w:val="16"/>
          <w:color w:val="auto"/>
        </w:rPr>
      </w:pPr>
    </w:p>
    <w:p>
      <w:pPr>
        <w:ind w:left="900" w:right="16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net loss was $815,000, or $(0.01) per diluted share, compared with net income of $14.3 million, or $0.26 per diluted share, for the prior year comparable period.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Sales and Gross Profit – For the Three Months Ended October 31,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consolidated net sales and gross profit for the three months ended October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154,388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0"/>
              </w:rPr>
              <w:t>(7,315)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104,082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(1,235)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50,306</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0"/>
              </w:rPr>
              <w:t>(6,080)</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Consolidated net sales decreased $7.3 million, or 4.5%, from the comparable quarter last year because of lower shooting and hunting accessory product sales to two significant customers in our Outdoor Products &amp; Accessories segment as well as lower sales of modern sporting rifles and bolt action rifles in our Firearms segment. As described above, our sales were favorably impacted by a change in federal excise tax treatment resulting in an $8.1 million increase in revenue as compared to the comparable quarter last year.</w:t>
      </w:r>
    </w:p>
    <w:p>
      <w:pPr>
        <w:spacing w:after="0" w:line="22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Consolidated gross margin was negatively impacted by 180 basis points as a result of the change in federal excise tax treatment mentioned above. Excluding that impact, consolidated gross margins decreased by 50 basis points from the comparable quarter last year, primarily because of the impact of lower sales volumes in our Outdoor Products &amp; Accessories segment to two significant customers for products that typically have higher gross margins, higher promotional product discounts, and unfavorable manufacturing fixed-cost absorption in our Firearms segment. Favorable impacts to gross margin include reduced manufacturing spending and inventory valuation adjustments in our Firearms segment. Despite the lower gross margin in our Outdoor Products &amp; Accessories segment, this segment favorably impacted total consolidated gross margin by 440 basis points for the three months ended October 31,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Segment Revenue and Gross Profit – For the Three Months Ended October 31, 2019</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tables set forth certain information regarding Firearms revenue and gross profit for the three months ended October 31,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Handguns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81,394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71,791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Long Guns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29,808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(5,861)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(1,781)</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140"/>
              <w:spacing w:after="0"/>
              <w:rPr>
                <w:sz w:val="20"/>
                <w:szCs w:val="20"/>
                <w:color w:val="auto"/>
              </w:rPr>
            </w:pPr>
            <w:r>
              <w:rPr>
                <w:rFonts w:ascii="Arial" w:cs="Arial" w:eastAsia="Arial" w:hAnsi="Arial"/>
                <w:sz w:val="18"/>
                <w:szCs w:val="18"/>
                <w:color w:val="auto"/>
              </w:rPr>
              <w:t>Total Firearms Revenue</w:t>
            </w:r>
          </w:p>
        </w:tc>
        <w:tc>
          <w:tcPr>
            <w:tcW w:w="17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113,717</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111,756</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1,961</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81,596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79,912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7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32,121</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31,844</w:t>
            </w:r>
          </w:p>
        </w:tc>
        <w:tc>
          <w:tcPr>
            <w:tcW w:w="3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4"/>
                <w:szCs w:val="24"/>
                <w:color w:val="auto"/>
              </w:rPr>
            </w:pPr>
          </w:p>
        </w:tc>
        <w:tc>
          <w:tcPr>
            <w:tcW w:w="2020" w:type="dxa"/>
            <w:vAlign w:val="bottom"/>
            <w:gridSpan w:val="2"/>
          </w:tcPr>
          <w:p>
            <w:pPr>
              <w:jc w:val="right"/>
              <w:ind w:right="125"/>
              <w:spacing w:after="0"/>
              <w:rPr>
                <w:sz w:val="20"/>
                <w:szCs w:val="20"/>
                <w:color w:val="auto"/>
              </w:rPr>
            </w:pPr>
            <w:r>
              <w:rPr>
                <w:rFonts w:ascii="Arial" w:cs="Arial" w:eastAsia="Arial" w:hAnsi="Arial"/>
                <w:sz w:val="18"/>
                <w:szCs w:val="18"/>
                <w:color w:val="auto"/>
              </w:rPr>
              <w:t>23</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right="22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three months ended October 31, 2019 and 2018 (units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8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Handguns</w:t>
            </w:r>
          </w:p>
        </w:tc>
        <w:tc>
          <w:tcPr>
            <w:tcW w:w="4660" w:type="dxa"/>
            <w:vAlign w:val="bottom"/>
            <w:tcBorders>
              <w:top w:val="single" w:sz="8" w:color="CFF0FC"/>
            </w:tcBorders>
            <w:gridSpan w:val="3"/>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6"/>
              </w:rPr>
              <w:t>265</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3"/>
              </w:rPr>
              <w:t>241</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36"/>
              <w:spacing w:after="0"/>
              <w:rPr>
                <w:sz w:val="20"/>
                <w:szCs w:val="20"/>
                <w:color w:val="auto"/>
              </w:rPr>
            </w:pPr>
            <w:r>
              <w:rPr>
                <w:rFonts w:ascii="Arial" w:cs="Arial" w:eastAsia="Arial" w:hAnsi="Arial"/>
                <w:sz w:val="18"/>
                <w:szCs w:val="18"/>
                <w:color w:val="auto"/>
                <w:w w:val="89"/>
              </w:rPr>
              <w:t>24</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ind w:right="356"/>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1180" w:type="dxa"/>
            <w:vAlign w:val="bottom"/>
          </w:tcPr>
          <w:p>
            <w:pPr>
              <w:jc w:val="right"/>
              <w:ind w:right="356"/>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180" w:type="dxa"/>
            <w:vAlign w:val="bottom"/>
          </w:tcPr>
          <w:p>
            <w:pPr>
              <w:jc w:val="center"/>
              <w:ind w:left="36"/>
              <w:spacing w:after="0"/>
              <w:rPr>
                <w:sz w:val="20"/>
                <w:szCs w:val="20"/>
                <w:color w:val="auto"/>
              </w:rPr>
            </w:pPr>
            <w:r>
              <w:rPr>
                <w:rFonts w:ascii="Arial" w:cs="Arial" w:eastAsia="Arial" w:hAnsi="Arial"/>
                <w:sz w:val="18"/>
                <w:szCs w:val="18"/>
                <w:color w:val="auto"/>
                <w:w w:val="93"/>
              </w:rPr>
              <w:t>(27)</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-28.4%</w:t>
            </w:r>
          </w:p>
        </w:tc>
        <w:tc>
          <w:tcPr>
            <w:tcW w:w="100" w:type="dxa"/>
            <w:vAlign w:val="bottom"/>
          </w:tcPr>
          <w:p>
            <w:pPr>
              <w:spacing w:after="0"/>
              <w:rPr>
                <w:sz w:val="20"/>
                <w:szCs w:val="20"/>
                <w:color w:val="auto"/>
              </w:rPr>
            </w:pPr>
          </w:p>
        </w:tc>
      </w:tr>
      <w:tr>
        <w:trPr>
          <w:trHeight w:val="43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34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4"/>
                <w:szCs w:val="24"/>
                <w:color w:val="auto"/>
              </w:rPr>
            </w:pP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58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16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6"/>
              </w:rPr>
              <w:t>241</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36"/>
              <w:spacing w:after="0"/>
              <w:rPr>
                <w:sz w:val="20"/>
                <w:szCs w:val="20"/>
                <w:color w:val="auto"/>
              </w:rPr>
            </w:pPr>
            <w:r>
              <w:rPr>
                <w:rFonts w:ascii="Arial" w:cs="Arial" w:eastAsia="Arial" w:hAnsi="Arial"/>
                <w:sz w:val="18"/>
                <w:szCs w:val="18"/>
                <w:color w:val="auto"/>
                <w:w w:val="86"/>
              </w:rPr>
              <w:t>211</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36"/>
              <w:spacing w:after="0"/>
              <w:rPr>
                <w:sz w:val="20"/>
                <w:szCs w:val="20"/>
                <w:color w:val="auto"/>
              </w:rPr>
            </w:pPr>
            <w:r>
              <w:rPr>
                <w:rFonts w:ascii="Arial" w:cs="Arial" w:eastAsia="Arial" w:hAnsi="Arial"/>
                <w:sz w:val="18"/>
                <w:szCs w:val="18"/>
                <w:color w:val="auto"/>
                <w:w w:val="89"/>
              </w:rPr>
              <w:t>30</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14.2%</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ind w:right="356"/>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1180" w:type="dxa"/>
            <w:vAlign w:val="bottom"/>
          </w:tcPr>
          <w:p>
            <w:pPr>
              <w:jc w:val="right"/>
              <w:ind w:right="356"/>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0"/>
                <w:szCs w:val="20"/>
                <w:color w:val="auto"/>
              </w:rPr>
            </w:pPr>
          </w:p>
        </w:tc>
        <w:tc>
          <w:tcPr>
            <w:tcW w:w="1180" w:type="dxa"/>
            <w:vAlign w:val="bottom"/>
          </w:tcPr>
          <w:p>
            <w:pPr>
              <w:jc w:val="center"/>
              <w:ind w:left="36"/>
              <w:spacing w:after="0"/>
              <w:rPr>
                <w:sz w:val="20"/>
                <w:szCs w:val="20"/>
                <w:color w:val="auto"/>
              </w:rPr>
            </w:pPr>
            <w:r>
              <w:rPr>
                <w:rFonts w:ascii="Arial" w:cs="Arial" w:eastAsia="Arial" w:hAnsi="Arial"/>
                <w:sz w:val="18"/>
                <w:szCs w:val="18"/>
                <w:color w:val="auto"/>
                <w:w w:val="93"/>
              </w:rPr>
              <w:t>(27)</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-30.3%</w:t>
            </w:r>
          </w:p>
        </w:tc>
        <w:tc>
          <w:tcPr>
            <w:tcW w:w="100" w:type="dxa"/>
            <w:vAlign w:val="bottom"/>
          </w:tcPr>
          <w:p>
            <w:pPr>
              <w:spacing w:after="0"/>
              <w:rPr>
                <w:sz w:val="20"/>
                <w:szCs w:val="20"/>
                <w:color w:val="auto"/>
              </w:rPr>
            </w:pPr>
          </w:p>
        </w:tc>
      </w:tr>
      <w:tr>
        <w:trPr>
          <w:trHeight w:val="45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3660" w:type="dxa"/>
            <w:vAlign w:val="bottom"/>
            <w:gridSpan w:val="2"/>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4"/>
                <w:szCs w:val="24"/>
                <w:color w:val="auto"/>
              </w:rPr>
            </w:pP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58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16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0"/>
              </w:rPr>
              <w:t>(6)</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-20.0%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60" w:type="dxa"/>
            <w:vAlign w:val="bottom"/>
          </w:tcPr>
          <w:p>
            <w:pPr>
              <w:jc w:val="center"/>
              <w:ind w:left="16"/>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20"/>
                <w:szCs w:val="20"/>
                <w:color w:val="auto"/>
              </w:rPr>
            </w:pPr>
          </w:p>
        </w:tc>
        <w:tc>
          <w:tcPr>
            <w:tcW w:w="1180" w:type="dxa"/>
            <w:vAlign w:val="bottom"/>
          </w:tcPr>
          <w:p>
            <w:pPr>
              <w:jc w:val="center"/>
              <w:ind w:left="16"/>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20"/>
                <w:szCs w:val="20"/>
                <w:color w:val="auto"/>
              </w:rPr>
            </w:pPr>
          </w:p>
        </w:tc>
        <w:tc>
          <w:tcPr>
            <w:tcW w:w="1180" w:type="dxa"/>
            <w:vAlign w:val="bottom"/>
          </w:tcPr>
          <w:p>
            <w:pPr>
              <w:jc w:val="center"/>
              <w:ind w:left="16"/>
              <w:spacing w:after="0"/>
              <w:rPr>
                <w:sz w:val="20"/>
                <w:szCs w:val="20"/>
                <w:color w:val="auto"/>
              </w:rPr>
            </w:pPr>
            <w:r>
              <w:rPr>
                <w:rFonts w:ascii="Arial" w:cs="Arial" w:eastAsia="Arial" w:hAnsi="Arial"/>
                <w:sz w:val="18"/>
                <w:szCs w:val="18"/>
                <w:color w:val="auto"/>
                <w:w w:val="79"/>
              </w:rPr>
              <w:t>0</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Revenue for our handguns increased $9.6 million, or 13.4%, over the comparable quarter last year. Increases to our revenue included the change in federal excise tax treatment, which had a $5.9 million favorable impact on handgun revenue, the pre-planned shipment of a new handgun into our sales channel, and increased shipments of our Performance Center branded products, partially offset by lower shipments of our large frame M&amp;P branded polymer pistols. Unit shipments into the sporting goods consumer channel increased 14.2% over the comparable quarter last year primarily because of increased promotional activity for our concealed carry M&amp;P branded polymer pistols, increased shipments of new products in anticipation of new product launches scheduled for our third fiscal quarter, and increased consumer firearm demand, as indicated by a 14.8% increase over the comparable quarter last year in total adjusted background checks as reported to the National Instant Criminal Background Check Systems, or NICS, which we believe is a proxy for overall consumer demand.</w:t>
      </w:r>
    </w:p>
    <w:p>
      <w:pPr>
        <w:spacing w:after="0" w:line="192"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Revenue for our long guns decreased $5.9 million, or 19.7%, from the comparable quarter last year, in spite of a $2.2 million increase in revenue due to the change in federal excise tax treatment, primarily because of lower bolt action rifle sales as a result of clearing discontinued products from the channel in anticipation of new product introductions, as well as lower demand for our M&amp;P branded modern sporting rifles due to pricing pressure in the market.</w:t>
      </w:r>
    </w:p>
    <w:p>
      <w:pPr>
        <w:spacing w:after="0" w:line="14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Other products and services revenue decreased $1.8 million, or 17.5%, from the comparable quarter last year, primarily because of lower sales of component parts, handcuffs, and specialty services.</w:t>
      </w:r>
    </w:p>
    <w:p>
      <w:pPr>
        <w:spacing w:after="0" w:line="170"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New products in our Firearms segment, defined as any new SKU not shipped in the comparable quarter last year, represented 34.7% of firearm revenue for the three months ended October 31, 2019 and included many new product line extensions and promotional product bundle kits for our M&amp;P, Performance Center, and Thompson/Center Arms branded products.</w:t>
      </w:r>
    </w:p>
    <w:p>
      <w:pPr>
        <w:spacing w:after="0" w:line="18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Gross margin for the three months ended October 31, 2019 for our Firearms segment was negatively impacted by 220 basis points as a result of the change in federal excise tax treatment. Excluding that impact, gross margin for our firearms segment increased by 190 basis points over the comparable quarter last year, primarily because of shipping costs that were included in cost of sales in the comparable quarter last year that are now included in operating expenses due to the start-up of our new distribution center, lower manufacturing spending, and favorable inventory valuation adjustments related to the release of year end manufacturing variance accruals. Year-end manufacturing variances are amortized over the first inventory turn in the year following capitalization and can be favorable or unfavorable based upon a number of factors, including production levels, spending, raw material costs, and labor. The favorable impacts to Firearms gross margin were partially offset by increased promotional product discounts.</w:t>
      </w:r>
    </w:p>
    <w:p>
      <w:pPr>
        <w:spacing w:after="0" w:line="16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Firearm inventory balances increased $2.1 million during the three months ended October 31, 2019 primarily because of the change in federal excise tax treatment. While inventory levels, both internally and in the distribution channel, in excess of demand may negatively impact future operating results, it is difficult to forecast the potential impact of distributor inventories on future revenue and income since demand is impacted by many factors, including seasonality, new product introductions, news events, political events, and consumer preferences.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Outdoor Products &amp; Accessories Segment Revenue and Gross Profit – For the Three Months Ended October 31,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Outdoor Products &amp; Accessories segment revenue for the three months ended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0"/>
              </w:rPr>
              <w:t>(8,143)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29,225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30,536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(1,311)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18,583</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25,415</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0"/>
              </w:rPr>
              <w:t>(6,832)</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Revenue for our Outdoor Products &amp; Accessories segment for the three months ended October 31, 2019 decreased $8.1 million, or 14.6%, from the comparable quarter last year. Revenue declined primarily as a result of lower shooting and hunting accessory product sales as a result of large discount orders that occurred in the comparable quarter last year from two significant customers that did not repeat in the current year quarter. Despite this uneven order cadence, point of sale data continues to indicate strong demand for our products at retail.</w:t>
      </w:r>
    </w:p>
    <w:p>
      <w:pPr>
        <w:spacing w:after="0" w:line="18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New products represented 17.6% of Outdoor Products &amp; Accessories segment revenue for the three months ended October 31, 2019 and included over 300 new products.</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Gross margin for the three months ended October 31, 2019 for our Outdoor Products &amp; Accessories segment decreased 6.5% from the comparable quarter last year, primarily because of unfavorable customer, product, and channel mix with lower sales to two significant customers that typically result in higher gross margins, as well as lower production of electro-optics units that resulted in the corresponding unfavorable manufacturing fixed-cost absorption. Gross margin was also negatively impacted by higher tariff costs on imported goods.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Outdoor Products &amp; Accessories inventory balances remained relatively flat during the three months ended October 31, 2019.</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Sales and Gross Profit – For the Six Months Ended October 31,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consolidated net sales and gross profit for the six months ended October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278,057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300,536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0"/>
              </w:rPr>
              <w:t>(22,479)</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191,728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(11,830)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shd w:val="clear" w:color="auto" w:fill="CFF0FC"/>
          </w:tcPr>
          <w:p>
            <w:pPr>
              <w:spacing w:after="0"/>
              <w:rPr>
                <w:sz w:val="19"/>
                <w:szCs w:val="19"/>
                <w:color w:val="auto"/>
              </w:rPr>
            </w:pPr>
          </w:p>
        </w:tc>
        <w:tc>
          <w:tcPr>
            <w:tcW w:w="17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98,159</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108,808</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0"/>
              </w:rPr>
              <w:t>(10,649)</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3980" w:type="dxa"/>
            <w:vAlign w:val="bottom"/>
          </w:tcPr>
          <w:p>
            <w:pPr>
              <w:spacing w:after="0"/>
              <w:rPr>
                <w:sz w:val="24"/>
                <w:szCs w:val="24"/>
                <w:color w:val="auto"/>
              </w:rPr>
            </w:pPr>
          </w:p>
        </w:tc>
        <w:tc>
          <w:tcPr>
            <w:tcW w:w="2020" w:type="dxa"/>
            <w:vAlign w:val="bottom"/>
            <w:gridSpan w:val="2"/>
          </w:tcPr>
          <w:p>
            <w:pPr>
              <w:jc w:val="right"/>
              <w:ind w:right="125"/>
              <w:spacing w:after="0"/>
              <w:rPr>
                <w:sz w:val="20"/>
                <w:szCs w:val="20"/>
                <w:color w:val="auto"/>
              </w:rPr>
            </w:pPr>
            <w:r>
              <w:rPr>
                <w:rFonts w:ascii="Arial" w:cs="Arial" w:eastAsia="Arial" w:hAnsi="Arial"/>
                <w:sz w:val="18"/>
                <w:szCs w:val="18"/>
                <w:color w:val="auto"/>
              </w:rPr>
              <w:t>25</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right="60" w:firstLine="518"/>
        <w:spacing w:after="0" w:line="259" w:lineRule="auto"/>
        <w:rPr>
          <w:sz w:val="20"/>
          <w:szCs w:val="20"/>
          <w:color w:val="auto"/>
        </w:rPr>
      </w:pPr>
      <w:r>
        <w:rPr>
          <w:rFonts w:ascii="Arial" w:cs="Arial" w:eastAsia="Arial" w:hAnsi="Arial"/>
          <w:sz w:val="18"/>
          <w:szCs w:val="18"/>
          <w:color w:val="auto"/>
        </w:rPr>
        <w:t>Consolidated net sales decreased $22.5 million, or 7.5%, from the prior year comparable period because of lower demand for revolvers and modern sporting rifles and a shift in product mix in our Firearms segment as well as lower shooting, hunting, and survival equipment sales in our Outdoor Products &amp; Accessories segment. As described above, our sales were favorably impacted by the change in our federal excise tax treatment, resulting in a $10.6 million increase in revenue over the prior year comparable period.</w:t>
      </w:r>
    </w:p>
    <w:p>
      <w:pPr>
        <w:spacing w:after="0" w:line="18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Consolidated gross margin was negatively impacted by 140 basis points as a result of the change in federal excise tax treatment mentioned above. Excluding that treatment, consolidated gross margin increased 50 basis points from the prior year comparable period, primarily because of favorable inventory valuation adjustments and lower manufacturing spending in our Firearms segment. Unfavorable impacts included lower margin contribution from the Outdoor Products &amp; Accessories segment and higher promotional product discounts and unfavorable manufacturing fixed-cost absorption in our Firearms segment. Outdoor Products &amp; Accessories gross margin was also negatively impacted by lower sales volumes to two significant customers, that typically has higher gross margins, and unfavorable product mix. Despite the lower gross margin in our Outdoor Products &amp; Accessories segment, this segment favorably impacted total consolidated gross margin by 300 basis points for the six months ended October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Segment Revenue and Gross Profit – For the Six Months Ended October 31, 2019</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following tables set forth certain information regarding Firearms revenue and gross profit for the six months ended October 31,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gridSpan w:val="2"/>
          </w:tcPr>
          <w:p>
            <w:pPr>
              <w:spacing w:after="0"/>
              <w:rPr>
                <w:sz w:val="14"/>
                <w:szCs w:val="14"/>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147,246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40,547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(10,774)</w:t>
            </w: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4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FF0FC"/>
          </w:tcPr>
          <w:p>
            <w:pPr>
              <w:spacing w:after="0"/>
              <w:rPr>
                <w:sz w:val="19"/>
                <w:szCs w:val="19"/>
                <w:color w:val="auto"/>
              </w:rPr>
            </w:pPr>
          </w:p>
        </w:tc>
        <w:tc>
          <w:tcPr>
            <w:tcW w:w="134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ind w:left="140"/>
              <w:spacing w:after="0"/>
              <w:rPr>
                <w:sz w:val="20"/>
                <w:szCs w:val="20"/>
                <w:color w:val="auto"/>
              </w:rPr>
            </w:pPr>
            <w:r>
              <w:rPr>
                <w:rFonts w:ascii="Arial" w:cs="Arial" w:eastAsia="Arial" w:hAnsi="Arial"/>
                <w:sz w:val="18"/>
                <w:szCs w:val="18"/>
                <w:color w:val="auto"/>
              </w:rPr>
              <w:t>Total Firearms Revenue</w:t>
            </w:r>
          </w:p>
        </w:tc>
        <w:tc>
          <w:tcPr>
            <w:tcW w:w="1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4"/>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209,158</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300"/>
              <w:spacing w:after="0"/>
              <w:rPr>
                <w:sz w:val="20"/>
                <w:szCs w:val="20"/>
                <w:color w:val="auto"/>
              </w:rPr>
            </w:pPr>
            <w:r>
              <w:rPr>
                <w:rFonts w:ascii="Arial" w:cs="Arial" w:eastAsia="Arial" w:hAnsi="Arial"/>
                <w:sz w:val="18"/>
                <w:szCs w:val="18"/>
                <w:color w:val="auto"/>
                <w:w w:val="89"/>
              </w:rPr>
              <w:t>217,014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(7,856)</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150,377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(8,738)</w:t>
            </w:r>
          </w:p>
        </w:tc>
        <w:tc>
          <w:tcPr>
            <w:tcW w:w="100" w:type="dxa"/>
            <w:vAlign w:val="bottom"/>
            <w:shd w:val="clear" w:color="auto" w:fill="CFF0FC"/>
          </w:tcPr>
          <w:p>
            <w:pPr>
              <w:spacing w:after="0"/>
              <w:rPr>
                <w:sz w:val="19"/>
                <w:szCs w:val="19"/>
                <w:color w:val="auto"/>
              </w:rPr>
            </w:pPr>
          </w:p>
        </w:tc>
        <w:tc>
          <w:tcPr>
            <w:tcW w:w="134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8"/>
                <w:szCs w:val="18"/>
                <w:color w:val="auto"/>
              </w:rPr>
              <w:t>Gross profit</w:t>
            </w:r>
          </w:p>
        </w:tc>
        <w:tc>
          <w:tcPr>
            <w:tcW w:w="1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4"/>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67,519</w:t>
            </w:r>
          </w:p>
        </w:tc>
        <w:tc>
          <w:tcPr>
            <w:tcW w:w="2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66,637</w:t>
            </w:r>
          </w:p>
        </w:tc>
        <w:tc>
          <w:tcPr>
            <w:tcW w:w="2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0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lef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11420" w:type="dxa"/>
            <w:vAlign w:val="bottom"/>
            <w:gridSpan w:val="20"/>
          </w:tcPr>
          <w:p>
            <w:pPr>
              <w:jc w:val="center"/>
              <w:ind w:left="73"/>
              <w:spacing w:after="0"/>
              <w:rPr>
                <w:sz w:val="20"/>
                <w:szCs w:val="20"/>
                <w:color w:val="auto"/>
              </w:rPr>
            </w:pPr>
            <w:r>
              <w:rPr>
                <w:rFonts w:ascii="Arial" w:cs="Arial" w:eastAsia="Arial" w:hAnsi="Arial"/>
                <w:sz w:val="18"/>
                <w:szCs w:val="18"/>
                <w:color w:val="auto"/>
                <w:w w:val="91"/>
              </w:rPr>
              <w:t>The following table sets forth certain information regarding firearm units shipped by trade channel for the six months ended October 31, 2019 and</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2018 (units in thousands):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08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left="134"/>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Handguns</w:t>
            </w:r>
          </w:p>
        </w:tc>
        <w:tc>
          <w:tcPr>
            <w:tcW w:w="2860" w:type="dxa"/>
            <w:vAlign w:val="bottom"/>
            <w:tcBorders>
              <w:top w:val="single" w:sz="8" w:color="CFF0FC"/>
            </w:tcBorders>
            <w:gridSpan w:val="3"/>
            <w:shd w:val="clear" w:color="auto" w:fill="CFF0FC"/>
          </w:tcPr>
          <w:p>
            <w:pPr>
              <w:spacing w:after="0"/>
              <w:rPr>
                <w:sz w:val="18"/>
                <w:szCs w:val="18"/>
                <w:color w:val="auto"/>
              </w:rPr>
            </w:pPr>
          </w:p>
        </w:tc>
        <w:tc>
          <w:tcPr>
            <w:tcW w:w="16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34"/>
              <w:spacing w:after="0"/>
              <w:rPr>
                <w:sz w:val="20"/>
                <w:szCs w:val="20"/>
                <w:color w:val="auto"/>
              </w:rPr>
            </w:pPr>
            <w:r>
              <w:rPr>
                <w:rFonts w:ascii="Arial" w:cs="Arial" w:eastAsia="Arial" w:hAnsi="Arial"/>
                <w:sz w:val="18"/>
                <w:szCs w:val="18"/>
                <w:color w:val="auto"/>
                <w:w w:val="86"/>
              </w:rPr>
              <w:t>490</w:t>
            </w:r>
          </w:p>
        </w:tc>
        <w:tc>
          <w:tcPr>
            <w:tcW w:w="2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rPr>
              <w:t>478</w:t>
            </w: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12</w:t>
            </w: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left w:val="single" w:sz="8" w:color="CFF0FC"/>
            </w:tcBorders>
            <w:shd w:val="clear" w:color="auto" w:fill="CFF0FC"/>
          </w:tcPr>
          <w:p>
            <w:pPr>
              <w:jc w:val="center"/>
              <w:ind w:left="134"/>
              <w:spacing w:after="0"/>
              <w:rPr>
                <w:sz w:val="20"/>
                <w:szCs w:val="20"/>
                <w:color w:val="auto"/>
              </w:rPr>
            </w:pPr>
            <w:r>
              <w:rPr>
                <w:rFonts w:ascii="Arial" w:cs="Arial" w:eastAsia="Arial" w:hAnsi="Arial"/>
                <w:sz w:val="18"/>
                <w:szCs w:val="18"/>
                <w:color w:val="auto"/>
                <w:w w:val="92"/>
              </w:rPr>
              <w:t>2.5%</w:t>
            </w:r>
          </w:p>
        </w:tc>
        <w:tc>
          <w:tcPr>
            <w:tcW w:w="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134"/>
              <w:spacing w:after="0"/>
              <w:rPr>
                <w:sz w:val="20"/>
                <w:szCs w:val="20"/>
                <w:color w:val="auto"/>
              </w:rPr>
            </w:pPr>
            <w:r>
              <w:rPr>
                <w:rFonts w:ascii="Arial" w:cs="Arial" w:eastAsia="Arial" w:hAnsi="Arial"/>
                <w:sz w:val="18"/>
                <w:szCs w:val="18"/>
                <w:color w:val="auto"/>
                <w:w w:val="86"/>
              </w:rPr>
              <w:t>128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left="114"/>
              <w:spacing w:after="0"/>
              <w:rPr>
                <w:sz w:val="20"/>
                <w:szCs w:val="20"/>
                <w:color w:val="auto"/>
              </w:rPr>
            </w:pPr>
            <w:r>
              <w:rPr>
                <w:rFonts w:ascii="Arial" w:cs="Arial" w:eastAsia="Arial" w:hAnsi="Arial"/>
                <w:sz w:val="18"/>
                <w:szCs w:val="18"/>
                <w:color w:val="auto"/>
                <w:w w:val="91"/>
              </w:rPr>
              <w:t>-20.5%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left="134"/>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40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6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34"/>
              <w:spacing w:after="0"/>
              <w:rPr>
                <w:sz w:val="20"/>
                <w:szCs w:val="20"/>
                <w:color w:val="auto"/>
              </w:rPr>
            </w:pPr>
            <w:r>
              <w:rPr>
                <w:rFonts w:ascii="Arial" w:cs="Arial" w:eastAsia="Arial" w:hAnsi="Arial"/>
                <w:sz w:val="18"/>
                <w:szCs w:val="18"/>
                <w:color w:val="auto"/>
                <w:w w:val="86"/>
              </w:rPr>
              <w:t>440</w:t>
            </w:r>
          </w:p>
        </w:tc>
        <w:tc>
          <w:tcPr>
            <w:tcW w:w="2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rPr>
              <w:t>425</w:t>
            </w: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15</w:t>
            </w: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left w:val="single" w:sz="8" w:color="CFF0FC"/>
            </w:tcBorders>
            <w:shd w:val="clear" w:color="auto" w:fill="CFF0FC"/>
          </w:tcPr>
          <w:p>
            <w:pPr>
              <w:jc w:val="center"/>
              <w:ind w:left="134"/>
              <w:spacing w:after="0"/>
              <w:rPr>
                <w:sz w:val="20"/>
                <w:szCs w:val="20"/>
                <w:color w:val="auto"/>
              </w:rPr>
            </w:pPr>
            <w:r>
              <w:rPr>
                <w:rFonts w:ascii="Arial" w:cs="Arial" w:eastAsia="Arial" w:hAnsi="Arial"/>
                <w:sz w:val="18"/>
                <w:szCs w:val="18"/>
                <w:color w:val="auto"/>
                <w:w w:val="92"/>
              </w:rPr>
              <w:t>3.5%</w:t>
            </w:r>
          </w:p>
        </w:tc>
        <w:tc>
          <w:tcPr>
            <w:tcW w:w="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134"/>
              <w:spacing w:after="0"/>
              <w:rPr>
                <w:sz w:val="20"/>
                <w:szCs w:val="20"/>
                <w:color w:val="auto"/>
              </w:rPr>
            </w:pPr>
            <w:r>
              <w:rPr>
                <w:rFonts w:ascii="Arial" w:cs="Arial" w:eastAsia="Arial" w:hAnsi="Arial"/>
                <w:sz w:val="18"/>
                <w:szCs w:val="18"/>
                <w:color w:val="auto"/>
                <w:w w:val="86"/>
              </w:rPr>
              <w:t>119</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left="114"/>
              <w:spacing w:after="0"/>
              <w:rPr>
                <w:sz w:val="20"/>
                <w:szCs w:val="20"/>
                <w:color w:val="auto"/>
              </w:rPr>
            </w:pPr>
            <w:r>
              <w:rPr>
                <w:rFonts w:ascii="Arial" w:cs="Arial" w:eastAsia="Arial" w:hAnsi="Arial"/>
                <w:sz w:val="18"/>
                <w:szCs w:val="18"/>
                <w:color w:val="auto"/>
                <w:w w:val="91"/>
              </w:rPr>
              <w:t>-21.2%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186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left="134"/>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40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6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34"/>
              <w:spacing w:after="0"/>
              <w:rPr>
                <w:sz w:val="20"/>
                <w:szCs w:val="20"/>
                <w:color w:val="auto"/>
              </w:rPr>
            </w:pPr>
            <w:r>
              <w:rPr>
                <w:rFonts w:ascii="Arial" w:cs="Arial" w:eastAsia="Arial" w:hAnsi="Arial"/>
                <w:sz w:val="18"/>
                <w:szCs w:val="18"/>
                <w:color w:val="auto"/>
                <w:w w:val="89"/>
              </w:rPr>
              <w:t>50</w:t>
            </w:r>
          </w:p>
        </w:tc>
        <w:tc>
          <w:tcPr>
            <w:tcW w:w="2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left w:val="single" w:sz="8" w:color="CFF0FC"/>
            </w:tcBorders>
            <w:shd w:val="clear" w:color="auto" w:fill="CFF0FC"/>
          </w:tcPr>
          <w:p>
            <w:pPr>
              <w:jc w:val="center"/>
              <w:ind w:left="114"/>
              <w:spacing w:after="0"/>
              <w:rPr>
                <w:sz w:val="20"/>
                <w:szCs w:val="20"/>
                <w:color w:val="auto"/>
              </w:rPr>
            </w:pPr>
            <w:r>
              <w:rPr>
                <w:rFonts w:ascii="Arial" w:cs="Arial" w:eastAsia="Arial" w:hAnsi="Arial"/>
                <w:sz w:val="18"/>
                <w:szCs w:val="18"/>
                <w:color w:val="auto"/>
                <w:w w:val="93"/>
              </w:rPr>
              <w:t>-5.7%</w:t>
            </w:r>
          </w:p>
        </w:tc>
        <w:tc>
          <w:tcPr>
            <w:tcW w:w="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134"/>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left="114"/>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260" w:firstLine="518"/>
        <w:spacing w:after="0" w:line="291" w:lineRule="auto"/>
        <w:rPr>
          <w:sz w:val="20"/>
          <w:szCs w:val="20"/>
          <w:color w:val="auto"/>
        </w:rPr>
      </w:pPr>
      <w:r>
        <w:rPr>
          <w:rFonts w:ascii="Arial" w:cs="Arial" w:eastAsia="Arial" w:hAnsi="Arial"/>
          <w:sz w:val="16"/>
          <w:szCs w:val="16"/>
          <w:color w:val="auto"/>
        </w:rPr>
        <w:t>Revenue for our handguns increased $3.6 million, or 2.5%, as a result of the change in the federal excise tax treatment mentioned above. Excluding this change, revenue for our handguns decreased $4.4 million, or 3.0%, from the prior year comparable period primarily because of increased promotional activity and a shift in mix to lower priced products. Favorable impacts to our handgun revenue included a pre-planned shipment of a new handgun into our sales channel that we plan to launch in our third fiscal quarter combined with higher Performance Center branded product sales. Although adjusted background checks for handguns reported to the National Instant Criminal Background Check Systems, or NICS, which is a proxy for overall consumer demand, increased 8.4% compared with the prior year comparable period, we believe our outperformance of adjusted NICS in prior fiscal quarters and a continued increase in channel inventories during the current quarter likely negatively impacted orders and our results for the current fiscal year.</w:t>
      </w:r>
    </w:p>
    <w:p>
      <w:pPr>
        <w:spacing w:after="0" w:line="16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Revenue for our long guns decreased $10.8 million, or 21.0%, from the prior year comparable period, in spite of a $2.5 million increase in revenue due to a change in when we are assessed federal excise tax, primarily because of lower bolt action rifle sales as a result of clearing discontinued products from the channel in anticipation of new product introductions, as well as lower demand for our M&amp;P branded modern sporting rifles due to pricing pressure in the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p>
      <w:pPr>
        <w:ind w:right="680" w:firstLine="518"/>
        <w:spacing w:after="0" w:line="277" w:lineRule="auto"/>
        <w:rPr>
          <w:sz w:val="20"/>
          <w:szCs w:val="20"/>
          <w:color w:val="auto"/>
        </w:rPr>
      </w:pPr>
      <w:r>
        <w:rPr>
          <w:rFonts w:ascii="Arial" w:cs="Arial" w:eastAsia="Arial" w:hAnsi="Arial"/>
          <w:sz w:val="18"/>
          <w:szCs w:val="18"/>
          <w:color w:val="auto"/>
        </w:rPr>
        <w:t>Other products and services revenue decreased $705,000, or 3.8%, from the prior year comparable period, primarily because of lower sales of component parts and handcuffs.</w:t>
      </w:r>
    </w:p>
    <w:p>
      <w:pPr>
        <w:spacing w:after="0" w:line="17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New products in our Firearms segment represented 19.3% of firearm revenue for the six months ended October 31, 2019 and included many new product line extensions and promotional products bundle kits for our M&amp;P, Performance Center, and Thompson/Center Arms branded products.</w:t>
      </w:r>
    </w:p>
    <w:p>
      <w:pPr>
        <w:spacing w:after="0" w:line="124" w:lineRule="exact"/>
        <w:rPr>
          <w:sz w:val="20"/>
          <w:szCs w:val="20"/>
          <w:color w:val="auto"/>
        </w:rPr>
      </w:pPr>
    </w:p>
    <w:p>
      <w:pPr>
        <w:ind w:right="60" w:firstLine="518"/>
        <w:spacing w:after="0" w:line="277" w:lineRule="auto"/>
        <w:rPr>
          <w:sz w:val="20"/>
          <w:szCs w:val="20"/>
          <w:color w:val="auto"/>
        </w:rPr>
      </w:pPr>
      <w:r>
        <w:rPr>
          <w:rFonts w:ascii="Arial" w:cs="Arial" w:eastAsia="Arial" w:hAnsi="Arial"/>
          <w:sz w:val="17"/>
          <w:szCs w:val="17"/>
          <w:color w:val="auto"/>
        </w:rPr>
        <w:t>Gross margin for the six months ended October 31, 2019 for our Firearms segment was negatively impacted 170 basis points as a result of the change in federal excise tax treatment mentioned above. Excluding that treatment, gross margin for our firearms segment increased by 330 basis points over the prior year comparable period, primarily because of shipping costs that were included in cost of sales in the comparable quarter last year that are now included in operating expenses due to the start-up of our new distribution center, favorable inventory valuation adjustments related to the release of year end manufacturing variance accruals, which were partially offset by increased standards related to material and labor cost increases, combined with improved manufacturing fixed cost absorption, lower manufacturing spending, and price increases all of which favorably impacted Firearms gross margin by 5.2%. These favorable impacts to Firearms gross margin were partially offset by increased promotional product discounts.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Outdoor Products &amp; Accessories Segment Revenue and Gross Profit – For the Six Months Ended October 31,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Outdoor Products &amp; Accessories segment revenue for the six months ended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93,207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48,369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46,815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32,656</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46,392</w:t>
            </w:r>
          </w:p>
        </w:tc>
        <w:tc>
          <w:tcPr>
            <w:tcW w:w="3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(13,736)</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Revenue for our Outdoor Products &amp; Accessories segment for the six months ended October 31, 2019 decreased $12.2 million, or 13.1%, from the prior year comparable period. Revenue decreased primarily as a result of lower shooting and hunting accessory and survival equipment sales to two significant customers. The decline in revenue was partially offset by higher cutlery revenue that we believe was due to market acceptance for newly introduced products over the past several years and inorganic revenue in electro-optics.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New products represented 18.8% of Outdoor Products &amp; Accessories segment revenue for the six months ended October 31, 2019.</w:t>
      </w:r>
    </w:p>
    <w:p>
      <w:pPr>
        <w:spacing w:after="0" w:line="225"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Gross margin for the six months ended October 31, 2019 for our Outdoor Products &amp; Accessories segment decreased 9.5% from the prior year comparable period primarily because of lower sales to two significant customers that typically result in higher gross margins and changes in customer and channel mix. Gross margin was also negatively impacted by higher tariff costs on imported goods.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three months ended October 31,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Selling, marketing, and distribution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15,291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4,061</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(3,436)</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45,422</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45,060</w:t>
            </w:r>
          </w:p>
        </w:tc>
        <w:tc>
          <w:tcPr>
            <w:tcW w:w="3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Research and development expenses decreased $263,000 primarily as a result of decreased compensation related expenses. Selling, marketing, and distribution expenses increased $4.1 million partially as a result of the start-up of our new distribution center during the first quarter of fiscal 2020, which included approximately $1.1 million of shipping costs that would have been included in cost of sales in the comparable quarter last year as well as additional costs related to compensation and benefits, depreciation, property taxes, and security. In addition, increased co-op advertising expenses to strategic customers in the Firearms segment and additional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60"/>
        <w:spacing w:after="0" w:line="302" w:lineRule="auto"/>
        <w:rPr>
          <w:sz w:val="20"/>
          <w:szCs w:val="20"/>
          <w:color w:val="auto"/>
        </w:rPr>
      </w:pPr>
      <w:r>
        <w:rPr>
          <w:rFonts w:ascii="Arial" w:cs="Arial" w:eastAsia="Arial" w:hAnsi="Arial"/>
          <w:sz w:val="16"/>
          <w:szCs w:val="16"/>
          <w:color w:val="auto"/>
        </w:rPr>
        <w:t>targeted customer promotions resulted in increased spending over the comparable quarter last year. This increased spending was partially offset by lower management incentive compensation costs. General and administrative expenses decreased $3.4 million because of a combination of decreased compensation related expenses, decreased costs due to the closure of our Jacksonville, Florida facility during our first fiscal quarter, and decreased bad debt expense. These increases were partially offset by increased depreciation related to our 633,000 square foot Missouri distribution center.</w:t>
      </w:r>
    </w:p>
    <w:p>
      <w:pPr>
        <w:spacing w:after="0" w:line="18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six months ended October 31,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Selling, marketing, and distribution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36,125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26,906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9,219</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(1,248)</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92,133</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84,007</w:t>
            </w:r>
          </w:p>
        </w:tc>
        <w:tc>
          <w:tcPr>
            <w:tcW w:w="3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8,126</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Research and development expenses increased $155,000 as a result of increased professional fees and new product development costs. Selling, marketing, and distribution expenses increased $9.2 million partially as a result of the start-up of our new distribution center during the first quarter of fiscal 2020, which included approximately $2.2 million of costs that would have been included in cost of sales in the prior year comparable period as well as additional costs related to compensation and benefits, depreciation, property taxes, and security. In addition, increased co-op advertising expenses in the Firearms segment related to strategic customers, additional targeted customer promotions, and increases related to the development of our eCommerce initiative resulted in increased spending over the prior year comparable period. General and administrative expenses decreased $1.2 million primarily due to decreased compensation related expenses and decreased costs due to the closure of our Jacksonville, Florida facility, partially offset by increased professional fees and increased depreciation and compensation-related expenses related to our 633,000 square foot Missouri distribution center.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Income</w:t>
      </w:r>
    </w:p>
    <w:p>
      <w:pPr>
        <w:spacing w:after="0" w:line="11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three months ended October 31,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4,884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-56.9%</w:t>
            </w: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1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Operating income for the three months ended October 31, 2019 was $4.9 million, a decrease of $6.4 million from the comparable quarter last year, primarily because of lower sales and profitability in our Outdoor Products &amp; Accessories segment and increased promotional product discounts and targeted customer promotions in our Firearms segment, increased costs related to our 633,000 square foot Missouri distribution center, and increased co-op advertising expenses to strategic customers. These increased expenses were partially offset by favorable manufacturing spending, favorable inventory valuation adjustments, and decreased cost from the prior year comparable quarter as a result of the closure of our Jacksonville, Florida facility.</w:t>
      </w:r>
    </w:p>
    <w:p>
      <w:pPr>
        <w:spacing w:after="0" w:line="185"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six months ended October 31,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6,026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-75.7%</w:t>
            </w: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1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Operating income for the six months ended October 31, 2019 was $6.0 million, a decrease of $18.8 million from the prior year comparable period, primarily because of lower sales volumes, unfavorable manufacturing fixed-cost absorption, increased promotional product discounts and targeted customer promotions in our Firearms segment, increased co-op advertising expenses related to strategic customers, and increases related to the development of our eCommerce initiative. These increased expenses were partially offset by a combination of lower manufacturing spending, decreased compensation related expenses, and decreased costs as a result of the closure of our Jacksonville, Florida facility.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Consolidated Interest Expense</w:t>
      </w:r>
    </w:p>
    <w:p>
      <w:pPr>
        <w:spacing w:after="0" w:line="117"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October 31, 2019 and 2018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w:t>
            </w:r>
          </w:p>
        </w:tc>
      </w:tr>
    </w:tbl>
    <w:p>
      <w:pPr>
        <w:spacing w:after="0" w:line="24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three months ended October 31, 2019, interest expense increased by $765,000 over the comparable quarter last year as a result of increased interest on our capital lease for our Missouri Campus and additional borrowings on our Credit Facility.</w:t>
      </w:r>
    </w:p>
    <w:p>
      <w:pPr>
        <w:spacing w:after="0" w:line="197" w:lineRule="exact"/>
        <w:rPr>
          <w:sz w:val="20"/>
          <w:szCs w:val="20"/>
          <w:color w:val="auto"/>
        </w:rPr>
      </w:pPr>
    </w:p>
    <w:p>
      <w:pPr>
        <w:ind w:right="780" w:firstLine="518"/>
        <w:spacing w:after="0" w:line="309" w:lineRule="auto"/>
        <w:rPr>
          <w:sz w:val="20"/>
          <w:szCs w:val="20"/>
          <w:color w:val="auto"/>
        </w:rPr>
      </w:pPr>
      <w:r>
        <w:rPr>
          <w:rFonts w:ascii="Arial" w:cs="Arial" w:eastAsia="Arial" w:hAnsi="Arial"/>
          <w:sz w:val="18"/>
          <w:szCs w:val="18"/>
          <w:color w:val="auto"/>
        </w:rPr>
        <w:t>The following table sets forth certain information regarding interest expense for the six months ended October 31, 2019 and 2018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32.6%</w:t>
            </w:r>
          </w:p>
        </w:tc>
      </w:tr>
    </w:tbl>
    <w:p>
      <w:pPr>
        <w:spacing w:after="0" w:line="242"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During the six months ended October 31, 2019, interest expense increased by $1.4 million over the prior year comparable period as a result of increased interest on our capital lease for our Missouri Campus and additional borrowings on our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Income Taxes</w:t>
      </w:r>
    </w:p>
    <w:p>
      <w:pPr>
        <w:spacing w:after="0" w:line="117"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October 31, 2019 and 2018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2,395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-73.4%</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7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expense decreased $1.8 million from the comparable quarter last year as a result of lower operating income for the reasons mentioned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six months ended October 31,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1,266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6,208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-79.6%</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280.7%</w:t>
            </w:r>
          </w:p>
        </w:tc>
        <w:tc>
          <w:tcPr>
            <w:tcW w:w="7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250.5%</w:t>
            </w:r>
          </w:p>
        </w:tc>
      </w:tr>
    </w:tbl>
    <w:p>
      <w:pPr>
        <w:spacing w:after="0" w:line="24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Income tax expense decreased $4.9 million from the prior year comparable period, as a result of lower operating income and the tax effect of stock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Income/(Loss)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consolidated net income and the related per share data for the three months ended October 31, 2019 and 2018 (dollars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CFF0FC"/>
            </w:tcBorders>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-80.6%</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Net income per share</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5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FF0FC"/>
          </w:tcPr>
          <w:p>
            <w:pPr>
              <w:spacing w:after="0"/>
              <w:rPr>
                <w:sz w:val="19"/>
                <w:szCs w:val="19"/>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(0.10)</w:t>
            </w: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-83.3%</w:t>
            </w: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-83.3%</w:t>
            </w:r>
          </w:p>
        </w:tc>
      </w:tr>
      <w:tr>
        <w:trPr>
          <w:trHeight w:val="647"/>
        </w:trPr>
        <w:tc>
          <w:tcPr>
            <w:tcW w:w="35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right="40" w:firstLine="518"/>
        <w:spacing w:after="0" w:line="255" w:lineRule="auto"/>
        <w:rPr>
          <w:sz w:val="20"/>
          <w:szCs w:val="20"/>
          <w:color w:val="auto"/>
        </w:rPr>
      </w:pPr>
      <w:r>
        <w:rPr>
          <w:rFonts w:ascii="Arial" w:cs="Arial" w:eastAsia="Arial" w:hAnsi="Arial"/>
          <w:sz w:val="18"/>
          <w:szCs w:val="18"/>
          <w:color w:val="auto"/>
        </w:rPr>
        <w:t>Net income of $1.3 million for the three months ended October 31, 2019 was $5.4 million lower than net income of $6.7 million for the comparable quarter last year primarily because of a combination of lower sales volumes and profitability in our Outdoor Products &amp; Accessories segment, increased promotional product discounts and targeted customer promotions, higher manufacturing spending, increased costs related to our 633,000 square foot Missouri distribution center, and increased co-op advertising expenses to strategic customers, and increased interest expense. These increased expenses were partially offset by favorable manufacturing spending, favorable inventory valuation adjustments, and savings as a result of the closure of our Jacksonville, Florida facility.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consolidated net (loss)/income and the related per share data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 and 2018 (dollars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(loss)/income</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-105.7%</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(loss)/income per share</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2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-103.8%</w:t>
            </w: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Diluted</w:t>
            </w:r>
          </w:p>
        </w:tc>
        <w:tc>
          <w:tcPr>
            <w:tcW w:w="22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-103.8%</w:t>
            </w:r>
          </w:p>
        </w:tc>
      </w:tr>
    </w:tbl>
    <w:p>
      <w:pPr>
        <w:spacing w:after="0" w:line="228" w:lineRule="exact"/>
        <w:rPr>
          <w:sz w:val="20"/>
          <w:szCs w:val="20"/>
          <w:color w:val="auto"/>
        </w:rPr>
      </w:pPr>
    </w:p>
    <w:p>
      <w:pPr>
        <w:ind w:right="540" w:firstLine="518"/>
        <w:spacing w:after="0" w:line="264" w:lineRule="auto"/>
        <w:rPr>
          <w:sz w:val="20"/>
          <w:szCs w:val="20"/>
          <w:color w:val="auto"/>
        </w:rPr>
      </w:pPr>
      <w:r>
        <w:rPr>
          <w:rFonts w:ascii="Arial" w:cs="Arial" w:eastAsia="Arial" w:hAnsi="Arial"/>
          <w:sz w:val="18"/>
          <w:szCs w:val="18"/>
          <w:color w:val="auto"/>
        </w:rPr>
        <w:t>Net loss of $815,000 for the six months ended October 31, 2019 was $15.1 million lower than net income of $14.3 million for the prior year comparable period, primarily for the same reasons as described in the second quarter comparison as well as increases related to the development of our eCommerce initiative.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Our principal cash requirements are to (1) finance the growth of our operations, including working capital and capital expenditures, (2) service our existing debt, and (3) fund any potential acquisitions and the spin-off of our Outdoor Products &amp; Accessories segment. Capital expenditures for material handling equipment and other capital projects to support our national logistics facility, various information technology projects, and tooling for new product offerings represent important cash needs.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cash flow information for the six months ended October 31, 2019 and 2018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(43,657)</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(9,368)</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(18,589)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(9,221)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(2,915)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8"/>
                <w:szCs w:val="18"/>
                <w:color w:val="auto"/>
              </w:rPr>
              <w:t>Total cash flow</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(12,453)</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(3,158)</w:t>
            </w:r>
          </w:p>
        </w:tc>
        <w:tc>
          <w:tcPr>
            <w:tcW w:w="240" w:type="dxa"/>
            <w:vAlign w:val="bottom"/>
            <w:vMerge w:val="continue"/>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an annual basis, operating activities generally represent the principal source of our cash flow.</w:t>
      </w:r>
    </w:p>
    <w:p>
      <w:pPr>
        <w:spacing w:after="0" w:line="225"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Cash used in operating activities was $34.6 million for the six months ended October 31, 2019 compared with $9.1 million of cash generated for the six months ended October 31, 2018. Cash used in operating activities for the six months ended October 31, 2019 was negatively impacted by a $37.4 million increase in inventory related to the preparation for the fall hunting and holiday seasons and a build-up in inventory of our existing products in preparation for shifting manufacturing capacity to new products when they launch. In addition, a $10.8 million reduction in payroll and incentive accruals due to the payment of management incentive bonuses during the period, a $9.1 million increase in accounts receivable due to timing of shipments, and a decrease in accrued expenses and deferred revenue combined to increase cash used in operating activities. These cash usages were partially offset by income before depreciation and amortization of $27.2 million. Consistent with our historical seasonal inventory trends, we expect inventory in both of our segments to decline throughout our third fiscal quarter.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Cash used in investing activities decreased $9.4 million for the six months ended October 31, 2019 from the prior year comparable period. We recorded capital expenditures of $9.0 million for the six months ended October 31, 2019, $10.6 million lower than the prior year comparable period due to increased spending in the prior year related to our national distribution center. We currently expect to spend between $20.0 million and $25.0 million on capital expenditures in fiscal 2020, a decrease of $8.9 million to $13.9 million, as compared with $33.9 million in capital expenditures in fiscal 2019.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Cash provided by financing activities was $46.8 million for the six months ended October 31, 2019 compared with cash used in financing activities of $2.9 million for the six months ended October 31, 2018. Cash provided by financing activities during the six months ended October 31, 2019 was primarily a result of $50.0 million borrowings on our credit facility to support cash needed for operations, partially offset by principal payments on our Term Loan.</w:t>
      </w:r>
    </w:p>
    <w:p>
      <w:pPr>
        <w:spacing w:after="0" w:line="25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i w:val="1"/>
          <w:iCs w:val="1"/>
          <w:color w:val="auto"/>
        </w:rPr>
        <w:t xml:space="preserve">Capital Lease </w:t>
      </w:r>
      <w:r>
        <w:rPr>
          <w:rFonts w:ascii="Arial" w:cs="Arial" w:eastAsia="Arial" w:hAnsi="Arial"/>
          <w:sz w:val="16"/>
          <w:szCs w:val="16"/>
          <w:color w:val="auto"/>
        </w:rPr>
        <w:t>– In fiscal 2017, we announced a plan to establish a national logistics facility in Boone County, Missouri. We ultimately plan to rely on</w:t>
      </w:r>
      <w:r>
        <w:rPr>
          <w:rFonts w:ascii="Arial" w:cs="Arial" w:eastAsia="Arial" w:hAnsi="Arial"/>
          <w:sz w:val="16"/>
          <w:szCs w:val="16"/>
          <w:i w:val="1"/>
          <w:iCs w:val="1"/>
          <w:color w:val="auto"/>
        </w:rPr>
        <w:t xml:space="preserve"> </w:t>
      </w:r>
      <w:r>
        <w:rPr>
          <w:rFonts w:ascii="Arial" w:cs="Arial" w:eastAsia="Arial" w:hAnsi="Arial"/>
          <w:sz w:val="16"/>
          <w:szCs w:val="16"/>
          <w:color w:val="auto"/>
        </w:rPr>
        <w:t>this logistics facility for substantially all of our product distribution. In fiscal 2018, we broke ground on this new 633,000 square foot facility, which was completed in November 2018 and will become fully operational over the course of the remainder of fiscal 2020. As part of the completion of the building, we entered into a lease agreement with the developer of the building for $46.2 million. The lease has an effective interest rate of approximately 5.0% and is payable in 240 monthly installments through fiscal 2039. Upon the commencement of this lease, leases were accounted for under the provisions of ASC 840-10, Leases, which requires that leases be evaluated and classified as operating or capital leases for financial reporting purposes. Based on our evaluation under ASC 840-10, we determined that the lease qualified as a capital lease because the net present value of future lease payments exceeded 90% of the fair market value of the leased building. The building is pledged to secure the amounts outstanding. During the six months ended October 31, 2019, we paid $408,000 in principal payments relating to this capital lease. In November 2019, we announced a plan to spin off the outdoor products and accessories business of the company resulting in two independent companies: Smith &amp; Wesson Brands, Inc. (which would encompass our firearm business) and American Outdoor Brands, Inc. (which would encompass our outdoor products and accessories business). The lease is currently held by the corporation that would be named Smith &amp; Wesson Brands, Inc. and is expected to remain that way after the spin-off. It is expected, however, that American Outdoor Brands, Inc. will become a sub-lessor of the facility, although negotiations on those matters have not yet been completed.</w:t>
      </w:r>
    </w:p>
    <w:p>
      <w:pPr>
        <w:spacing w:after="0" w:line="175" w:lineRule="exact"/>
        <w:rPr>
          <w:sz w:val="20"/>
          <w:szCs w:val="20"/>
          <w:color w:val="auto"/>
        </w:rPr>
      </w:pPr>
    </w:p>
    <w:p>
      <w:pPr>
        <w:ind w:right="80" w:firstLine="518"/>
        <w:spacing w:after="0" w:line="283" w:lineRule="auto"/>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 On June 15, 2015, we and certain of our domestic subsidiaries entered into an unsecured credit facility, or the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TD Bank, N.A. and other lenders, or the Lenders, which included a $175.0 million revolving line of credit, or the Revolving Line, and a $105.0 million term loan, or the Term Loan, of which $78.2 million remained outstanding as of October 31, 2019.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that, among other things, increased the Revolving Line to $350.0 million, increased the option to expand the credit commitment to an additional $150.0 million, and extended the maturity of the Revolving Line from June 15, 2020 to October 27, 2021. On November 22, 2019, we entered into a fifth amendment to our Credit Agreement, or the Fifth Amendment, which, among other things, provides the Lenders’ consent to the spin-off of the Outdoor Products &amp; Accessories business, provided that certain financial conditions are satisfied, including (x) granting the Lenders a security interest in the assets of the remaining business,</w:t>
      </w:r>
    </w:p>
    <w:p>
      <w:pPr>
        <w:spacing w:after="0" w:line="7" w:lineRule="exact"/>
        <w:rPr>
          <w:sz w:val="20"/>
          <w:szCs w:val="20"/>
          <w:color w:val="auto"/>
        </w:rPr>
      </w:pPr>
    </w:p>
    <w:p>
      <w:pPr>
        <w:ind w:right="240" w:firstLine="8"/>
        <w:spacing w:after="0" w:line="25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reducing the Revolving Line to $250.0 million at the time of the spin-off, and (z) reducing the option to expand the credit agreement to $50.0 million at the time of the spin-off. Other than the changes described in the Second and Fifth Amendments, we otherwise remain subject to the terms of the Credit Agreement, as described below. We incurred $525,000 of debt issuance costs related to this amendment and have recorded these costs in notes and loans payable in the condensed consolidated balance sheet.</w:t>
      </w:r>
    </w:p>
    <w:p>
      <w:pPr>
        <w:spacing w:after="0" w:line="190"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color w:val="auto"/>
        </w:rPr>
        <w:t>As of October 31, 2019, we had $50.0 million of borrowings outstanding on the Revolving Line, which bore interest at 4.13%, which is equal to the LIBOR rate plus an applicable margin. The Term Loan, which bears interest at a variable rate, requires principal payments of $6.3 million per annum plus interest, payable quarterly. The Term Loan was paid in full on November 19, 2019 with proceeds from the Revolving Line.</w:t>
      </w:r>
    </w:p>
    <w:p>
      <w:pPr>
        <w:spacing w:after="0" w:line="166"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October 31, 2019, our interest rate on the Term Loan was 4.29%.</w:t>
      </w:r>
    </w:p>
    <w:p>
      <w:pPr>
        <w:spacing w:after="0" w:line="178"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As of October 31, 2019, the interest rate swap was considered effective and had no effect on earnings. The fair value of the interest rate swap on October 31, 2019 was an asset of $92,000 and was recorded in other assets on our condensed consolidated balance sheet. In accordance with the repayment of the Term Loan on November 19, 2019, the interest rate swap was terminated causing a small gain in the amount of $40,000.</w:t>
      </w:r>
    </w:p>
    <w:p>
      <w:pPr>
        <w:spacing w:after="0" w:line="166"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i w:val="1"/>
          <w:iCs w:val="1"/>
          <w:color w:val="auto"/>
        </w:rPr>
        <w:t xml:space="preserve">2020 Senior Notes - </w:t>
      </w:r>
      <w:r>
        <w:rPr>
          <w:rFonts w:ascii="Arial" w:cs="Arial" w:eastAsia="Arial" w:hAnsi="Arial"/>
          <w:sz w:val="18"/>
          <w:szCs w:val="18"/>
          <w:color w:val="auto"/>
        </w:rPr>
        <w:t>On February 28, 2018, we issued an aggregate of $75.0 million of the 2020 Senior Notes to various institutional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and conditions of an indenture, or the 2020 Senior Notes Indenture, and purchase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right="40"/>
        <w:spacing w:after="0" w:line="277" w:lineRule="auto"/>
        <w:rPr>
          <w:sz w:val="20"/>
          <w:szCs w:val="20"/>
          <w:color w:val="auto"/>
        </w:rPr>
      </w:pPr>
      <w:r>
        <w:rPr>
          <w:rFonts w:ascii="Arial" w:cs="Arial" w:eastAsia="Arial" w:hAnsi="Arial"/>
          <w:sz w:val="18"/>
          <w:szCs w:val="18"/>
          <w:color w:val="auto"/>
        </w:rPr>
        <w:t>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70"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As of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On December 5, 2019, we issued a notice of redemption to holders of our outstanding 5.000% Senior Notes that we intend to redeem all of our outstanding 5.000% Senior Notes on January 6, 2020, or the Redemption Date. The redemption price for the 5.000% Senior Notes will be 100% of the principal amount of the 5.000% Senior Notes, plus accrued and unpaid interest to, but not including, the Redemption Date.</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 We were in compliance with all debt covenants as of October 31, 2019.</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the construction of our national logistics facility, the spin-off of our Outdoor Products &amp; Accessories segment, and any acquisitions or other strategic investments that we may make.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20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October 31, 2019, we had $43.8 million in cash and cash equivalents on hand.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2019. The most significant areas involving our judgments and estimates are described in Management’s Discussion and Analysis of Financial Condition and Results of Operations in our Annual Report on Form 10-K for the fiscal year ended April 30, 2019, to which there have been no material changes. Actual results could differ from our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 xml:space="preserve">The nature and impact of recent accounting pronouncements, if any, is discussed in Note </w:t>
      </w:r>
      <w:r>
        <w:rPr>
          <w:rFonts w:ascii="Arial" w:cs="Arial" w:eastAsia="Arial" w:hAnsi="Arial"/>
          <w:sz w:val="18"/>
          <w:szCs w:val="18"/>
          <w:i w:val="1"/>
          <w:iCs w:val="1"/>
          <w:color w:val="auto"/>
        </w:rPr>
        <w:t>2—Basis of Presentation</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During the period ended October 31, 2019, we did not enter into or transact any forward option contracts nor did we have any forward contracts outstanding. We enter into derivative financial instruments, such as interest rate swaps, in order to mitigate our interest rate risk associated with our variable rate debt. We may be exposed to credit and market risks, including, but not limited to, the failure of any counterparty to perform under the terms of the derivative contract or the adverse effect on the value of the financial instrument resulting from a change in interest rates. As of October 31, 2019, we had an interest rate swap agreement outstanding, which matures on June 15, 2020 and hedged the variable interest on our Term Loan. This interest rate swap agreement was terminated on November 19, 2019 in conjunction with the restructuring of our Credit Facility. The outstanding balance of the Term Loan was $78.2 million, and the aggregate net fair value of the interest rate swap was $92,000 as of October 31, 2019. The fair value of this interest rate swap agreement was dependent upon existing market interest rates and swap spreads. As of October 31, 2019, the effective interest rate of our Term Loan was 4.29%.</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October 31, 2019,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have concluded that, as of October 31, 2019,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Chief Executive Officer and Chief Financial Officer, as appropriate to allow timely decisions regarding required disclosure.</w:t>
      </w:r>
    </w:p>
    <w:p>
      <w:pPr>
        <w:spacing w:after="0" w:line="188"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3" w:name="page34"/>
    <w:bookmarkEnd w:id="33"/>
    <w:p>
      <w:pPr>
        <w:ind w:left="42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nature of legal proceedings against us is discussed in Note 11</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2019, we had no authorized share repurchase programs.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exhibits listed on the Index to Exhibits (immediately preceding the signatures section of this Quarterly Report on Form 10-Q) are included herewith or incorporated herein by reference.</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20"/>
          </w:cols>
          <w:pgMar w:left="240" w:top="337" w:right="8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120" w:type="dxa"/>
            <w:vAlign w:val="bottom"/>
            <w:gridSpan w:val="5"/>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50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Rule 13a-14(a)/15d-14(a) Certification of Principal Executive Officer</w:t>
              </w:r>
            </w:hyperlink>
          </w:p>
        </w:tc>
        <w:tc>
          <w:tcPr>
            <w:tcW w:w="5100" w:type="dxa"/>
            <w:vAlign w:val="bottom"/>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012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Rule 13a-14(a)/15d-14(a) Certification of Principal Financial Officer</w:t>
              </w:r>
            </w:hyperlink>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41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Section 1350 Certification of Principal Executive Officer</w:t>
              </w:r>
            </w:hyperlink>
          </w:p>
        </w:tc>
        <w:tc>
          <w:tcPr>
            <w:tcW w:w="840" w:type="dxa"/>
            <w:vAlign w:val="bottom"/>
            <w:tcBorders>
              <w:top w:val="single" w:sz="8" w:color="0000EE"/>
            </w:tcBorders>
          </w:tcPr>
          <w:p>
            <w:pPr>
              <w:spacing w:after="0"/>
              <w:rPr>
                <w:sz w:val="24"/>
                <w:szCs w:val="24"/>
                <w:color w:val="auto"/>
              </w:rPr>
            </w:pPr>
          </w:p>
        </w:tc>
        <w:tc>
          <w:tcPr>
            <w:tcW w:w="5160" w:type="dxa"/>
            <w:vAlign w:val="bottom"/>
            <w:gridSpan w:val="2"/>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1012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Section 1350 Certification of Principal Financial Officer</w:t>
              </w:r>
            </w:hyperlink>
          </w:p>
        </w:tc>
      </w:tr>
      <w:tr>
        <w:trPr>
          <w:trHeight w:val="20"/>
        </w:trPr>
        <w:tc>
          <w:tcPr>
            <w:tcW w:w="116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5620" w:right="240" w:hanging="5612"/>
        <w:spacing w:after="0" w:line="778"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720" w:type="dxa"/>
            <w:vAlign w:val="bottom"/>
            <w:gridSpan w:val="2"/>
          </w:tcPr>
          <w:p>
            <w:pPr>
              <w:ind w:left="2900"/>
              <w:spacing w:after="0"/>
              <w:rPr>
                <w:sz w:val="20"/>
                <w:szCs w:val="20"/>
                <w:color w:val="auto"/>
              </w:rPr>
            </w:pPr>
            <w:r>
              <w:rPr>
                <w:rFonts w:ascii="Arial" w:cs="Arial" w:eastAsia="Arial" w:hAnsi="Arial"/>
                <w:sz w:val="18"/>
                <w:szCs w:val="18"/>
                <w:color w:val="auto"/>
              </w:rPr>
              <w:t>AMERICAN OUTDOOR BRANDS CORPORATION,</w:t>
            </w:r>
          </w:p>
        </w:tc>
      </w:tr>
      <w:tr>
        <w:trPr>
          <w:trHeight w:val="230"/>
        </w:trPr>
        <w:tc>
          <w:tcPr>
            <w:tcW w:w="3700" w:type="dxa"/>
            <w:vAlign w:val="bottom"/>
          </w:tcPr>
          <w:p>
            <w:pPr>
              <w:spacing w:after="0"/>
              <w:rPr>
                <w:sz w:val="20"/>
                <w:szCs w:val="20"/>
                <w:color w:val="auto"/>
              </w:rPr>
            </w:pPr>
          </w:p>
        </w:tc>
        <w:tc>
          <w:tcPr>
            <w:tcW w:w="7720" w:type="dxa"/>
            <w:vAlign w:val="bottom"/>
            <w:gridSpan w:val="2"/>
          </w:tcPr>
          <w:p>
            <w:pPr>
              <w:ind w:left="2900"/>
              <w:spacing w:after="0"/>
              <w:rPr>
                <w:sz w:val="20"/>
                <w:szCs w:val="20"/>
                <w:color w:val="auto"/>
              </w:rPr>
            </w:pPr>
            <w:r>
              <w:rPr>
                <w:rFonts w:ascii="Arial" w:cs="Arial" w:eastAsia="Arial" w:hAnsi="Arial"/>
                <w:sz w:val="18"/>
                <w:szCs w:val="18"/>
                <w:color w:val="auto"/>
              </w:rPr>
              <w:t>a Nevada corporation</w:t>
            </w:r>
          </w:p>
        </w:tc>
      </w:tr>
      <w:tr>
        <w:trPr>
          <w:trHeight w:val="338"/>
        </w:trPr>
        <w:tc>
          <w:tcPr>
            <w:tcW w:w="3700" w:type="dxa"/>
            <w:vAlign w:val="bottom"/>
          </w:tcPr>
          <w:p>
            <w:pPr>
              <w:spacing w:after="0"/>
              <w:rPr>
                <w:sz w:val="20"/>
                <w:szCs w:val="20"/>
                <w:color w:val="auto"/>
              </w:rPr>
            </w:pPr>
            <w:r>
              <w:rPr>
                <w:rFonts w:ascii="Arial" w:cs="Arial" w:eastAsia="Arial" w:hAnsi="Arial"/>
                <w:sz w:val="18"/>
                <w:szCs w:val="18"/>
                <w:color w:val="auto"/>
              </w:rPr>
              <w:t>Date: December 5, 2019</w:t>
            </w:r>
          </w:p>
        </w:tc>
        <w:tc>
          <w:tcPr>
            <w:tcW w:w="3520" w:type="dxa"/>
            <w:vAlign w:val="bottom"/>
          </w:tcPr>
          <w:p>
            <w:pPr>
              <w:ind w:left="288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 James Debney</w:t>
            </w:r>
          </w:p>
        </w:tc>
      </w:tr>
      <w:tr>
        <w:trPr>
          <w:trHeight w:val="195"/>
        </w:trPr>
        <w:tc>
          <w:tcPr>
            <w:tcW w:w="37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P. James Debney</w:t>
            </w:r>
          </w:p>
        </w:tc>
      </w:tr>
      <w:tr>
        <w:trPr>
          <w:trHeight w:val="230"/>
        </w:trPr>
        <w:tc>
          <w:tcPr>
            <w:tcW w:w="37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338"/>
        </w:trPr>
        <w:tc>
          <w:tcPr>
            <w:tcW w:w="3700" w:type="dxa"/>
            <w:vAlign w:val="bottom"/>
          </w:tcPr>
          <w:p>
            <w:pPr>
              <w:spacing w:after="0"/>
              <w:rPr>
                <w:sz w:val="20"/>
                <w:szCs w:val="20"/>
                <w:color w:val="auto"/>
              </w:rPr>
            </w:pPr>
            <w:r>
              <w:rPr>
                <w:rFonts w:ascii="Arial" w:cs="Arial" w:eastAsia="Arial" w:hAnsi="Arial"/>
                <w:sz w:val="18"/>
                <w:szCs w:val="18"/>
                <w:color w:val="auto"/>
              </w:rPr>
              <w:t>Date: December 5, 2019</w:t>
            </w:r>
          </w:p>
        </w:tc>
        <w:tc>
          <w:tcPr>
            <w:tcW w:w="3520" w:type="dxa"/>
            <w:vAlign w:val="bottom"/>
          </w:tcPr>
          <w:p>
            <w:pPr>
              <w:ind w:left="288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r>
      <w:tr>
        <w:trPr>
          <w:trHeight w:val="195"/>
        </w:trPr>
        <w:tc>
          <w:tcPr>
            <w:tcW w:w="37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Jeffrey D. Buchanan</w:t>
            </w:r>
          </w:p>
        </w:tc>
      </w:tr>
      <w:tr>
        <w:trPr>
          <w:trHeight w:val="216"/>
        </w:trPr>
        <w:tc>
          <w:tcPr>
            <w:tcW w:w="3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Executive Vice President,</w:t>
            </w:r>
          </w:p>
        </w:tc>
      </w:tr>
      <w:tr>
        <w:trPr>
          <w:trHeight w:val="216"/>
        </w:trPr>
        <w:tc>
          <w:tcPr>
            <w:tcW w:w="3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w w:val="93"/>
              </w:rPr>
              <w:t>Chief Financial Officer, Chief Administrative Officer, and</w:t>
            </w:r>
          </w:p>
        </w:tc>
      </w:tr>
      <w:tr>
        <w:trPr>
          <w:trHeight w:val="230"/>
        </w:trPr>
        <w:tc>
          <w:tcPr>
            <w:tcW w:w="37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Treasurer</w:t>
            </w:r>
          </w:p>
        </w:tc>
      </w:tr>
      <w:tr>
        <w:trPr>
          <w:trHeight w:val="648"/>
        </w:trPr>
        <w:tc>
          <w:tcPr>
            <w:tcW w:w="3700" w:type="dxa"/>
            <w:vAlign w:val="bottom"/>
          </w:tcPr>
          <w:p>
            <w:pPr>
              <w:spacing w:after="0"/>
              <w:rPr>
                <w:sz w:val="24"/>
                <w:szCs w:val="24"/>
                <w:color w:val="auto"/>
              </w:rPr>
            </w:pPr>
          </w:p>
        </w:tc>
        <w:tc>
          <w:tcPr>
            <w:tcW w:w="3520" w:type="dxa"/>
            <w:vAlign w:val="bottom"/>
          </w:tcPr>
          <w:p>
            <w:pPr>
              <w:ind w:left="1920"/>
              <w:spacing w:after="0"/>
              <w:rPr>
                <w:sz w:val="20"/>
                <w:szCs w:val="20"/>
                <w:color w:val="auto"/>
              </w:rPr>
            </w:pPr>
            <w:r>
              <w:rPr>
                <w:rFonts w:ascii="Arial" w:cs="Arial" w:eastAsia="Arial" w:hAnsi="Arial"/>
                <w:sz w:val="18"/>
                <w:szCs w:val="18"/>
                <w:color w:val="auto"/>
              </w:rPr>
              <w:t>36</w:t>
            </w:r>
          </w:p>
        </w:tc>
        <w:tc>
          <w:tcPr>
            <w:tcW w:w="42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James Debney,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 James Debney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ectPr>
          <w:pgSz w:w="11900" w:h="16838" w:orient="portrait"/>
          <w:cols w:equalWidth="0" w:num="1">
            <w:col w:w="11420"/>
          </w:cols>
          <w:pgMar w:left="240" w:top="36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Buchanan, certify that:</w:t>
      </w:r>
    </w:p>
    <w:p>
      <w:pPr>
        <w:spacing w:after="0" w:line="117" w:lineRule="exact"/>
        <w:rPr>
          <w:sz w:val="20"/>
          <w:szCs w:val="20"/>
          <w:color w:val="auto"/>
        </w:rPr>
      </w:pPr>
    </w:p>
    <w:p>
      <w:pPr>
        <w:ind w:left="700" w:hanging="17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D. Buchanan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Executive Vice President, Chief Financial Officer, Chief</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Administrative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ectPr>
          <w:pgSz w:w="11900" w:h="16838" w:orient="portrait"/>
          <w:cols w:equalWidth="0" w:num="1">
            <w:col w:w="11420"/>
          </w:cols>
          <w:pgMar w:left="240" w:top="3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October 31, 2019 as filed with the Securities and Exchange Commission on the date hereof (the “Report”), I, P. James Debney, President and Chief Executive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 James Debney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October 31, 2019 as filed with the Securities and Exchange Commission on the date hereof (the “Report”), I, Jeffrey D. Buchanan, Chief Financial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D. Buchanan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Executive Vice President, Chief Financial Officer, Chief</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Administrative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25"/>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25"/>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2019-12-28T01:07:17Z</dcterms:created>
  <dcterms:modified xsi:type="dcterms:W3CDTF">2019-12-28T01:07:17Z</dcterms:modified>
</cp:coreProperties>
</file>