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4" w:lineRule="exact"/>
        <w:rPr>
          <w:sz w:val="24"/>
          <w:szCs w:val="24"/>
          <w:color w:val="auto"/>
        </w:rPr>
      </w:pPr>
    </w:p>
    <w:p>
      <w:pPr>
        <w:ind w:left="440" w:hanging="408"/>
        <w:spacing w:after="0"/>
        <w:tabs>
          <w:tab w:leader="none" w:pos="4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31, 2018</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111760</wp:posOffset>
            </wp:positionV>
            <wp:extent cx="3422015" cy="87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201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American Outdoor Brands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5140" w:type="dxa"/>
            <w:vAlign w:val="bottom"/>
          </w:tcPr>
          <w:p>
            <w:pPr>
              <w:jc w:val="right"/>
              <w:ind w:right="40"/>
              <w:spacing w:after="0"/>
              <w:rPr>
                <w:sz w:val="20"/>
                <w:szCs w:val="20"/>
                <w:color w:val="auto"/>
              </w:rPr>
            </w:pPr>
            <w:r>
              <w:rPr>
                <w:rFonts w:ascii="Arial" w:cs="Arial" w:eastAsia="Arial" w:hAnsi="Arial"/>
                <w:sz w:val="18"/>
                <w:szCs w:val="18"/>
                <w:b w:val="1"/>
                <w:bCs w:val="1"/>
                <w:color w:val="auto"/>
              </w:rPr>
              <w:t>87-0543688</w:t>
            </w:r>
          </w:p>
        </w:tc>
      </w:tr>
      <w:tr>
        <w:trPr>
          <w:trHeight w:val="149"/>
        </w:trPr>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40" w:type="dxa"/>
            <w:vAlign w:val="bottom"/>
          </w:tcPr>
          <w:p>
            <w:pPr>
              <w:jc w:val="center"/>
              <w:ind w:left="394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6"/>
              </w:rPr>
              <w:t>2100 Roosevelt Avenue</w:t>
            </w:r>
          </w:p>
        </w:tc>
        <w:tc>
          <w:tcPr>
            <w:tcW w:w="5140" w:type="dxa"/>
            <w:vAlign w:val="bottom"/>
          </w:tcPr>
          <w:p>
            <w:pPr>
              <w:spacing w:after="0"/>
              <w:rPr>
                <w:sz w:val="24"/>
                <w:szCs w:val="24"/>
                <w:color w:val="auto"/>
              </w:rPr>
            </w:pPr>
          </w:p>
        </w:tc>
      </w:t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8"/>
              </w:rPr>
              <w:t>Springfield, Massachusetts</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01104</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6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420" w:type="dxa"/>
            <w:vAlign w:val="bottom"/>
          </w:tcPr>
          <w:p>
            <w:pPr>
              <w:spacing w:after="0"/>
              <w:rPr>
                <w:sz w:val="24"/>
                <w:szCs w:val="24"/>
                <w:color w:val="auto"/>
              </w:rPr>
            </w:pPr>
          </w:p>
        </w:tc>
        <w:tc>
          <w:tcPr>
            <w:tcW w:w="5140" w:type="dxa"/>
            <w:vAlign w:val="bottom"/>
          </w:tcPr>
          <w:p>
            <w:pPr>
              <w:jc w:val="right"/>
              <w:ind w:right="2820"/>
              <w:spacing w:after="0"/>
              <w:rPr>
                <w:sz w:val="20"/>
                <w:szCs w:val="20"/>
                <w:color w:val="auto"/>
              </w:rPr>
            </w:pPr>
            <w:r>
              <w:rPr>
                <w:rFonts w:ascii="Arial" w:cs="Arial" w:eastAsia="Arial" w:hAnsi="Arial"/>
                <w:sz w:val="18"/>
                <w:szCs w:val="18"/>
                <w:b w:val="1"/>
                <w:bCs w:val="1"/>
                <w:color w:val="auto"/>
              </w:rPr>
              <w:t>(800) 331-0852</w:t>
            </w:r>
          </w:p>
        </w:tc>
      </w:tr>
      <w:tr>
        <w:trPr>
          <w:trHeight w:val="186"/>
        </w:trPr>
        <w:tc>
          <w:tcPr>
            <w:tcW w:w="2420" w:type="dxa"/>
            <w:vAlign w:val="bottom"/>
          </w:tcPr>
          <w:p>
            <w:pPr>
              <w:spacing w:after="0"/>
              <w:rPr>
                <w:sz w:val="16"/>
                <w:szCs w:val="16"/>
                <w:color w:val="auto"/>
              </w:rPr>
            </w:pPr>
          </w:p>
        </w:tc>
        <w:tc>
          <w:tcPr>
            <w:tcW w:w="514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76200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both"/>
        <w:ind w:right="2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8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0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74" w:lineRule="exact"/>
        <w:rPr>
          <w:sz w:val="24"/>
          <w:szCs w:val="24"/>
          <w:color w:val="auto"/>
        </w:rPr>
      </w:pPr>
    </w:p>
    <w:p>
      <w:pPr>
        <w:ind w:right="4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3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registrant had 54,389,046 shares of common stock, par value $0.001, outstanding as of August 28,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AMERICAN OUTDOOR BRANDS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31,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0" w:type="dxa"/>
            <w:vAlign w:val="bottom"/>
            <w:gridSpan w:val="4"/>
          </w:tcPr>
          <w:p>
            <w:pPr>
              <w:ind w:left="1480"/>
              <w:spacing w:after="0"/>
              <w:rPr>
                <w:sz w:val="20"/>
                <w:szCs w:val="20"/>
                <w:color w:val="auto"/>
              </w:rPr>
            </w:pPr>
            <w:r>
              <w:rPr>
                <w:rFonts w:ascii="Arial" w:cs="Arial" w:eastAsia="Arial" w:hAnsi="Arial"/>
                <w:sz w:val="18"/>
                <w:szCs w:val="18"/>
                <w:b w:val="1"/>
                <w:bCs w:val="1"/>
                <w:color w:val="auto"/>
              </w:rPr>
              <w:t>TABLE OF CONTENTS</w:t>
            </w:r>
          </w:p>
        </w:tc>
        <w:tc>
          <w:tcPr>
            <w:tcW w:w="2140" w:type="dxa"/>
            <w:vAlign w:val="bottom"/>
          </w:tcPr>
          <w:p>
            <w:pPr>
              <w:spacing w:after="0"/>
              <w:rPr>
                <w:sz w:val="20"/>
                <w:szCs w:val="20"/>
                <w:color w:val="auto"/>
              </w:rPr>
            </w:pPr>
          </w:p>
        </w:tc>
      </w:tr>
      <w:tr>
        <w:trPr>
          <w:trHeight w:val="419"/>
        </w:trPr>
        <w:tc>
          <w:tcPr>
            <w:tcW w:w="314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6140" w:type="dxa"/>
            <w:vAlign w:val="bottom"/>
            <w:gridSpan w:val="5"/>
          </w:tcPr>
          <w:p>
            <w:pPr>
              <w:spacing w:after="0"/>
              <w:rPr>
                <w:sz w:val="24"/>
                <w:szCs w:val="24"/>
                <w:color w:val="auto"/>
              </w:rPr>
            </w:pPr>
          </w:p>
        </w:tc>
        <w:tc>
          <w:tcPr>
            <w:tcW w:w="214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29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6000" w:type="dxa"/>
            <w:vAlign w:val="bottom"/>
            <w:gridSpan w:val="4"/>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00" w:type="dxa"/>
            <w:vAlign w:val="bottom"/>
          </w:tcPr>
          <w:p>
            <w:pPr>
              <w:spacing w:after="0"/>
              <w:rPr>
                <w:sz w:val="17"/>
                <w:szCs w:val="17"/>
                <w:color w:val="auto"/>
              </w:rPr>
            </w:pPr>
          </w:p>
        </w:tc>
        <w:tc>
          <w:tcPr>
            <w:tcW w:w="70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2. Management’s Discussion and Analysis of Financial Condition and Results of Operations</w:t>
              </w:r>
            </w:hyperlink>
          </w:p>
        </w:tc>
        <w:tc>
          <w:tcPr>
            <w:tcW w:w="1960" w:type="dxa"/>
            <w:vAlign w:val="bottom"/>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00" w:type="dxa"/>
            <w:vAlign w:val="bottom"/>
          </w:tcPr>
          <w:p>
            <w:pPr>
              <w:spacing w:after="0"/>
              <w:rPr>
                <w:sz w:val="17"/>
                <w:szCs w:val="17"/>
                <w:color w:val="auto"/>
              </w:rPr>
            </w:pPr>
          </w:p>
        </w:tc>
        <w:tc>
          <w:tcPr>
            <w:tcW w:w="49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4060" w:type="dxa"/>
            <w:vAlign w:val="bottom"/>
            <w:gridSpan w:val="2"/>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00" w:type="dxa"/>
            <w:vAlign w:val="bottom"/>
          </w:tcPr>
          <w:p>
            <w:pPr>
              <w:spacing w:after="0"/>
              <w:rPr>
                <w:sz w:val="17"/>
                <w:szCs w:val="17"/>
                <w:color w:val="auto"/>
              </w:rPr>
            </w:pPr>
          </w:p>
        </w:tc>
        <w:tc>
          <w:tcPr>
            <w:tcW w:w="8980" w:type="dxa"/>
            <w:vAlign w:val="bottom"/>
            <w:gridSpan w:val="1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18"/>
        </w:trPr>
        <w:tc>
          <w:tcPr>
            <w:tcW w:w="28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6440" w:type="dxa"/>
            <w:vAlign w:val="bottom"/>
            <w:gridSpan w:val="6"/>
          </w:tcPr>
          <w:p>
            <w:pPr>
              <w:spacing w:after="0"/>
              <w:rPr>
                <w:sz w:val="24"/>
                <w:szCs w:val="24"/>
                <w:color w:val="auto"/>
              </w:rPr>
            </w:pPr>
          </w:p>
        </w:tc>
        <w:tc>
          <w:tcPr>
            <w:tcW w:w="214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1.</w:t>
              </w:r>
            </w:hyperlink>
          </w:p>
        </w:tc>
        <w:tc>
          <w:tcPr>
            <w:tcW w:w="136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7080" w:type="dxa"/>
            <w:vAlign w:val="bottom"/>
            <w:gridSpan w:val="8"/>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0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2.</w:t>
              </w:r>
            </w:hyperlink>
          </w:p>
        </w:tc>
        <w:tc>
          <w:tcPr>
            <w:tcW w:w="8440" w:type="dxa"/>
            <w:vAlign w:val="bottom"/>
            <w:gridSpan w:val="10"/>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0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6.</w:t>
              </w:r>
            </w:hyperlink>
          </w:p>
        </w:tc>
        <w:tc>
          <w:tcPr>
            <w:tcW w:w="62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3740" w:type="dxa"/>
            <w:vAlign w:val="bottom"/>
            <w:tcBorders>
              <w:top w:val="single" w:sz="8" w:color="0000EE"/>
            </w:tcBorders>
            <w:gridSpan w:val="6"/>
          </w:tcPr>
          <w:p>
            <w:pPr>
              <w:spacing w:after="0"/>
              <w:rPr>
                <w:sz w:val="17"/>
                <w:szCs w:val="17"/>
                <w:color w:val="auto"/>
              </w:rPr>
            </w:pPr>
          </w:p>
        </w:tc>
        <w:tc>
          <w:tcPr>
            <w:tcW w:w="4080" w:type="dxa"/>
            <w:vAlign w:val="bottom"/>
            <w:gridSpan w:val="3"/>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40" w:type="dxa"/>
            <w:vAlign w:val="bottom"/>
            <w:gridSpan w:val="3"/>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Signatures</w:t>
              </w:r>
            </w:hyperlink>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EX-31.1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w:t>
      </w:r>
    </w:p>
    <w:p>
      <w:pPr>
        <w:spacing w:after="0" w:line="211"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color w:val="auto"/>
        </w:rPr>
        <w:t>Smith &amp; Wesson®, S&amp;W®, M&amp;P®, M&amp;P Shield®, Performance Center®, Bodyguard®, Governor®, SW22 Victory®, T/C ®, America’s Master Gunmaker ®, Compass®, Contender®, Dimension®, Encore®, Triumph®, Weather Shield®, Caldwell®, Delta Series®, Wheeler®, Tipton®, Frankford Arsenal®, Lockdown®, BOG-POD®, Golden Rod®, Mag Charger®, Hooyman®, Schrade®, Old Timer®, Uncle Henry®, Imperial®, Non-Typical Wildlife Solutions®, Crimson Trace®, Lasergrips®, Laserguard®, Rail Master®, Shockstop®, Key Gear®, U-Dig-It®, Bubba Blade®, One Cut and You’re Through®, Gemtech®, G-Core®, Halo®, Integra®, World Class Silencers®, LiNQ®, Stinky Bubba®, and Turkinator™ are some of the registered U.S. trademarks of our company or one of our subsidiaries. American Outdoor Brands CorporationSM, M2.0™, SDVE™, Thompson/Center Arms™, Impact!™, Strike™, Venture™, Defender Series™, Instinctive Activation™, Master Series™, UST™, Blast Jacket™, One™, The Professional’s Choice for Decades™, and World Class Ammunition™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25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the expected performance of acquired businesses; our assessment of factors relating to the valuation of assets acquired and liabilities assumed in acquisitions, the timing for such evaluations, and the potential adjustment in such evaluations; assessments that we make about determining segments and reporting units; the features of our outstanding debt and our expectation that our interest rate swap will not have any material effect on our earnings or our consolidated financial statements within the next 12 months; estimated amortization expense of intangible assets for future periods; the potential for impairment charges; potential repurchases of our common stock; the outcome of the lawsuits to which we are subject and their effect on us; our belief that inventory levels, both internally and in the distribution channel, in excess of demand, may negatively impact future operating results; our belief that it is difficult to forecast the potential impact of distributor inventories on future revenue and income as demand is impacted by many factors, including seasonality, new product introductions, news events, political events, and consumer tastes; our belief that inventory levels will continue to increase in the second quarter due to reduced manufacturing output as well as planned inventory build to reduce the risk of shipping complications at the time that our national logistics facility becomes operational; the impact of the Tax Cuts and Jobs Act, or Tax Reform, on our operating results, including our belief that Tax Reform will be a benefit to us and reduce our effective tax rate; the effects of acquisitions on our overall financial performance; our assessment of our acquisitions, including the quality and strength of their products; our assessment of consumer demand and factors that stimulate demand for our products; the effect on our business of various factors, including terrorism and the level of political pressures on firearm laws and regulations; future investments for capital expenditures; future products and product developments; the features, quality, and performance of our products; the success of particular product or marketing programs; our market share and factors that affect our market share; and liquidity and anticipated cash needs and availability.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including the demand for our products; the costs and ultimate conclusion of certain legal matters; the state of the U.S. economy in general and the firearm industry in particular; general economic conditions and consumer spending patterns; the competitive environment; the supply, availability, and costs of raw materials and components; the potential for increased regulation of firearms and firearm-related products; speculation surrounding fears of terrorism and crime; our anticipated growth and growth opportunities; our ability to increase demand for our products in various markets, including consumer, law enforcement, and military channels, domestically and internationally; the position of our hunting products in the consumer discretionary marketplace and distribution channel; our penetration rates in new and existing markets; our strategies; our ability to maintain and enhance brand recognition and reputation; risks associated with the establishment of our new 632,000 square foot national logistics facility including the timing of completion and the expected benefits; our ability to introduce new products; the success of new products; our ability to expand our markets; our ability to integrate acquired businesses in a successful manner; the general growth of our outdoor products and accessories business; the potential for cancellation of orders from our backlog; and other factors detailed from time to time in our reports filed with the Securities and Exchange Commission, or the SEC, including our Annual Report on Form 10-K for the fiscal year ended April 30, 2018, filed with the SEC on June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7"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BALANCE SHEETS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99"/>
              </w:rPr>
              <w:t>July 31, 2018</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99"/>
              </w:rPr>
              <w:t>April 30, 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40" w:type="dxa"/>
            <w:vAlign w:val="bottom"/>
            <w:gridSpan w:val="5"/>
          </w:tcPr>
          <w:p>
            <w:pPr>
              <w:jc w:val="right"/>
              <w:spacing w:after="0" w:line="155" w:lineRule="exact"/>
              <w:rPr>
                <w:sz w:val="20"/>
                <w:szCs w:val="20"/>
                <w:color w:val="auto"/>
              </w:rPr>
            </w:pPr>
            <w:r>
              <w:rPr>
                <w:rFonts w:ascii="Arial" w:cs="Arial" w:eastAsia="Arial" w:hAnsi="Arial"/>
                <w:sz w:val="14"/>
                <w:szCs w:val="14"/>
                <w:color w:val="auto"/>
                <w:w w:val="92"/>
              </w:rPr>
              <w:t>(In thousands, except par value and share data)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532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4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 $1,774 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July 31, 2018 and $1,824 on April 30, 2018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166,891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receivable</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243,917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172,788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Intangibles, net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107,454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191,203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726,845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370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31,622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Arial" w:cs="Arial" w:eastAsia="Arial" w:hAnsi="Arial"/>
                <w:sz w:val="18"/>
                <w:szCs w:val="18"/>
                <w:color w:val="auto"/>
              </w:rPr>
              <w:t>Accrued payroll and incentives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9,861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income taxes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Arial" w:cs="Arial" w:eastAsia="Arial" w:hAnsi="Arial"/>
                <w:sz w:val="18"/>
                <w:szCs w:val="18"/>
                <w:color w:val="auto"/>
              </w:rPr>
              <w:t>Accrued profit sharing</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notes and loans payable</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93,868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Notes and loans payable, net of current portion</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153,837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Capital lease payable, net of current portion</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300,165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20,000,000 shares authorized, no shares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or outstanding</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040" w:type="dxa"/>
            <w:vAlign w:val="bottom"/>
          </w:tcPr>
          <w:p>
            <w:pPr>
              <w:ind w:left="260"/>
              <w:spacing w:after="0"/>
              <w:rPr>
                <w:sz w:val="20"/>
                <w:szCs w:val="20"/>
                <w:color w:val="auto"/>
              </w:rPr>
            </w:pPr>
            <w:r>
              <w:rPr>
                <w:rFonts w:ascii="Arial" w:cs="Arial" w:eastAsia="Arial" w:hAnsi="Arial"/>
                <w:sz w:val="18"/>
                <w:szCs w:val="18"/>
                <w:color w:val="auto"/>
              </w:rPr>
              <w:t>Common stock, $.001 par value, 100,000,000 shares authorized,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80"/>
              <w:spacing w:after="0"/>
              <w:rPr>
                <w:sz w:val="20"/>
                <w:szCs w:val="20"/>
                <w:color w:val="auto"/>
              </w:rPr>
            </w:pPr>
            <w:r>
              <w:rPr>
                <w:rFonts w:ascii="Arial" w:cs="Arial" w:eastAsia="Arial" w:hAnsi="Arial"/>
                <w:sz w:val="18"/>
                <w:szCs w:val="18"/>
                <w:color w:val="auto"/>
              </w:rPr>
              <w:t>72,550,428 shares issued and 54,383,566 shares outstanding 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80"/>
              <w:spacing w:after="0"/>
              <w:rPr>
                <w:sz w:val="20"/>
                <w:szCs w:val="20"/>
                <w:color w:val="auto"/>
              </w:rPr>
            </w:pPr>
            <w:r>
              <w:rPr>
                <w:rFonts w:ascii="Arial" w:cs="Arial" w:eastAsia="Arial" w:hAnsi="Arial"/>
                <w:sz w:val="18"/>
                <w:szCs w:val="18"/>
                <w:color w:val="auto"/>
              </w:rPr>
              <w:t>July 31, 2018 and 72,433,705 shares issued and 54,266,843 shares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380"/>
              <w:spacing w:after="0"/>
              <w:rPr>
                <w:sz w:val="20"/>
                <w:szCs w:val="20"/>
                <w:color w:val="auto"/>
              </w:rPr>
            </w:pPr>
            <w:r>
              <w:rPr>
                <w:rFonts w:ascii="Arial" w:cs="Arial" w:eastAsia="Arial" w:hAnsi="Arial"/>
                <w:sz w:val="18"/>
                <w:szCs w:val="18"/>
                <w:color w:val="auto"/>
              </w:rPr>
              <w:t>outstanding on April 30, 2018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255,189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392,181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40" w:type="dxa"/>
            <w:vAlign w:val="bottom"/>
          </w:tcPr>
          <w:p>
            <w:pPr>
              <w:ind w:left="260"/>
              <w:spacing w:after="0"/>
              <w:rPr>
                <w:sz w:val="20"/>
                <w:szCs w:val="20"/>
                <w:color w:val="auto"/>
              </w:rPr>
            </w:pPr>
            <w:r>
              <w:rPr>
                <w:rFonts w:ascii="Arial" w:cs="Arial" w:eastAsia="Arial" w:hAnsi="Arial"/>
                <w:sz w:val="18"/>
                <w:szCs w:val="18"/>
                <w:color w:val="auto"/>
              </w:rPr>
              <w:t>Treasury stock, at cost (18,166,862 shares on July 31, 2018 and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380"/>
              <w:spacing w:after="0"/>
              <w:rPr>
                <w:sz w:val="20"/>
                <w:szCs w:val="20"/>
                <w:color w:val="auto"/>
              </w:rPr>
            </w:pPr>
            <w:r>
              <w:rPr>
                <w:rFonts w:ascii="Arial" w:cs="Arial" w:eastAsia="Arial" w:hAnsi="Arial"/>
                <w:sz w:val="18"/>
                <w:szCs w:val="18"/>
                <w:color w:val="auto"/>
              </w:rPr>
              <w:t>April 30, 2018)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(222,375)</w:t>
            </w:r>
          </w:p>
        </w:tc>
        <w:tc>
          <w:tcPr>
            <w:tcW w:w="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(222,375)</w:t>
            </w:r>
          </w:p>
        </w:tc>
        <w:tc>
          <w:tcPr>
            <w:tcW w:w="0" w:type="dxa"/>
            <w:vAlign w:val="bottom"/>
          </w:tcPr>
          <w:p>
            <w:pPr>
              <w:spacing w:after="0"/>
              <w:rPr>
                <w:sz w:val="1"/>
                <w:szCs w:val="1"/>
                <w:color w:val="auto"/>
              </w:rPr>
            </w:pPr>
          </w:p>
        </w:tc>
      </w:tr>
      <w:tr>
        <w:trPr>
          <w:trHeight w:val="223"/>
        </w:trPr>
        <w:tc>
          <w:tcPr>
            <w:tcW w:w="8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426,680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422,148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726,845</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INCOME AND COMPREHENSIVE INCOME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For the Three Months Ended July 31,</w:t>
            </w:r>
          </w:p>
        </w:tc>
        <w:tc>
          <w:tcPr>
            <w:tcW w:w="0" w:type="dxa"/>
            <w:vAlign w:val="bottom"/>
          </w:tcPr>
          <w:p>
            <w:pPr>
              <w:spacing w:after="0"/>
              <w:rPr>
                <w:sz w:val="1"/>
                <w:szCs w:val="1"/>
                <w:color w:val="auto"/>
              </w:rPr>
            </w:pPr>
          </w:p>
        </w:tc>
      </w:tr>
      <w:tr>
        <w:trPr>
          <w:trHeight w:val="156"/>
        </w:trPr>
        <w:tc>
          <w:tcPr>
            <w:tcW w:w="63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gridSpan w:val="4"/>
          </w:tcPr>
          <w:p>
            <w:pPr>
              <w:jc w:val="right"/>
              <w:ind w:right="271"/>
              <w:spacing w:after="0" w:line="155" w:lineRule="exact"/>
              <w:rPr>
                <w:sz w:val="20"/>
                <w:szCs w:val="20"/>
                <w:color w:val="auto"/>
              </w:rPr>
            </w:pPr>
            <w:r>
              <w:rPr>
                <w:rFonts w:ascii="Arial" w:cs="Arial" w:eastAsia="Arial" w:hAnsi="Arial"/>
                <w:sz w:val="14"/>
                <w:szCs w:val="14"/>
                <w:color w:val="auto"/>
                <w:w w:val="97"/>
              </w:rPr>
              <w:t>(In thousands, except per share data)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138,833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86,411</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52,422</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11,615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24,521</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38,946</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income/(loss)</w:t>
            </w:r>
          </w:p>
        </w:tc>
        <w:tc>
          <w:tcPr>
            <w:tcW w:w="2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13,476</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(expense)/income, net</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(2,001)</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23"/>
        </w:trPr>
        <w:tc>
          <w:tcPr>
            <w:tcW w:w="63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(expense)/income, net</w:t>
            </w:r>
          </w:p>
        </w:tc>
        <w:tc>
          <w:tcPr>
            <w:tcW w:w="2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Income/(loss) from operations before income taxes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11,457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income/(loss)</w:t>
            </w:r>
          </w:p>
        </w:tc>
        <w:tc>
          <w:tcPr>
            <w:tcW w:w="2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7,645</w:t>
            </w:r>
          </w:p>
        </w:tc>
        <w:tc>
          <w:tcPr>
            <w:tcW w:w="2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income/(loss):</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40" w:type="dxa"/>
            <w:vAlign w:val="bottom"/>
          </w:tcPr>
          <w:p>
            <w:pPr>
              <w:ind w:left="260"/>
              <w:spacing w:after="0"/>
              <w:rPr>
                <w:sz w:val="20"/>
                <w:szCs w:val="20"/>
                <w:color w:val="auto"/>
              </w:rPr>
            </w:pPr>
            <w:r>
              <w:rPr>
                <w:rFonts w:ascii="Arial" w:cs="Arial" w:eastAsia="Arial" w:hAnsi="Arial"/>
                <w:sz w:val="18"/>
                <w:szCs w:val="18"/>
                <w:color w:val="auto"/>
              </w:rPr>
              <w:t>Change in unrealized loss on interest rate</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380"/>
              <w:spacing w:after="0"/>
              <w:rPr>
                <w:sz w:val="20"/>
                <w:szCs w:val="20"/>
                <w:color w:val="auto"/>
              </w:rPr>
            </w:pPr>
            <w:r>
              <w:rPr>
                <w:rFonts w:ascii="Arial" w:cs="Arial" w:eastAsia="Arial" w:hAnsi="Arial"/>
                <w:sz w:val="18"/>
                <w:szCs w:val="18"/>
                <w:color w:val="auto"/>
              </w:rPr>
              <w:t>swap</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6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loss, before income taxes</w:t>
            </w:r>
          </w:p>
        </w:tc>
        <w:tc>
          <w:tcPr>
            <w:tcW w:w="2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40" w:type="dxa"/>
            <w:vAlign w:val="bottom"/>
          </w:tcPr>
          <w:p>
            <w:pPr>
              <w:ind w:left="260"/>
              <w:spacing w:after="0"/>
              <w:rPr>
                <w:sz w:val="20"/>
                <w:szCs w:val="20"/>
                <w:color w:val="auto"/>
              </w:rPr>
            </w:pPr>
            <w:r>
              <w:rPr>
                <w:rFonts w:ascii="Arial" w:cs="Arial" w:eastAsia="Arial" w:hAnsi="Arial"/>
                <w:sz w:val="18"/>
                <w:szCs w:val="18"/>
                <w:color w:val="auto"/>
              </w:rPr>
              <w:t>Income tax benefit on other comprehensive</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loss</w:t>
            </w:r>
          </w:p>
        </w:tc>
        <w:tc>
          <w:tcPr>
            <w:tcW w:w="21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2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income/(loss):</w:t>
            </w:r>
          </w:p>
        </w:tc>
        <w:tc>
          <w:tcPr>
            <w:tcW w:w="2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7,568</w:t>
            </w:r>
          </w:p>
        </w:tc>
        <w:tc>
          <w:tcPr>
            <w:tcW w:w="2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2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260"/>
              <w:spacing w:after="0"/>
              <w:rPr>
                <w:sz w:val="20"/>
                <w:szCs w:val="20"/>
                <w:color w:val="auto"/>
              </w:rPr>
            </w:pPr>
            <w:r>
              <w:rPr>
                <w:rFonts w:ascii="Arial" w:cs="Arial" w:eastAsia="Arial" w:hAnsi="Arial"/>
                <w:sz w:val="18"/>
                <w:szCs w:val="18"/>
                <w:color w:val="auto"/>
              </w:rPr>
              <w:t>Basic</w:t>
            </w:r>
          </w:p>
        </w:tc>
        <w:tc>
          <w:tcPr>
            <w:tcW w:w="21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6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1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54,931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line="275"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 OF CHANGES IN STOCKHOLDERS’ EQUITY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60" w:type="dxa"/>
            <w:vAlign w:val="bottom"/>
          </w:tcPr>
          <w:p>
            <w:pPr>
              <w:spacing w:after="0"/>
              <w:rPr>
                <w:sz w:val="14"/>
                <w:szCs w:val="14"/>
                <w:color w:val="auto"/>
              </w:rPr>
            </w:pPr>
          </w:p>
        </w:tc>
        <w:tc>
          <w:tcPr>
            <w:tcW w:w="18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Other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61"/>
        </w:trPr>
        <w:tc>
          <w:tcPr>
            <w:tcW w:w="3860" w:type="dxa"/>
            <w:vAlign w:val="bottom"/>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Retained</w:t>
            </w:r>
          </w:p>
        </w:tc>
        <w:tc>
          <w:tcPr>
            <w:tcW w:w="12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Comprehensive</w:t>
            </w:r>
          </w:p>
        </w:tc>
        <w:tc>
          <w:tcPr>
            <w:tcW w:w="164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Stockholders’</w:t>
            </w:r>
          </w:p>
        </w:tc>
      </w:tr>
      <w:tr>
        <w:trPr>
          <w:trHeight w:val="156"/>
        </w:trPr>
        <w:tc>
          <w:tcPr>
            <w:tcW w:w="3860" w:type="dxa"/>
            <w:vAlign w:val="bottom"/>
          </w:tcPr>
          <w:p>
            <w:pPr>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tcPr>
          <w:p>
            <w:pPr>
              <w:jc w:val="right"/>
              <w:ind w:right="79"/>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3"/>
                <w:szCs w:val="13"/>
                <w:color w:val="auto"/>
              </w:rPr>
            </w:pPr>
          </w:p>
        </w:tc>
        <w:tc>
          <w:tcPr>
            <w:tcW w:w="114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86"/>
              </w:rPr>
              <w:t>Income/(Loss)</w:t>
            </w:r>
          </w:p>
        </w:tc>
        <w:tc>
          <w:tcPr>
            <w:tcW w:w="9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10"/>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April 30, 2018</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72,434</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$ 253,616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$ 389,146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1,689</w:t>
            </w:r>
          </w:p>
        </w:tc>
        <w:tc>
          <w:tcPr>
            <w:tcW w:w="2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18,167</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2"/>
              </w:rPr>
              <w:t>$ (222,375)</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422,148</w:t>
            </w:r>
          </w:p>
        </w:tc>
        <w:tc>
          <w:tcPr>
            <w:tcW w:w="100" w:type="dxa"/>
            <w:vAlign w:val="bottom"/>
            <w:tcBorders>
              <w:top w:val="single" w:sz="8" w:color="CFF0FC"/>
            </w:tcBorders>
            <w:shd w:val="clear" w:color="auto" w:fill="CFF0FC"/>
          </w:tcPr>
          <w:p>
            <w:pPr>
              <w:spacing w:after="0"/>
              <w:rPr>
                <w:sz w:val="18"/>
                <w:szCs w:val="18"/>
                <w:color w:val="auto"/>
              </w:rPr>
            </w:pPr>
          </w:p>
        </w:tc>
      </w:tr>
      <w:tr>
        <w:trPr>
          <w:trHeight w:val="198"/>
        </w:trPr>
        <w:tc>
          <w:tcPr>
            <w:tcW w:w="3860" w:type="dxa"/>
            <w:vAlign w:val="bottom"/>
          </w:tcPr>
          <w:p>
            <w:pPr>
              <w:spacing w:after="0"/>
              <w:rPr>
                <w:sz w:val="20"/>
                <w:szCs w:val="20"/>
                <w:color w:val="auto"/>
              </w:rPr>
            </w:pPr>
            <w:r>
              <w:rPr>
                <w:rFonts w:ascii="Arial" w:cs="Arial" w:eastAsia="Arial" w:hAnsi="Arial"/>
                <w:sz w:val="17"/>
                <w:szCs w:val="17"/>
                <w:color w:val="auto"/>
              </w:rPr>
              <w:t>Proceeds from exercise of</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60" w:type="dxa"/>
            <w:vAlign w:val="bottom"/>
          </w:tcPr>
          <w:p>
            <w:pPr>
              <w:ind w:left="140"/>
              <w:spacing w:after="0"/>
              <w:rPr>
                <w:sz w:val="20"/>
                <w:szCs w:val="20"/>
                <w:color w:val="auto"/>
              </w:rPr>
            </w:pPr>
            <w:r>
              <w:rPr>
                <w:rFonts w:ascii="Arial" w:cs="Arial" w:eastAsia="Arial" w:hAnsi="Arial"/>
                <w:sz w:val="17"/>
                <w:szCs w:val="17"/>
                <w:color w:val="auto"/>
              </w:rPr>
              <w:t>employee stock options</w:t>
            </w: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8"/>
                <w:szCs w:val="18"/>
                <w:color w:val="auto"/>
              </w:rPr>
            </w:pPr>
          </w:p>
        </w:tc>
      </w:tr>
      <w:tr>
        <w:trPr>
          <w:trHeight w:val="220"/>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1,990</w:t>
            </w:r>
          </w:p>
        </w:tc>
        <w:tc>
          <w:tcPr>
            <w:tcW w:w="100" w:type="dxa"/>
            <w:vAlign w:val="bottom"/>
            <w:shd w:val="clear" w:color="auto" w:fill="CFF0FC"/>
          </w:tcPr>
          <w:p>
            <w:pPr>
              <w:spacing w:after="0"/>
              <w:rPr>
                <w:sz w:val="19"/>
                <w:szCs w:val="19"/>
                <w:color w:val="auto"/>
              </w:rPr>
            </w:pPr>
          </w:p>
        </w:tc>
      </w:tr>
      <w:tr>
        <w:trPr>
          <w:trHeight w:val="198"/>
        </w:trPr>
        <w:tc>
          <w:tcPr>
            <w:tcW w:w="3860" w:type="dxa"/>
            <w:vAlign w:val="bottom"/>
          </w:tcPr>
          <w:p>
            <w:pPr>
              <w:spacing w:after="0"/>
              <w:rPr>
                <w:sz w:val="20"/>
                <w:szCs w:val="20"/>
                <w:color w:val="auto"/>
              </w:rPr>
            </w:pPr>
            <w:r>
              <w:rPr>
                <w:rFonts w:ascii="Arial" w:cs="Arial" w:eastAsia="Arial" w:hAnsi="Arial"/>
                <w:sz w:val="17"/>
                <w:szCs w:val="17"/>
                <w:color w:val="auto"/>
              </w:rPr>
              <w:t>Change in unrealized loss on</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60" w:type="dxa"/>
            <w:vAlign w:val="bottom"/>
          </w:tcPr>
          <w:p>
            <w:pPr>
              <w:ind w:left="140"/>
              <w:spacing w:after="0"/>
              <w:rPr>
                <w:sz w:val="20"/>
                <w:szCs w:val="20"/>
                <w:color w:val="auto"/>
              </w:rPr>
            </w:pPr>
            <w:r>
              <w:rPr>
                <w:rFonts w:ascii="Arial" w:cs="Arial" w:eastAsia="Arial" w:hAnsi="Arial"/>
                <w:sz w:val="17"/>
                <w:szCs w:val="17"/>
                <w:color w:val="auto"/>
              </w:rPr>
              <w:t>interest rate swap, net of tax effect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(77)</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(77)</w:t>
            </w:r>
          </w:p>
        </w:tc>
      </w:tr>
      <w:tr>
        <w:trPr>
          <w:trHeight w:val="202"/>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Impact of adoption of accounting standard</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38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updates</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(4,610)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(4,610)</w:t>
            </w:r>
          </w:p>
        </w:tc>
      </w:tr>
      <w:tr>
        <w:trPr>
          <w:trHeight w:val="198"/>
        </w:trPr>
        <w:tc>
          <w:tcPr>
            <w:tcW w:w="3860" w:type="dxa"/>
            <w:vAlign w:val="bottom"/>
          </w:tcPr>
          <w:p>
            <w:pPr>
              <w:spacing w:after="0"/>
              <w:rPr>
                <w:sz w:val="20"/>
                <w:szCs w:val="20"/>
                <w:color w:val="auto"/>
              </w:rPr>
            </w:pPr>
            <w:r>
              <w:rPr>
                <w:rFonts w:ascii="Arial" w:cs="Arial" w:eastAsia="Arial" w:hAnsi="Arial"/>
                <w:sz w:val="17"/>
                <w:szCs w:val="17"/>
                <w:color w:val="auto"/>
              </w:rPr>
              <w:t>Issuance of common stock under</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60" w:type="dxa"/>
            <w:vAlign w:val="bottom"/>
          </w:tcPr>
          <w:p>
            <w:pPr>
              <w:ind w:left="140"/>
              <w:spacing w:after="0"/>
              <w:rPr>
                <w:sz w:val="20"/>
                <w:szCs w:val="20"/>
                <w:color w:val="auto"/>
              </w:rPr>
            </w:pPr>
            <w:r>
              <w:rPr>
                <w:rFonts w:ascii="Arial" w:cs="Arial" w:eastAsia="Arial" w:hAnsi="Arial"/>
                <w:sz w:val="17"/>
                <w:szCs w:val="17"/>
                <w:color w:val="auto"/>
              </w:rPr>
              <w:t>restricted stock unit awards, net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60" w:type="dxa"/>
            <w:vAlign w:val="bottom"/>
          </w:tcPr>
          <w:p>
            <w:pPr>
              <w:ind w:left="140"/>
              <w:spacing w:after="0"/>
              <w:rPr>
                <w:sz w:val="20"/>
                <w:szCs w:val="20"/>
                <w:color w:val="auto"/>
              </w:rPr>
            </w:pPr>
            <w:r>
              <w:rPr>
                <w:rFonts w:ascii="Arial" w:cs="Arial" w:eastAsia="Arial" w:hAnsi="Arial"/>
                <w:sz w:val="17"/>
                <w:szCs w:val="17"/>
                <w:color w:val="auto"/>
              </w:rPr>
              <w:t>of shares surrendered</w:t>
            </w:r>
          </w:p>
        </w:tc>
        <w:tc>
          <w:tcPr>
            <w:tcW w:w="6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(556)</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(555)</w:t>
            </w:r>
          </w:p>
        </w:tc>
      </w:tr>
      <w:tr>
        <w:trPr>
          <w:trHeight w:val="220"/>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Net income</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7,645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7,645</w:t>
            </w:r>
          </w:p>
        </w:tc>
        <w:tc>
          <w:tcPr>
            <w:tcW w:w="100" w:type="dxa"/>
            <w:vAlign w:val="bottom"/>
            <w:shd w:val="clear" w:color="auto" w:fill="CFF0FC"/>
          </w:tcPr>
          <w:p>
            <w:pPr>
              <w:spacing w:after="0"/>
              <w:rPr>
                <w:sz w:val="19"/>
                <w:szCs w:val="19"/>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7"/>
                <w:szCs w:val="17"/>
                <w:color w:val="auto"/>
              </w:rPr>
              <w:t>Balance at July 31, 2018</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72,551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$ 255,189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$ 392,181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1,612</w:t>
            </w:r>
          </w:p>
        </w:tc>
        <w:tc>
          <w:tcPr>
            <w:tcW w:w="2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18,167</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 (222,375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426,680</w:t>
            </w:r>
          </w:p>
        </w:tc>
        <w:tc>
          <w:tcPr>
            <w:tcW w:w="10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left="260" w:right="2740"/>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CASH FLOWS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6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For the Three Months Ended July 31,</w:t>
            </w: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gridSpan w:val="4"/>
          </w:tcPr>
          <w:p>
            <w:pPr>
              <w:jc w:val="right"/>
              <w:ind w:right="105"/>
              <w:spacing w:after="0" w:line="155" w:lineRule="exact"/>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Net income/(loss)</w:t>
            </w:r>
          </w:p>
        </w:tc>
        <w:tc>
          <w:tcPr>
            <w:tcW w:w="22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7,645</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1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sale/disposition of assets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Provision for losses on notes and accounts receivable</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(13,538)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(29,385)</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(2,363)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Arial" w:cs="Arial" w:eastAsia="Arial" w:hAnsi="Arial"/>
                <w:sz w:val="18"/>
                <w:szCs w:val="18"/>
                <w:color w:val="auto"/>
              </w:rPr>
              <w:t>Income taxes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(3,921)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(12,752)</w:t>
            </w: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Arial" w:cs="Arial" w:eastAsia="Arial" w:hAnsi="Arial"/>
                <w:sz w:val="18"/>
                <w:szCs w:val="18"/>
                <w:color w:val="auto"/>
              </w:rPr>
              <w:t>Accrued payroll and incentives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(12,051)</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profit sharing</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(5,520)</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warranty</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non-current liabilities</w:t>
            </w:r>
          </w:p>
        </w:tc>
        <w:tc>
          <w:tcPr>
            <w:tcW w:w="1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by/(used in) operating activities</w:t>
            </w:r>
          </w:p>
        </w:tc>
        <w:tc>
          <w:tcPr>
            <w:tcW w:w="1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Payments to acquire patents and software</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Payments to acquire property and equipment</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loans and notes payable</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Payments on capital lease obligation</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notes and loans payable</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(26,575)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Proceeds from exercise of options to acquire common stock</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employee withholding tax related to restricted stock units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in)/provided by financing activities</w:t>
            </w:r>
          </w:p>
        </w:tc>
        <w:tc>
          <w:tcPr>
            <w:tcW w:w="12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(27,153)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(23,622)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2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43,372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Interest</w:t>
            </w:r>
          </w:p>
        </w:tc>
        <w:tc>
          <w:tcPr>
            <w:tcW w:w="22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left="260" w:right="2460"/>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CASH FLOWS - (Continued)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w w:val="94"/>
              </w:rPr>
              <w:t>For the Three Months Ended July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03"/>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40" w:type="dxa"/>
            <w:vAlign w:val="bottom"/>
            <w:gridSpan w:val="2"/>
          </w:tcPr>
          <w:p>
            <w:pPr>
              <w:jc w:val="center"/>
              <w:ind w:right="463"/>
              <w:spacing w:after="0" w:line="155" w:lineRule="exact"/>
              <w:rPr>
                <w:sz w:val="20"/>
                <w:szCs w:val="20"/>
                <w:color w:val="auto"/>
              </w:rPr>
            </w:pPr>
            <w:r>
              <w:rPr>
                <w:rFonts w:ascii="Arial" w:cs="Arial" w:eastAsia="Arial" w:hAnsi="Arial"/>
                <w:sz w:val="14"/>
                <w:szCs w:val="14"/>
                <w:color w:val="auto"/>
                <w:w w:val="93"/>
              </w:rPr>
              <w:t>(In thousands)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2540" w:type="dxa"/>
            <w:vAlign w:val="bottom"/>
            <w:gridSpan w:val="2"/>
            <w:shd w:val="clear" w:color="auto" w:fill="CFF0FC"/>
          </w:tcPr>
          <w:p>
            <w:pPr>
              <w:jc w:val="right"/>
              <w:ind w:right="868"/>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4,332</w:t>
            </w:r>
          </w:p>
        </w:tc>
        <w:tc>
          <w:tcPr>
            <w:tcW w:w="1260" w:type="dxa"/>
            <w:vAlign w:val="bottom"/>
            <w:shd w:val="clear" w:color="auto" w:fill="CFF0FC"/>
          </w:tcPr>
          <w:p>
            <w:pPr>
              <w:jc w:val="right"/>
              <w:ind w:right="943"/>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1,815</w:t>
            </w:r>
          </w:p>
        </w:tc>
        <w:tc>
          <w:tcPr>
            <w:tcW w:w="12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Purchases of property and equipment funded by capital lease</w:t>
            </w: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12,074</w:t>
            </w:r>
          </w:p>
        </w:tc>
        <w:tc>
          <w:tcPr>
            <w:tcW w:w="12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w:t>
            </w:r>
          </w:p>
        </w:tc>
        <w:tc>
          <w:tcPr>
            <w:tcW w:w="1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12,074</w:t>
            </w:r>
          </w:p>
        </w:tc>
        <w:tc>
          <w:tcPr>
            <w:tcW w:w="12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left="260" w:right="212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are a leading manufacturer, designer, and provider of consumer products for the shooting, hunting, and rugged outdoor enthusiast. We are one of the largest manufacturers of handguns, modern sporting rifles, and handcuffs in the United States and an active participant in the hunting rifle and suppressor markets. We are also a leading provider of shooting, hunting, and rugged outdoor products and accessories, including knives and cutting tools, sighting lasers, shooting supplies, tree saws, and survival gear. We have two reporting segments: (1) Firearms (which includes the Firearms and Manufacturing Services divisions) and (2) Outdoor Products &amp; Accessories (which includes the Outdoor Products &amp; Accessories and Electro-Optics divisions).</w:t>
      </w:r>
    </w:p>
    <w:p>
      <w:pPr>
        <w:spacing w:after="0" w:line="15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our Firearms segment,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firearm products under the Smith &amp; Wesson, M&amp;P, Performance Center, Gemtech, and Thompson/Center Arms brands. We manufacture our firearm products at our facilities in Springfield, Massachusetts; Houlton, Maine; and Deep River, Connecticut. We perform research and development activities for our suppressors and accessories products at our facility in Meridian, Idaho. We also sell our manufacturing services to other businesses under our Smith &amp; Wesson and Smith &amp; Wesson Precision Components brands.</w:t>
      </w:r>
    </w:p>
    <w:p>
      <w:pPr>
        <w:spacing w:after="0" w:line="16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our Outdoor Products &amp; Accessories segment, we design, source, distribute, and manufacture reloading, gunsmithing, and gun cleaning supplies; high-quality stainless steel cutting tools and accessories; flashlights; tree saws and related trimming accessories; shooting supplies, rests, and other related accessories; fishing accessories; apparel; vault accessories; laser grips and laser sights; and a full range of products for survival and emergency preparedness. We sell our products under the Caldwell, Wheeler, Tipton, Frankford Arsenal, Smith &amp; Wesson, M&amp;P, Thompson/Center, Lockdown, Hooyman, BOG-POD, Golden Rod, Non-Typical Wildlife Solutions, Crimson Trace, Imperial, Schrade, Old Timer, Bubba Blade, UST, and KeyGear brands. We develop and market our outdoor products and accessories at our facilities in Columbia, Missouri; Wilsonville, Oregon; and Jacksonville, Florida.</w:t>
      </w:r>
    </w:p>
    <w:p>
      <w:pPr>
        <w:spacing w:after="0" w:line="16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 xml:space="preserve">During fiscal 2018, we acquired substantially all of the net assets of Gemini Technologies, Incorporated, or Gemtech, as well as Bubba Blade branded products and other assets from Fish Tales, LLC, in two separate transactions, which we refer to collectively as the 2018 Acquisitions. See Note 4 –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below for more information regarding these transactions.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i w:val="1"/>
          <w:iCs w:val="1"/>
          <w:color w:val="auto"/>
        </w:rPr>
        <w:t xml:space="preserve">Interim Financial Information – </w:t>
      </w:r>
      <w:r>
        <w:rPr>
          <w:rFonts w:ascii="Arial" w:cs="Arial" w:eastAsia="Arial" w:hAnsi="Arial"/>
          <w:sz w:val="18"/>
          <w:szCs w:val="18"/>
          <w:color w:val="auto"/>
        </w:rPr>
        <w:t>The condensed consolidated balance sheet as of July 31, 2018, the condensed consolidated statements of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for the three months ended July 31, 2018 and 2017, the condensed consolidated statement of changes in stockholders’ equity for the three months ended July 31, 2018, and the condensed consolidated statements of cash flows for the three months ended July 31, 2018 and 2017 have been prepared by us without audit. In our opinion, all adjustments, which include only normal recurring adjustments necessary to fairly present the financial position, results of operations, changes in stockholders’ equity, and cash flows at July 31, 2018 and for the periods presented, have been included. All intercompany transactions have been eliminated in consolidation. The consolidated balance sheet as of April 30, 2018 has been derived from our audited consolidated financial statements.</w:t>
      </w:r>
    </w:p>
    <w:p>
      <w:pPr>
        <w:spacing w:after="0" w:line="18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Annual Report on Form 10-K for the fiscal year ended April 30, 2018. The results of operations for the three months ended July 31, 2018 may not be indicative of the results that may be expected for the year ending April 30, 2019, or any other period.</w:t>
      </w:r>
    </w:p>
    <w:p>
      <w:pPr>
        <w:spacing w:after="0" w:line="18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We recognize revenue in accordance with the provisions of Accounting Standard Update,</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(Topic 606), which became effective for us on May 1, 2018. Generally all performance obligations are satisfied and revenue is recognized when</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risks and rewards of ownership have transferred to the customer, which is generally upon shipment but could be delayed until the receipt of customer acceptance.</w:t>
      </w:r>
    </w:p>
    <w:p>
      <w:pPr>
        <w:spacing w:after="0" w:line="187"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In some instances, sales include multiple performance obligations. The most common of these instances relates to sales promotion programs under which customers are entitled to receive free goods based upon their purchase of our products. The fulfillment of these free goods are our responsibility. In such instances, we allocate the revenue of the promotional sales based on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right="2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0" w:lineRule="exact"/>
        <w:rPr>
          <w:sz w:val="20"/>
          <w:szCs w:val="20"/>
          <w:color w:val="auto"/>
        </w:rPr>
      </w:pPr>
    </w:p>
    <w:p>
      <w:pPr>
        <w:spacing w:after="0" w:line="22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estimated level of participation in the sales promotional program and the timing of the shipment of all of the products included in the promotional program, including the free goods. Revenue is recognized proportionally as each performance obligation is satisfied, based on the relative transaction price of each product. The net change in contract liabilities for a given period is reported as an increase or decrease to sales.</w:t>
      </w:r>
    </w:p>
    <w:p>
      <w:pPr>
        <w:spacing w:after="0" w:line="166"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Our product sales are generally sold free on board, or FOB, shipping point and provide payment terms to most commercial customers ranging from 20 to 90 days of product shipment with a discount available to some customers for early payment. For contracts with discounted terms, the transaction price is determined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our hunting dating programs, which represent payment terms due in the fall for certain orders of hunting products received in the spring and summer.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219" w:lineRule="exact"/>
        <w:rPr>
          <w:sz w:val="20"/>
          <w:szCs w:val="20"/>
          <w:color w:val="auto"/>
        </w:rPr>
      </w:pPr>
    </w:p>
    <w:p>
      <w:pPr>
        <w:ind w:right="380" w:firstLine="518"/>
        <w:spacing w:after="0" w:line="276" w:lineRule="auto"/>
        <w:rPr>
          <w:sz w:val="20"/>
          <w:szCs w:val="20"/>
          <w:color w:val="auto"/>
        </w:rPr>
      </w:pPr>
      <w:r>
        <w:rPr>
          <w:rFonts w:ascii="Arial" w:cs="Arial" w:eastAsia="Arial" w:hAnsi="Arial"/>
          <w:sz w:val="17"/>
          <w:szCs w:val="17"/>
          <w:i w:val="1"/>
          <w:iCs w:val="1"/>
          <w:color w:val="auto"/>
        </w:rPr>
        <w:t xml:space="preserve">Recently Issued Accounting Standards – </w:t>
      </w:r>
      <w:r>
        <w:rPr>
          <w:rFonts w:ascii="Arial" w:cs="Arial" w:eastAsia="Arial" w:hAnsi="Arial"/>
          <w:sz w:val="17"/>
          <w:szCs w:val="17"/>
          <w:color w:val="auto"/>
        </w:rPr>
        <w:t>In May 2014, the Financial Accounting Standards Board, or FASB, issued Accounting Standards Update,</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(Topic 606), or ASU 2014-09. The core principle of ASU 2014-09 is that an entity should recognize revenue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depict the transfer of promised goods or services to customers in an amount that reflects the consideration to which the entity expects to be entitled in exchange for those goods or services. We adopted the new standard on May 1, 2018 utilizing the modified retrospective approach. See Note 3 –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 and Contracts with Customers </w:t>
      </w:r>
      <w:r>
        <w:rPr>
          <w:rFonts w:ascii="Arial" w:cs="Arial" w:eastAsia="Arial" w:hAnsi="Arial"/>
          <w:sz w:val="17"/>
          <w:szCs w:val="17"/>
          <w:color w:val="auto"/>
        </w:rPr>
        <w:t>below for more information.</w:t>
      </w:r>
    </w:p>
    <w:p>
      <w:pPr>
        <w:spacing w:after="0" w:line="20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or ASU 2016-02, which amends the existing guidance to require lessees to recognize lease assets and lease liabilities arising from operating leases in a classified balance sheet. The requirements of this ASU are effective for financial statements for annual periods beginning after December 15, 2018, and early adoption is permitted. We are in the process of implementing leasing software to assist us in the accounting and tracking of leases. Although we anticipate the effect of ASU 2016-02 will result in increasing our lease assets and lease liabilities on our condensed consolidated balance sheet, we are still evaluating the impact that it will have on our condensed consolidated financial statements. We plan to adopt ASU 2016-02 in our first quarter of fiscal 2020.</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Contracts with Customers:</w:t>
      </w:r>
    </w:p>
    <w:p>
      <w:pPr>
        <w:spacing w:after="0" w:line="121"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 xml:space="preserve">On May 1, 2018, we adopted ASU 2014-09 using the modified retrospective approach, and recorded a contract liability, included in accrued expenses in the condensed consolidated balance sheet, for outstanding performance obligations related to sales promotions. Under the modified retrospective approach, results for reporting periods after May 1, 2018 will be presented in accordance with ASU 2014-09, while prior period amounts will not be adjusted and will continue to be reported in accordance with the previous guidance, Accounting Standards Codification, or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When evaluating our performance obligations, we disaggregate revenue based on major product lines which correlate with our reportable segments disclosed in Note 14 —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Also, domestic sales account for 95% of our total net sales. There are no significant judgments or estimates used in the determination of performance obligations and the transaction price for the performance obligations are allocated on a pro-rata basis. There are no other contract costs that need to be considered based on the nature of our performance obligations.</w:t>
      </w:r>
    </w:p>
    <w:p>
      <w:pPr>
        <w:spacing w:after="0" w:line="206"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outlines adjustments we recorded to our condensed consolidated balance sheet as a result of the adoption of ASU 2014-09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Balance at</w:t>
            </w:r>
          </w:p>
        </w:tc>
        <w:tc>
          <w:tcPr>
            <w:tcW w:w="17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Accounting Standard</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Opening Balance May</w:t>
            </w:r>
          </w:p>
        </w:tc>
        <w:tc>
          <w:tcPr>
            <w:tcW w:w="2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April 30, 2018</w:t>
            </w:r>
          </w:p>
        </w:tc>
        <w:tc>
          <w:tcPr>
            <w:tcW w:w="22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1, 2018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(17,176)</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Deferred revenue from contracts with customers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23,305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1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(1,519)</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Retained earnings</w:t>
            </w: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389,146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(4,610)</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384,536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74"/>
        </w:trPr>
        <w:tc>
          <w:tcPr>
            <w:tcW w:w="4560" w:type="dxa"/>
            <w:vAlign w:val="bottom"/>
          </w:tcPr>
          <w:p>
            <w:pPr>
              <w:spacing w:after="0"/>
              <w:rPr>
                <w:sz w:val="24"/>
                <w:szCs w:val="24"/>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At April 30, 2018, we had accrued $17.2 million of sales promotions representing the cost of free goods earned but not yet shipped to our customers. On adoption of ASU 2014-09, we reversed this accrual and recorded deferred revenue of $23.3 million relating to these outstanding performance obligations, a deferred tax asset of $1.5 million, and a $4.6 million adjustment to reduce the opening balance of retained earnings at May 1, 2018. Deferred revenue is recorded in accrued expenses in the condensed consolidated balance sheet.</w:t>
      </w:r>
    </w:p>
    <w:p>
      <w:pPr>
        <w:spacing w:after="0" w:line="214"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following table outlines the impact of the adoption of ASU 2014-09 on revenue recognized during the three months ended July 31, 2018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Outstanding performance obligations with customers as of May 1, 2018</w:t>
            </w:r>
          </w:p>
        </w:tc>
        <w:tc>
          <w:tcPr>
            <w:tcW w:w="86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23,305</w:t>
            </w:r>
          </w:p>
        </w:tc>
        <w:tc>
          <w:tcPr>
            <w:tcW w:w="120" w:type="dxa"/>
            <w:vAlign w:val="bottom"/>
            <w:shd w:val="clear" w:color="auto" w:fill="CFF0FC"/>
          </w:tcPr>
          <w:p>
            <w:pPr>
              <w:spacing w:after="0"/>
              <w:rPr>
                <w:sz w:val="19"/>
                <w:szCs w:val="19"/>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Revenue recognized</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(13,998)</w:t>
            </w:r>
          </w:p>
        </w:tc>
      </w:tr>
      <w:tr>
        <w:trPr>
          <w:trHeight w:val="230"/>
        </w:trPr>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Revenue deferred</w:t>
            </w: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120" w:type="dxa"/>
            <w:vAlign w:val="bottom"/>
            <w:shd w:val="clear" w:color="auto" w:fill="CFF0FC"/>
          </w:tcPr>
          <w:p>
            <w:pPr>
              <w:spacing w:after="0"/>
              <w:rPr>
                <w:sz w:val="19"/>
                <w:szCs w:val="19"/>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Outstanding performance obligations with customers as of July 31, 2018</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13,621</w:t>
            </w:r>
          </w:p>
        </w:tc>
        <w:tc>
          <w:tcPr>
            <w:tcW w:w="12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During the three months ended July 31, 2018, we recognized $14.0 million of revenue previously deferred as the performance obligation relating to sales promotions was satisfied. This recognition of revenue was partially offset by $4.3 million of additional deferred revenue for outstanding performance obligations relating to sales promotions that have not been satisfied, which was recorded to accrued expenses in the condensed consolidated balance sheet. This resulted in a $9.7 million net increase of revenue during the three months ended July 31, 2018. We estimate that revenue from the outstanding performance obligations as of July 31, 2018 will be recognized during fiscal 2019. As a result of the adoption of ASU 2014-09, gross margin was decreased by 0.9% and earnings per share was increased by $0.03.</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2018 Acquisitions</w:t>
      </w:r>
    </w:p>
    <w:p>
      <w:pPr>
        <w:spacing w:after="0" w:line="131"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 xml:space="preserve">In August 2017, in two separate transactions, we acquired (1) substantially all of the net assets of Gemtech and (2) Bubba Blade branded products and other assets from Fish Tales, LLC. The aggregate purchase price for the two acquisitions was $23.1 million, subject to certain adjustments, for which we utilized a combination of cash on hand and borrowings under our revolving line of credit. In connection with the Gemtech acquisition, additional consideration of up to a maximum of $17.1 million may be paid contingent upon the cumulative three year sales volume of Gemtech products. The valuation of this contingent consideration liability was established in accordance with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Based on current forecasted revenue, we believe it is unlikely that the acquired business will achieve the performance metrics. Therefore, as of July 31, 2018, the contingent liability was recorded at a fair value of $100,000 in non-current liabilities. Gemtech, based in Meridian, Idaho, is a provider of quality suppressors and accessories for the consumer, law enforcement, and military markets. Fish Tales, LLC, based in Oro Valley, Arizona, was a provider of premium sportsmen knives and tools for fishing and hunting, including the premium knife brand Bubba Blade. The valuations of the assets acquired and liabilities assumed in the 2018 Acquisitions are substantially complete.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estimated preliminary allocation of the purchase price for the 2018 Acquisitions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2018 Acquisitions</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Measurement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(As Initially</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4"/>
                <w:szCs w:val="14"/>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2018 Acquisitions</w:t>
            </w:r>
          </w:p>
        </w:tc>
      </w:tr>
      <w:tr>
        <w:trPr>
          <w:trHeight w:val="171"/>
        </w:trPr>
        <w:tc>
          <w:tcPr>
            <w:tcW w:w="4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Reported)</w:t>
            </w: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(As Adjusted)</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Inventories</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Intangibles</w:t>
            </w:r>
          </w:p>
        </w:tc>
        <w:tc>
          <w:tcPr>
            <w:tcW w:w="2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2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11,846</w:t>
            </w:r>
          </w:p>
        </w:tc>
        <w:tc>
          <w:tcPr>
            <w:tcW w:w="26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w:t>
            </w:r>
          </w:p>
        </w:tc>
        <w:tc>
          <w:tcPr>
            <w:tcW w:w="12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assets acquired</w:t>
            </w:r>
          </w:p>
        </w:tc>
        <w:tc>
          <w:tcPr>
            <w:tcW w:w="2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24,426</w:t>
            </w:r>
          </w:p>
        </w:tc>
        <w:tc>
          <w:tcPr>
            <w:tcW w:w="26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24,404</w:t>
            </w:r>
          </w:p>
        </w:tc>
        <w:tc>
          <w:tcPr>
            <w:tcW w:w="120" w:type="dxa"/>
            <w:vAlign w:val="bottom"/>
            <w:shd w:val="clear" w:color="auto" w:fill="CFF0FC"/>
          </w:tcPr>
          <w:p>
            <w:pPr>
              <w:spacing w:after="0"/>
              <w:rPr>
                <w:sz w:val="19"/>
                <w:szCs w:val="19"/>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Accounts payable</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2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liabilities assumed</w:t>
            </w:r>
          </w:p>
        </w:tc>
        <w:tc>
          <w:tcPr>
            <w:tcW w:w="2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23,016</w:t>
            </w:r>
          </w:p>
        </w:tc>
        <w:tc>
          <w:tcPr>
            <w:tcW w:w="2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23,120</w:t>
            </w:r>
          </w:p>
        </w:tc>
        <w:tc>
          <w:tcPr>
            <w:tcW w:w="12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518"/>
        <w:spacing w:after="0" w:line="308" w:lineRule="auto"/>
        <w:rPr>
          <w:sz w:val="20"/>
          <w:szCs w:val="20"/>
          <w:color w:val="auto"/>
        </w:rPr>
      </w:pPr>
      <w:r>
        <w:rPr>
          <w:rFonts w:ascii="Arial" w:cs="Arial" w:eastAsia="Arial" w:hAnsi="Arial"/>
          <w:sz w:val="17"/>
          <w:szCs w:val="17"/>
          <w:color w:val="auto"/>
        </w:rPr>
        <w:t>We amortize intangible assets in proportion to expected annual revenue generated from the intangibles that we acquire. The following are the identifiable intangible assets acquired (in thousands) in the 2018 Acquisitions and their respective weighted average lives: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r>
      <w:tr>
        <w:trPr>
          <w:trHeight w:val="201"/>
        </w:trPr>
        <w:tc>
          <w:tcPr>
            <w:tcW w:w="8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 (In years)</w:t>
            </w:r>
          </w:p>
        </w:tc>
      </w:tr>
      <w:tr>
        <w:trPr>
          <w:trHeight w:val="223"/>
        </w:trPr>
        <w:tc>
          <w:tcPr>
            <w:tcW w:w="80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Developed technology</w:t>
            </w: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1,700</w:t>
            </w:r>
          </w:p>
        </w:tc>
        <w:tc>
          <w:tcPr>
            <w:tcW w:w="2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1,600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30"/>
        </w:trPr>
        <w:tc>
          <w:tcPr>
            <w:tcW w:w="8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Trade names</w:t>
            </w: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3,100</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23"/>
        </w:trPr>
        <w:tc>
          <w:tcPr>
            <w:tcW w:w="8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6,400</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Pro forma results of operations assuming that the 2018 Acquisitions had occurred as of May 1, 2016 are not required because of the immaterial impact on our consolidated financial statements for all periods presented.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 Goodwill:</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carrying amount of goodwill for the three months ended July 31, 2018 by reporting segment are as follows:</w:t>
      </w:r>
    </w:p>
    <w:p>
      <w:pPr>
        <w:spacing w:after="0" w:line="230"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Outdoor</w:t>
      </w:r>
    </w:p>
    <w:p>
      <w:pPr>
        <w:spacing w:after="0" w:line="4"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Products &amp;</w:t>
      </w:r>
    </w:p>
    <w:tbl>
      <w:tblPr>
        <w:tblLayout w:type="fixed"/>
        <w:tblInd w:w="0" w:type="dxa"/>
        <w:tblCellMar>
          <w:top w:w="0" w:type="dxa"/>
          <w:left w:w="0" w:type="dxa"/>
          <w:bottom w:w="0" w:type="dxa"/>
          <w:right w:w="0" w:type="dxa"/>
        </w:tblCellMar>
      </w:tblPr>
      <w:tr>
        <w:trPr>
          <w:trHeight w:val="134"/>
        </w:trPr>
        <w:tc>
          <w:tcPr>
            <w:tcW w:w="6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Firearms Segment</w:t>
            </w:r>
          </w:p>
        </w:tc>
        <w:tc>
          <w:tcPr>
            <w:tcW w:w="200" w:type="dxa"/>
            <w:vAlign w:val="bottom"/>
          </w:tcPr>
          <w:p>
            <w:pPr>
              <w:spacing w:after="0"/>
              <w:rPr>
                <w:sz w:val="11"/>
                <w:szCs w:val="11"/>
                <w:color w:val="auto"/>
              </w:rPr>
            </w:pPr>
          </w:p>
        </w:tc>
        <w:tc>
          <w:tcPr>
            <w:tcW w:w="1420" w:type="dxa"/>
            <w:vAlign w:val="bottom"/>
            <w:gridSpan w:val="2"/>
          </w:tcPr>
          <w:p>
            <w:pPr>
              <w:jc w:val="center"/>
              <w:ind w:right="480"/>
              <w:spacing w:after="0" w:line="134" w:lineRule="exact"/>
              <w:rPr>
                <w:sz w:val="20"/>
                <w:szCs w:val="20"/>
                <w:color w:val="auto"/>
              </w:rPr>
            </w:pPr>
            <w:r>
              <w:rPr>
                <w:rFonts w:ascii="Arial" w:cs="Arial" w:eastAsia="Arial" w:hAnsi="Arial"/>
                <w:sz w:val="14"/>
                <w:szCs w:val="14"/>
                <w:b w:val="1"/>
                <w:bCs w:val="1"/>
                <w:color w:val="auto"/>
                <w:w w:val="84"/>
              </w:rPr>
              <w:t>Accessories</w:t>
            </w:r>
          </w:p>
        </w:tc>
        <w:tc>
          <w:tcPr>
            <w:tcW w:w="140" w:type="dxa"/>
            <w:vAlign w:val="bottom"/>
          </w:tcPr>
          <w:p>
            <w:pPr>
              <w:spacing w:after="0"/>
              <w:rPr>
                <w:sz w:val="11"/>
                <w:szCs w:val="11"/>
                <w:color w:val="auto"/>
              </w:rPr>
            </w:pPr>
          </w:p>
        </w:tc>
        <w:tc>
          <w:tcPr>
            <w:tcW w:w="13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Total Goodwill</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April 30, 2018</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172,797</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191,287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July 31,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172,797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Note 14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below for more detail.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Loans Payable, and Financing Arrangements:</w:t>
      </w:r>
    </w:p>
    <w:p>
      <w:pPr>
        <w:spacing w:after="0" w:line="12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i w:val="1"/>
          <w:iCs w:val="1"/>
          <w:color w:val="auto"/>
        </w:rPr>
        <w:t xml:space="preserve">Credit Facilities </w:t>
      </w:r>
      <w:r>
        <w:rPr>
          <w:rFonts w:ascii="Arial" w:cs="Arial" w:eastAsia="Arial" w:hAnsi="Arial"/>
          <w:sz w:val="16"/>
          <w:szCs w:val="16"/>
          <w:color w:val="auto"/>
        </w:rPr>
        <w:t>– On June 15, 2015, we and certain of our domestic subsidiaries entered into an unsecured credit facility, or the Credit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TD Bank, N.A. and other lenders, or the Lenders, which included a $175.0 million revolving line of credit, or the Revolving Line, and a $105.0 million term loan, or the Term Loan, of which $86.1 million remained outstanding as of July 31, 2018.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an additional $150.0 million, and extended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left="280" w:right="210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3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maturity of the Revolving Line from June 15, 2020 to October 27, 2021. Other than the changes described in the Second Amendment, we otherwise remain subject to the terms of the Credit Agreement, as described below. We incurred $525,000 of debt issuance costs related to this amendment and have recorded these costs in notes and loans payable in the condensed consolidated balance sheet.</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of July 31, 2018, we had no borrowings outstanding on the Revolving Line. Had there been borrowings, they would have borne an interest rate of 5.00% per annum if we had selected the prime rate option and a range of 4.15% to 4.60% per annum if we had selected the LIBOR rate option. The Term Loan, which bears interest at a variable rate, requires principal payments of $6.3 million per annum plus interest, payable quarterly. Any remaining outstanding amount under the Term Loan on the maturity date of June 15, 2020 will be due in full.</w:t>
      </w:r>
    </w:p>
    <w:p>
      <w:pPr>
        <w:spacing w:after="0" w:line="18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were required to obtain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which requires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is subject to change based on changes in our consolidated leverage ratio. As of July 31, 2018, our interest rate on the Term Loan was 4.32%.</w:t>
      </w:r>
    </w:p>
    <w:p>
      <w:pPr>
        <w:spacing w:after="0" w:line="178"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As of July 31, 2018, the interest rate swap was considered effective and had no effect on earnings. The fair value of the interest rate swap on July 31, 2018 was an asset of $2.0 million and was recorded in other assets on our condensed consolidated balance sheet. We do not expect the interest rate swap to have any material impact on earnings within the next 12 months.</w:t>
      </w:r>
    </w:p>
    <w:p>
      <w:pPr>
        <w:spacing w:after="0" w:line="181"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i w:val="1"/>
          <w:iCs w:val="1"/>
          <w:color w:val="auto"/>
        </w:rPr>
        <w:t xml:space="preserve">2018 Senior Notes </w:t>
      </w:r>
      <w:r>
        <w:rPr>
          <w:rFonts w:ascii="Arial" w:cs="Arial" w:eastAsia="Arial" w:hAnsi="Arial"/>
          <w:sz w:val="16"/>
          <w:szCs w:val="16"/>
          <w:color w:val="auto"/>
        </w:rPr>
        <w:t>– During fiscal 2015, we issued an aggregate of $75.0 million of 5.000% Senior Notes due 2018, or the 2018 Senior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institutional investors pursuant to the terms and conditions of an indenture and purchase agreements. The 2018 Senior Notes bear interest at a rate of 5.000% per annum payable on January 15 and July 15 of each year, beginning on January 15, 2015. We incurred $2.3 million of debt issuance costs related to the issuance of the 2018 Senior Notes. As discussed below, the 2018 Senior Notes were redeemed on March 8, 2018 with proceeds from the issuance of</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5.000% Senior Notes due 2020, or the 2020 Senior Notes. As part of the redemption, in fiscal 2018, we wrote off $226,000 of debt issuance costs related to the 2018 Senior Notes.</w:t>
      </w:r>
    </w:p>
    <w:p>
      <w:pPr>
        <w:spacing w:after="0" w:line="21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 xml:space="preserve">2020 Senior Notes </w:t>
      </w:r>
      <w:r>
        <w:rPr>
          <w:rFonts w:ascii="Arial" w:cs="Arial" w:eastAsia="Arial" w:hAnsi="Arial"/>
          <w:sz w:val="18"/>
          <w:szCs w:val="18"/>
          <w:color w:val="auto"/>
        </w:rPr>
        <w:t>– On February 28, 2018, we issued an aggregate of $75.0 million of the 2020 Senior Notes to various institutional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terms and conditions of an indenture, or the 2020 Senior Notes Indenture, and purchase agreements. The 2020 Senior Notes bear interest at a rate of 5.000% per annum payable on February 28 and August 28 of each year, beginning on August 28, 2018. We incurred $158,000 of debt issuance costs related to the issuance of the 2020 Senior Notes.</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At any time prior to February 28, 2019, we may, at our option, upon not less than 30 nor more than 60 days’ prior notice, redeem all or a portion of the 2020 Senior Notes at a redemption price of 102.500% of the principal amount of the 2020 Senior Notes to be redeemed plus accrued and unpaid interest as of the applicable redemption date. On or after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Subject to certain restrictions and conditions, we may be required to make an offer to repurchase the 2020 Senior Notes from the holders of the 2020 Senior Notes in connection with a change of control or disposition of assets. If not redeemed by us or repaid pursuant to the holders’ right to require repurchase, the 2020 Senior Notes mature on August 28, 2020.</w:t>
      </w:r>
    </w:p>
    <w:p>
      <w:pPr>
        <w:spacing w:after="0" w:line="178"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The 2020 Senior Notes are general, unsecured obligations of our company. The 2020 Senior Notes Indenture contains certain affirmative and negative covenants, including limitations on restricted payments (such as share repurchases, dividends, and early payment of indebtedness), limitations on indebtedness, limitations on the sale of assets, and limitations on liens. Payments that would otherwise be characterized as restricted payments are permitted under the 2020 Senior Notes Indenture in an amount not to exceed 50% of our consolidated net income for the period from the issue date to the date of the restricted payment, provided that at the time of making such payments, (a) no default has occurred or would result from the making of such payments, and</w:t>
      </w:r>
    </w:p>
    <w:p>
      <w:pPr>
        <w:spacing w:after="0" w:line="2" w:lineRule="exact"/>
        <w:rPr>
          <w:sz w:val="20"/>
          <w:szCs w:val="20"/>
          <w:color w:val="auto"/>
        </w:rPr>
      </w:pPr>
    </w:p>
    <w:p>
      <w:pPr>
        <w:ind w:right="60" w:firstLine="8"/>
        <w:spacing w:after="0" w:line="281"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able to satisfy the debt incurrence test under the 2020 Senior Notes Indenture, or the 2020 Senior Notes Lifetime Aggregate Limit. In addition, the 2020 Senior Notes Indenture provides for other exceptions to the restricted payments covenant, each of which are independent of the 2020 Senior Notes Lifetime Aggregate Limit. Among such exceptions are (i) the ability to make share repurchases each fiscal year in an amount not to exceed the lesser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$50.0 million in any fiscal year or (B) 75.0% of our consolidated net income for the previous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 w:name="page14"/>
    <w:bookmarkEnd w:id="13"/>
    <w:p>
      <w:pPr>
        <w:jc w:val="center"/>
        <w:ind w:left="260" w:right="212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0" w:lineRule="exact"/>
        <w:rPr>
          <w:sz w:val="20"/>
          <w:szCs w:val="20"/>
          <w:color w:val="auto"/>
        </w:rPr>
      </w:pP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four consecutive published fiscal quarters prior to the date of the determination of such consolidated net income, and (ii) share repurchases over the life of the 2020 Senior Notes in an aggregate amount not to exceed $75.0 million.</w:t>
      </w:r>
    </w:p>
    <w:p>
      <w:pPr>
        <w:spacing w:after="0" w:line="170" w:lineRule="exact"/>
        <w:rPr>
          <w:sz w:val="20"/>
          <w:szCs w:val="20"/>
          <w:color w:val="auto"/>
        </w:rPr>
      </w:pPr>
    </w:p>
    <w:p>
      <w:pPr>
        <w:ind w:right="20" w:firstLine="518"/>
        <w:spacing w:after="0" w:line="265" w:lineRule="auto"/>
        <w:rPr>
          <w:sz w:val="20"/>
          <w:szCs w:val="20"/>
          <w:color w:val="auto"/>
        </w:rPr>
      </w:pPr>
      <w:r>
        <w:rPr>
          <w:rFonts w:ascii="Arial" w:cs="Arial" w:eastAsia="Arial" w:hAnsi="Arial"/>
          <w:sz w:val="18"/>
          <w:szCs w:val="18"/>
          <w:color w:val="auto"/>
        </w:rPr>
        <w:t>The limitation on indebtedness in the 2020 Senior Notes Indenture is only applicable at such time that the consolidated coverage ratio (as set forth in the 2020 Senior Notes Indenture) for us and our restricted subsidiaries is less than 3.00 to 1.00. In general, as set forth in the 2020 Senior Notes Indenture, the consolidated coverage ratio is determined by comparing our prior four quarters’ consolidated EBITDA (earnings before interest, taxes, depreciation, and amortization) to our consolidated interest expense. The carrying value of our 2020 Senior Notes as of July 31, 2018 approximated the fair value in considering Level 2 inputs within the hierarchy.</w:t>
      </w:r>
    </w:p>
    <w:p>
      <w:pPr>
        <w:spacing w:after="0" w:line="18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 At July 31, 2018, we had outstanding letters of credit aggregating $1.0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follow the provisions of ASC 820-10, </w:t>
      </w:r>
      <w:r>
        <w:rPr>
          <w:rFonts w:ascii="Arial" w:cs="Arial" w:eastAsia="Arial" w:hAnsi="Arial"/>
          <w:sz w:val="18"/>
          <w:szCs w:val="18"/>
          <w:i w:val="1"/>
          <w:iCs w:val="1"/>
          <w:color w:val="auto"/>
        </w:rPr>
        <w:t>Fair Value Measurements and Disclosures Topic</w:t>
      </w:r>
      <w:r>
        <w:rPr>
          <w:rFonts w:ascii="Arial" w:cs="Arial" w:eastAsia="Arial" w:hAnsi="Arial"/>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93"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Financial assets and liabilities recorded on the accompanying condensed consolidated balance sheets are categorized based on the inputs to the valuation techniques as follows:</w:t>
      </w:r>
    </w:p>
    <w:p>
      <w:pPr>
        <w:spacing w:after="0" w:line="17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 at the measurement date (examples include active exchange-traded equity securities, listed derivatives, and most U.S. Government and agency securities).</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Our cash and cash equivalents, which are measured at fair value on a recurring basis, totaled $25.2 million and $48.9 million as of July 31, 2018 and April 30, 2018, respectively. We utilized Level 1 of the value hierarchy to determine the fair values of these assets.</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Financial assets and liabilities whose values are based on quoted prices in markets in which trading occurs infrequently or whose values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of instruments with similar attributes in active markets. Level 2 inputs include the following:</w:t>
      </w:r>
    </w:p>
    <w:p>
      <w:pPr>
        <w:spacing w:after="0" w:line="62"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quoted prices for identical or similar assets or liabilities in non-active markets (such as corporate and municipal bonds which trade infrequently);</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substantially the full term of the asset or liability (such as interest rate and currency swaps); and</w:t>
      </w:r>
    </w:p>
    <w:p>
      <w:pPr>
        <w:spacing w:after="0" w:line="140" w:lineRule="exact"/>
        <w:rPr>
          <w:rFonts w:ascii="Arial" w:cs="Arial" w:eastAsia="Arial" w:hAnsi="Arial"/>
          <w:sz w:val="16"/>
          <w:szCs w:val="16"/>
          <w:color w:val="auto"/>
        </w:rPr>
      </w:pPr>
    </w:p>
    <w:p>
      <w:pPr>
        <w:ind w:left="380" w:right="12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for substantially the full term of the asset or liability (such as certain securities and derivatives).</w:t>
      </w:r>
    </w:p>
    <w:p>
      <w:pPr>
        <w:spacing w:after="0" w:line="170"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 xml:space="preserve">The carrying value of our Term Loan approximated the fair value as of July 31, 2018, in considering Level 2 inputs within the hierarchy. The carrying value of our 2020 Senior Notes as of July 31, 2018 approximated the fair value in considering Level 2 inputs within the hierarchy as our 2020 Senior Notes are not frequently traded. The fair value of our interest rate swap was estimated by a third party using inputs that are observable or that can be corroborated by observable market data, such as interest rate yield curves, and, therefore, is classified within Level 2 of the valuation hierarchy. For more information regarding the interest rate swap, refer to Note 5 — </w:t>
      </w:r>
      <w:r>
        <w:rPr>
          <w:rFonts w:ascii="Arial" w:cs="Arial" w:eastAsia="Arial" w:hAnsi="Arial"/>
          <w:sz w:val="17"/>
          <w:szCs w:val="17"/>
          <w:i w:val="1"/>
          <w:iCs w:val="1"/>
          <w:color w:val="auto"/>
        </w:rPr>
        <w:t>Notes, Loans Payable, and Financing Arrangements</w:t>
      </w:r>
      <w:r>
        <w:rPr>
          <w:rFonts w:ascii="Arial" w:cs="Arial" w:eastAsia="Arial" w:hAnsi="Arial"/>
          <w:sz w:val="17"/>
          <w:szCs w:val="17"/>
          <w:color w:val="auto"/>
        </w:rPr>
        <w: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jc w:val="center"/>
        <w:ind w:right="2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0" w:lineRule="exact"/>
        <w:rPr>
          <w:sz w:val="20"/>
          <w:szCs w:val="20"/>
          <w:color w:val="auto"/>
        </w:rPr>
      </w:pPr>
    </w:p>
    <w:p>
      <w:pPr>
        <w:spacing w:after="0" w:line="223"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Financial assets and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reflect our assumptions about the assumptions a market participant would use in pricing the asset or liability.</w:t>
      </w:r>
    </w:p>
    <w:p>
      <w:pPr>
        <w:spacing w:after="0" w:line="18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The acquisition-related contingent consideration liability represents the estimated fair value of additional future earn-outs payable for acquisitions of businesses that included earn-out clauses. The valuation of the contingent consideration will be evaluated on an ongoing basis and is based on management estimates and entity-specific assumptions which are considered Level 3 inputs.</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In connection with our acquisition of substantially all the net assets of Ultimate Survival Technologies, Inc. in fiscal 2017, up to an additional $2.0 million may be paid by us over a period of two years, contingent upon the financial performance of the acquired business. The valuation of this contingent consideration liability was established in accordance with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initial fair value of this contingent consideration liability was $1.7 million. Based on the current forecasted revenue, during fiscal 2018, we recorded a $1.6 million reduction in the fair value of this contingent consideration liability because we do not expect that the acquired business will achieve the performance metrics. This reduction was recorded in other income on the condensed consolidated statements of income. As of July 31, 2018, the fair value of this contingent liability was $60,000, which was recorded as a non-current liability.</w:t>
      </w:r>
    </w:p>
    <w:p>
      <w:pPr>
        <w:spacing w:after="0" w:line="18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 xml:space="preserve">In connection with the Gemtech acquisition, up to a maximum of $17.1 million may be paid contingent upon the cumulative three year sales volume of the acquired business. The valuation of this contingent consideration liability was established in accordance with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Based on current forecasted revenue, we believe it is unlikely that the acquired business will achieve the performance metrics. Therefore, as of July 31, 2018, the contingent liability was recorded at a fair value of $100,000 in non-current liabilities.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following table sets forth a summary of inventories, net of reserves, stated at lower of cost or net realizable value, as of July 31, 2018 and April 30, 2018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313"/>
              <w:spacing w:after="0"/>
              <w:rPr>
                <w:sz w:val="20"/>
                <w:szCs w:val="20"/>
                <w:color w:val="auto"/>
              </w:rPr>
            </w:pPr>
            <w:r>
              <w:rPr>
                <w:rFonts w:ascii="Arial" w:cs="Arial" w:eastAsia="Arial" w:hAnsi="Arial"/>
                <w:sz w:val="14"/>
                <w:szCs w:val="14"/>
                <w:b w:val="1"/>
                <w:bCs w:val="1"/>
                <w:color w:val="auto"/>
              </w:rPr>
              <w:t>July 31, 2018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2018</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107,916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Finished parts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42,075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Raw material</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12,141</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166,891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intangible assets as of July 31, 2018 and April 30, 2018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7"/>
              </w:rPr>
              <w:t>July 31, 2018</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April 30, 2018</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Accumulated</w:t>
            </w: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Net Carrying</w:t>
            </w:r>
          </w:p>
        </w:tc>
        <w:tc>
          <w:tcPr>
            <w:tcW w:w="20" w:type="dxa"/>
            <w:vAlign w:val="bottom"/>
          </w:tcPr>
          <w:p>
            <w:pPr>
              <w:spacing w:after="0"/>
              <w:rPr>
                <w:sz w:val="14"/>
                <w:szCs w:val="14"/>
                <w:color w:val="auto"/>
              </w:rPr>
            </w:pPr>
          </w:p>
        </w:tc>
      </w:tr>
      <w:tr>
        <w:trPr>
          <w:trHeight w:val="171"/>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4"/>
                <w:szCs w:val="14"/>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92,360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61,641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92,360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(28,252)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64,108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(9,461)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(8,178)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Patents, trademarks, and trade names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(23,840)</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(22,099)</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Backlog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(1,150)</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171,519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(65,170)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106,349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171,358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(59,679)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111,679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Patents in progress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definite-lived intangible 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172,398</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(65,170)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107,228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172,213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(59,679)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112,534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(65,170</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(59,679</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3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7" w:lineRule="exact"/>
        <w:rPr>
          <w:sz w:val="20"/>
          <w:szCs w:val="20"/>
          <w:color w:val="auto"/>
        </w:rPr>
      </w:pPr>
    </w:p>
    <w:p>
      <w:pPr>
        <w:jc w:val="both"/>
        <w:ind w:right="200" w:firstLine="518"/>
        <w:spacing w:after="0" w:line="259" w:lineRule="auto"/>
        <w:rPr>
          <w:sz w:val="20"/>
          <w:szCs w:val="20"/>
          <w:color w:val="auto"/>
        </w:rPr>
      </w:pPr>
      <w:r>
        <w:rPr>
          <w:rFonts w:ascii="Arial" w:cs="Arial" w:eastAsia="Arial" w:hAnsi="Arial"/>
          <w:sz w:val="18"/>
          <w:szCs w:val="18"/>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excluding amortization of deferred financing costs, amounted to $5.4 million and $5.7 million for the three months ended July 31, 2018 and 2017, respectively.</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amortization expense of intangible assets for the remainder of fiscal 2019 and succeeding fiscal years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Pr>
          <w:p>
            <w:pPr>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19,114</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16,506</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11,762</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28,393</w:t>
            </w:r>
          </w:p>
        </w:tc>
        <w:tc>
          <w:tcPr>
            <w:tcW w:w="100" w:type="dxa"/>
            <w:vAlign w:val="bottom"/>
            <w:tcBorders>
              <w:bottom w:val="single" w:sz="8" w:color="CFF0FC"/>
            </w:tcBorders>
          </w:tcPr>
          <w:p>
            <w:pPr>
              <w:spacing w:after="0"/>
              <w:rPr>
                <w:sz w:val="19"/>
                <w:szCs w:val="19"/>
                <w:color w:val="auto"/>
              </w:rPr>
            </w:pPr>
          </w:p>
        </w:tc>
      </w:tr>
      <w:tr>
        <w:trPr>
          <w:trHeight w:val="223"/>
        </w:trPr>
        <w:tc>
          <w:tcPr>
            <w:tcW w:w="9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On an annual basis, or more frequently if events or changes in circumstances indicate that the asset might be impaired, we evaluate the fair value of the definite and indefinite-lived intangible assets to determine if an impairment charge is required. We performed our most recent annual impairment review as of February 1, 2018. There were no events or changes in circumstances that would indicate the fair value of intangible assets was reduced below its carrying value during the three months ended July 31, 2018, and therefore intangible assets were not tested for impairment.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other accrued expenses as of July 31, 2018 and April 30, 2018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31, 2018</w:t>
            </w: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30, 2018</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rebates and promotions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17,073</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6,079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distributor incentives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taxes other than income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commissions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portion of capital lease obligation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4,580</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37,524</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41,632</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During fiscal 2017, our board of directors authorized the repurchase of up to $50.0 million of our common stock, subject to certain conditions, in the open market or in privately negotiated transactions until March 28, 2019. As of July 31, 2018, there were no share repurchases under this stock repurchase program.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31"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The following table provides a reconciliation of the net income/(loss) amounts and weighted average number of common and common equivalent shares used to determine basic and diluted earnings/(loss) per share for the three months ended July 31, 2018 and 2017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3"/>
              </w:rPr>
              <w:t>For the Three Months Ended July 31,</w:t>
            </w: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3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Net</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23"/>
              <w:spacing w:after="0" w:line="147" w:lineRule="exact"/>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680"/>
              <w:spacing w:after="0" w:line="147" w:lineRule="exact"/>
              <w:rPr>
                <w:sz w:val="20"/>
                <w:szCs w:val="20"/>
                <w:color w:val="auto"/>
              </w:rPr>
            </w:pPr>
            <w:r>
              <w:rPr>
                <w:rFonts w:ascii="Arial" w:cs="Arial" w:eastAsia="Arial" w:hAnsi="Arial"/>
                <w:sz w:val="14"/>
                <w:szCs w:val="14"/>
                <w:b w:val="1"/>
                <w:bCs w:val="1"/>
                <w:color w:val="auto"/>
              </w:rPr>
              <w:t>Net</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43"/>
              <w:spacing w:after="0" w:line="147" w:lineRule="exact"/>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2"/>
                <w:szCs w:val="12"/>
                <w:color w:val="auto"/>
              </w:rPr>
            </w:pPr>
          </w:p>
        </w:tc>
      </w:tr>
      <w:tr>
        <w:trPr>
          <w:trHeight w:val="171"/>
        </w:trPr>
        <w:tc>
          <w:tcPr>
            <w:tcW w:w="3060" w:type="dxa"/>
            <w:vAlign w:val="bottom"/>
            <w:tcBorders>
              <w:bottom w:val="single" w:sz="8" w:color="CFF0FC"/>
            </w:tcBorders>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Income</w:t>
            </w:r>
          </w:p>
        </w:tc>
        <w:tc>
          <w:tcPr>
            <w:tcW w:w="2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Income</w:t>
            </w:r>
          </w:p>
        </w:tc>
        <w:tc>
          <w:tcPr>
            <w:tcW w:w="2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4"/>
                <w:szCs w:val="14"/>
                <w:color w:val="auto"/>
              </w:rPr>
            </w:pPr>
          </w:p>
        </w:tc>
      </w:tr>
      <w:tr>
        <w:trPr>
          <w:trHeight w:val="210"/>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Basic earnings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7,645</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54,345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(2,165)</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53,905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(0.04)</w:t>
            </w:r>
          </w:p>
        </w:tc>
      </w:tr>
      <w:tr>
        <w:trPr>
          <w:trHeight w:val="213"/>
        </w:trPr>
        <w:tc>
          <w:tcPr>
            <w:tcW w:w="3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dilutive stock awards</w:t>
            </w:r>
          </w:p>
        </w:tc>
        <w:tc>
          <w:tcPr>
            <w:tcW w:w="10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3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Diluted earnings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7,645</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54,931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(2,165)</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53,905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(0.04)</w:t>
            </w: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All of our outstanding stock options and restricted stock units, or RSUs, were included in the computation of diluted earnings per share for the three months ended July 31, 2018 and 2017.</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and Employee Stock Purchase Plans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two stock incentive plans: the 2004 Incentive Stock Plan and the 2013 Incentive Stock Plan. New grants under the 2004 Incentive Stock Plan have not been made since the approval of the 2013 Incentive Stock Plan at our September 23, 2013 annual meeting of stockholders. All new grants covering all participants are issued under the 2013 Incentive Stock Plan. Except in specific circumstances, grants vest over a period of three or four years and stock options are exercisable for a period of 10 years from the date of grant. The plan also permits the grant of awards to non-employees, which our board of directors has authorized in the past.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number of shares and weighted average exercise prices of stock options for the three months ended July 31, 2018 and 2017 were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For the Three Months Ended July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7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w w:val="83"/>
              </w:rPr>
              <w:t>2017</w:t>
            </w: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19"/>
              <w:spacing w:after="0" w:line="147"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18"/>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Exercise Price</w:t>
            </w:r>
          </w:p>
        </w:tc>
        <w:tc>
          <w:tcPr>
            <w:tcW w:w="1420" w:type="dxa"/>
            <w:vAlign w:val="bottom"/>
          </w:tcPr>
          <w:p>
            <w:pPr>
              <w:jc w:val="right"/>
              <w:ind w:right="413"/>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09"/>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beginning of</w:t>
            </w:r>
          </w:p>
        </w:tc>
        <w:tc>
          <w:tcPr>
            <w:tcW w:w="14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year</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316,160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335,160</w:t>
            </w:r>
          </w:p>
        </w:tc>
        <w:tc>
          <w:tcPr>
            <w:tcW w:w="4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(17,399)</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7.98</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end of period</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298,761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335,160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Weighted average remaining</w:t>
            </w: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contractual life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 years</w:t>
            </w:r>
          </w:p>
        </w:tc>
        <w:tc>
          <w:tcPr>
            <w:tcW w:w="28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1260" w:type="dxa"/>
            <w:vAlign w:val="bottom"/>
            <w:tcBorders>
              <w:bottom w:val="single" w:sz="8" w:color="CFF0FC"/>
            </w:tcBorders>
          </w:tcPr>
          <w:p>
            <w:pPr>
              <w:spacing w:after="0"/>
              <w:rPr>
                <w:sz w:val="23"/>
                <w:szCs w:val="23"/>
                <w:color w:val="auto"/>
              </w:rPr>
            </w:pPr>
          </w:p>
        </w:tc>
        <w:tc>
          <w:tcPr>
            <w:tcW w:w="280" w:type="dxa"/>
            <w:vAlign w:val="bottom"/>
            <w:tcBorders>
              <w:bottom w:val="single" w:sz="8" w:color="CFF0FC"/>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 years</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tcPr>
          <w:p>
            <w:pPr>
              <w:spacing w:after="0"/>
              <w:rPr>
                <w:sz w:val="23"/>
                <w:szCs w:val="23"/>
                <w:color w:val="auto"/>
              </w:rPr>
            </w:pPr>
          </w:p>
        </w:tc>
        <w:tc>
          <w:tcPr>
            <w:tcW w:w="12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end of period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298,761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335,160</w:t>
            </w:r>
          </w:p>
        </w:tc>
        <w:tc>
          <w:tcPr>
            <w:tcW w:w="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remaining</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contractual life</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2.86 years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3.76 years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aggregate intrinsic value of outstanding and exercisable stock options as of July 31, 2018 and 2017 was $853,000 and $4.7 million, respectively. The aggregate intrinsic value of the stock options exercised for the three months ended July 31, 2018 was $76,000. There were no stock options exercised for the three months ended July 31, 2017. At July 31, 2018, there were no unrecognized compensation costs of outstanding stock options.</w:t>
      </w:r>
    </w:p>
    <w:p>
      <w:pPr>
        <w:spacing w:after="0" w:line="17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have an Employee Stock Purchase Plan, or ESPP, in which each participant is granted an option to purchase our common stock on each subsequent exercise date during the offering period (as such terms are defined in the ESPP) in accordance with the terms of the ESPP.</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total stock-based compensation expense, including stock options, purchases under our ESPP, RSUs, and performance-based RSUs, or PSUs, was $2.0 million and $1.9 million for the three months ended July 31, 2018 and 2017, respectively. Stock-based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is included in cost of sales, sales and marketing, research and development, and general and administrative expenses.</w:t>
      </w:r>
    </w:p>
    <w:p>
      <w:pPr>
        <w:spacing w:after="0" w:line="225"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grant service-based RSUs to employees and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The aggregate fair value of our RSU grants is amortized to compensation expense over the vesting period.</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9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During the three months ended July 31, 2018, we granted an aggregate of 140,771 service-based RSUs to non-executive officer employees. Compensation expense recognized related to grants of RSUs and PSUs was $1.8 million for the three months ended July 31, 2018. During the three months ended July 31, 2018, we cancelled 112,000 PSUs as a result of the performance metric not being met and 6,180 service-based RSUs as a result of the service condition not being met. In connection with the vesting of RSUs, during the three months ended July 31, 2018, we delivered common stock to our employees, including our executive officers, with a total market value of $1.7 million.</w:t>
      </w:r>
    </w:p>
    <w:p>
      <w:pPr>
        <w:spacing w:after="0" w:line="215"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During the three months ended July 31, 2017, we granted an aggregate of 164,180 service-based RSUs to non-executive officer employees. In addition, in connection with a 2014 grant of 105,500 PSUs (i.e., the target amount granted), which achieved 115.2% of the targeted award, or the maximum award possible, we vested and delivered awards totaling 121,504 shares to certain of our executive officers. Compensation expense recognized related to grants of RSUs and PSUs was $1.7 million for the three months ended July 31, 2017. We delivered common stock to our employees, including our executive officers, during the three months ended July 31, 2017 under vested RSUs and PSUs with a total market value of $1.7 million.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activity for unvested RSUs and PSUs for the three months ended July 31, 2018 and 2017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4"/>
              </w:rPr>
              <w:t>For the Three Months Ended July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Borders>
              <w:bottom w:val="single" w:sz="8" w:color="auto"/>
            </w:tcBorders>
            <w:gridSpan w:val="4"/>
          </w:tcPr>
          <w:p>
            <w:pPr>
              <w:jc w:val="right"/>
              <w:ind w:right="140"/>
              <w:spacing w:after="0" w:line="155"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9"/>
              <w:spacing w:after="0" w:line="147"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 of</w:t>
            </w: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 #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Grant Date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5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Stock Units</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Stock Units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r>
      <w:tr>
        <w:trPr>
          <w:trHeight w:val="209"/>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beginning of</w:t>
            </w: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period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1,442,316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1,428,848</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FF0FC"/>
          </w:tcPr>
          <w:p>
            <w:pPr>
              <w:spacing w:after="0"/>
              <w:rPr>
                <w:sz w:val="20"/>
                <w:szCs w:val="20"/>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Awarded</w:t>
            </w:r>
          </w:p>
        </w:tc>
        <w:tc>
          <w:tcPr>
            <w:tcW w:w="1140" w:type="dxa"/>
            <w:vAlign w:val="bottom"/>
          </w:tcPr>
          <w:p>
            <w:pPr>
              <w:jc w:val="right"/>
              <w:spacing w:after="0"/>
              <w:rPr>
                <w:sz w:val="20"/>
                <w:szCs w:val="20"/>
                <w:color w:val="auto"/>
              </w:rPr>
            </w:pPr>
            <w:r>
              <w:rPr>
                <w:rFonts w:ascii="Arial" w:cs="Arial" w:eastAsia="Arial" w:hAnsi="Arial"/>
                <w:sz w:val="18"/>
                <w:szCs w:val="18"/>
                <w:color w:val="auto"/>
              </w:rPr>
              <w:t>140,771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180,184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(146,523)</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(247,491)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(118,180)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15.53</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(92,902)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r>
      <w:tr>
        <w:trPr>
          <w:trHeight w:val="209"/>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end of</w:t>
            </w: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period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1,318,384</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1,268,639</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FF0FC"/>
          </w:tcPr>
          <w:p>
            <w:pPr>
              <w:spacing w:after="0"/>
              <w:rPr>
                <w:sz w:val="20"/>
                <w:szCs w:val="20"/>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As of July 31, 2018, there was $9.3 million of unrecognized compensation cost related to unvested RSUs and PSUs. This cost is expected to be recognized over a weighted average remaining contractual term of 1.8 years.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Income tax provisions for interim periods are based on estimated effective annual income tax rates and include federal and state income taxes.</w:t>
      </w:r>
    </w:p>
    <w:p>
      <w:pPr>
        <w:spacing w:after="0" w:line="237"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On December 22, 2017, the U.S. federal government enacted comprehensive tax legislation with the Tax Cuts and Jobs Act, or Tax Reform, which makes broad and complex changes to the U.S. tax code. Tax Reform significantly revised the corporate federal income tax by, among other things, lowering the corporate federal income tax rate, limiting various deductions, and repealing the domestic manufacturing deduction. We expect to see net benefits from the lower federal tax rate, although there are offsetting effects from other components of Tax Reform.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ind w:left="260" w:right="212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0" w:lineRule="exact"/>
        <w:rPr>
          <w:sz w:val="20"/>
          <w:szCs w:val="20"/>
          <w:color w:val="auto"/>
        </w:rPr>
      </w:pPr>
    </w:p>
    <w:p>
      <w:pPr>
        <w:spacing w:after="0" w:line="223"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Tax Reform reduced the U.S. federal statutory income tax rate from 35% to 21% generally effective for tax years beginning on or after January 1, 2018. Our U.S. federal statutory tax rate will be 21.0% in fiscal 2019.</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On December 22, 2017, the SEC issued Staff Accounting Bulletin 118, or SAB118, that provides additional guidance allowing companies to use a measurement period, similar to that used in business combinations, to account for the impacts of Tax Reform in their financial statements. In accordance with SAB 118, to the extent that a company’s accounting for certain income tax effects of the Tax Reform is incomplete, but the company is able to determine a reasonable estimate, it must record a provisional estimate in its financial statements. We have accounted for the impacts of Tax Reform to the extent a reasonable estimate could be made during the fiscal year ended April 30, 2019. We will continue to refine our estimates throughout the measurement period or until the accounting is complete.</w:t>
      </w:r>
    </w:p>
    <w:p>
      <w:pPr>
        <w:spacing w:after="0" w:line="19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estimated the impact of Tax Reform, based on currently available information and interpretations of the law, to be a benefit to us of $8.7 million, which was included in our fiscal 2018 tax benefit. The majority of the tax benefit is due to remeasurement of deferred tax assets and liabilities at lower enacted corporate federal tax rates, which did not have a cash impact on fiscal 2018. The actual impact of Tax Reform may differ from this estimate, possibly materially, because of, among other things, changes in interpretations and assumptions we have made, guidance that may be issued, and actions we may take as a result of Tax Reform.</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income tax provisions represented effective tax rates of 33.3% and 49.6% for the three months ended July 31, 2018 and 2017, respectively.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In January 2018, Gemini Technologies, Incorporated, or Gemini, commenced an action against us and Smith &amp; Wesson Corp. in the United States District Court for the District of Idaho, or District Court. The complaint alleges, among other things, that the defendants breached the earn-out and other provisions of the Asset Purchase Agreement and ancillary agreements between the parties in connection with Smith &amp; Wesson Corp.’s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In June 2018, Gemini appealed the decision dismissing its complaint to the United States Court of Appeals for the Ninth Circuit. We believe the claims asserted in the complaint have no merit, and we intend to aggressively defend this action.</w:t>
      </w:r>
    </w:p>
    <w:p>
      <w:pPr>
        <w:spacing w:after="0" w:line="216"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are a defendant in seven product liability cases and are aware of seven other product liability claims, primarily alleging defective product design, defective manufacturing, or failure to provide adequate warnings. In addition, we are a co-defendant in a case filed on August 27, 1999 by the city of Gary, Indiana against numerous firearm manufacturers, distributors, and dealers seeking to recover monetary damages, as well as injunctive relief, allegedly arising out of the misuse of firearms by third parties. In January 2018, the trial court granted defendants’ Motion for Judgement on the Pleadings, dismissing the case in its entirety. In February 2018, plaintiffs appealed the dismissal to the Indiana Court of Appeals. In May 2018, we were named in an action related to the Parkland, Florida shooting, filed in the Circuit Court, Broward County, Florida, seeking a declaratory judgement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w:t>
      </w:r>
    </w:p>
    <w:p>
      <w:pPr>
        <w:spacing w:after="0" w:line="20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believe that the various allegations as described above are unfounded, and, in addition, that any accident and any results from them or any injuries were due to negligence or misuse of the firearm by the claimant or a third party.</w:t>
      </w:r>
    </w:p>
    <w:p>
      <w:pPr>
        <w:spacing w:after="0" w:line="170"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In addition, from time to time, we are involved in lawsuits, claims, investigations, and proceedings, including commercial, environmental, and employment matters, which arise in the ordinary course of business.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$350,000. In our experience, initial demands do not generally bear a reasonable relationship to the facts and circumstances of a particular matter. We believe that our accruals for product liability cases and claims, as described below, are a reasonable quantitative measure of the cost to us of product liability cases and claims.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jc w:val="center"/>
        <w:ind w:left="260" w:right="212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0" w:lineRule="exact"/>
        <w:rPr>
          <w:sz w:val="20"/>
          <w:szCs w:val="20"/>
          <w:color w:val="auto"/>
        </w:rPr>
      </w:pPr>
    </w:p>
    <w:p>
      <w:pPr>
        <w:spacing w:after="0" w:line="223" w:lineRule="exact"/>
        <w:rPr>
          <w:sz w:val="20"/>
          <w:szCs w:val="20"/>
          <w:color w:val="auto"/>
        </w:rPr>
      </w:pPr>
    </w:p>
    <w:p>
      <w:pPr>
        <w:ind w:right="560" w:firstLine="518"/>
        <w:spacing w:after="0" w:line="308" w:lineRule="auto"/>
        <w:rPr>
          <w:sz w:val="20"/>
          <w:szCs w:val="20"/>
          <w:color w:val="auto"/>
        </w:rPr>
      </w:pPr>
      <w:r>
        <w:rPr>
          <w:rFonts w:ascii="Arial" w:cs="Arial" w:eastAsia="Arial" w:hAnsi="Arial"/>
          <w:sz w:val="17"/>
          <w:szCs w:val="17"/>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4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78"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an estimated range of reasonably possible additional losses relating to unfavorable outcomes cannot be made.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In fiscal 2017, we announced a plan to establish a national logistics facility in Boone County, Missouri. We ultimately plan to rely on this logistics facility for substantially all of our product distribution. In fiscal 2018, we broke ground on our new 633,000 square foot facility, which is currently scheduled to be completed and operational in fiscal 2019. The building for our national logistics facility will be treated as a capital lease and will be recorded in construction in progress, offset by a capital lease payable throughout building construction and will have no impact on cash flow. The total cost of the building is estimated to be between $45.0 million and $50.0 million, of which we expect approximately $30.0 million to $35.0 million will be recorded as a right of use asset on our condensed consolidated balance sheet when construction is complete. In addition, we expect to spend between $25.0 million and $30.0 million related to material handling equipment, information technology systems, and other capital projects in support of our national logistics facility. As of July 31, 2018, we have recorded $34.0 million in construction in progress, which is included in property, plant, and equipment in our condensed consolidated balance sheet, for costs incurred by the builder relating to the purchase of land and costs related to the design and construction of the building, offset by a $34.0 million capital lease payable which is included in capital lease payable, net of current portion, in our condensed consolidated balance sheet.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3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report our results of operations in two segments: (1) Firearms (which includes Firearms and Manufacturing Services divisions) and (2) Outdoor Products &amp; Accessories (which includes Outdoor Products &amp; Accessories and Electro-Optics divisions). Our two segments are defined based on the reporting and review process used by the chief operating decision maker, our Chief Executive Officer. The Firearms segment has been determined to be a single operating segment and reporting segment based on our reliance on production metrics, such as gross margin per unit produced, units produced per day, incoming orders per day, and revenue produced by trade channel, all of which are particular to the Firearms segment. The Outdoor Products &amp; Accessories segment represents two operating segments that have been aggregated into a reportable segment, which are evaluated by a measurement of incoming orders per day and sales and gross margin by customer and brand.</w:t>
      </w:r>
    </w:p>
    <w:p>
      <w:pPr>
        <w:spacing w:after="0" w:line="205"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The Firearms segment includes our firearms, services, and other components, which we manufacture or provide at our facilities in Springfield, Massachusetts; Houlton, Maine; Meridian, Idaho; and Deep River, Connecticut, and our firearm products, which we develop, assemble, and market in our Springfield, Massachusetts facility. The Outdoor Products &amp; Accessories segment includes our accessories products, which we develop, source, market, and distribute at our facilities in Columbia, Missouri and Jacksonville, Florida, and our electro-optics products, which we develop, market, and assemble in our Wilsonville, Oregon facility. We report operating costs based on the activities performed within each segment.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Months Ended July 31, 2018 and 2017</w:t>
      </w:r>
    </w:p>
    <w:p>
      <w:pPr>
        <w:spacing w:after="0" w:line="20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Segment assets are those directly used in or clearly allocable to a reportable segment’s operations. Assets by business segment are presented in the following table as of July 31, 2018 and April 30, 2018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As of July 31, 2018</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As of April 30, 2018</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7"/>
              </w:rPr>
              <w:t>Outdoor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7"/>
              </w:rPr>
              <w:t>Outdoor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Firearms</w:t>
            </w:r>
          </w:p>
        </w:tc>
        <w:tc>
          <w:tcPr>
            <w:tcW w:w="2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9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1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Accessories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Accessories</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330,352</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396,493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726,845</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346,517</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398,543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9"/>
              </w:rPr>
              <w:t>745,060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159,669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13,119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172,788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146,154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12,971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w w:val="89"/>
              </w:rPr>
              <w:t>159,125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Intangibles, net</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4,898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102,556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107,454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107,816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112,760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Goodwill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18,406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172,797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191,203</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172,797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w w:val="89"/>
              </w:rPr>
              <w:t>191,287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Results by business segment are presented in the following tables for the three months ended July 31, 2018 and 2017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2"/>
          </w:tcPr>
          <w:p>
            <w:pPr>
              <w:jc w:val="center"/>
              <w:ind w:right="300"/>
              <w:spacing w:after="0"/>
              <w:rPr>
                <w:sz w:val="20"/>
                <w:szCs w:val="20"/>
                <w:color w:val="auto"/>
              </w:rPr>
            </w:pPr>
            <w:r>
              <w:rPr>
                <w:rFonts w:ascii="Arial" w:cs="Arial" w:eastAsia="Arial" w:hAnsi="Arial"/>
                <w:sz w:val="14"/>
                <w:szCs w:val="14"/>
                <w:b w:val="1"/>
                <w:bCs w:val="1"/>
                <w:color w:val="auto"/>
                <w:w w:val="94"/>
              </w:rPr>
              <w:t>For the Three Months Ended July 31, 2018 (a)</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97"/>
              </w:rPr>
              <w:t>Outdoor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Accessories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104,474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34,359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138,833</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Intersegment revenue</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(3,681)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4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105,258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37,256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138,833</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70,465</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20,374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(4,428)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34,793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16,882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Operating income/(loss)</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14,091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(2,418)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12,355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(426)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2"/>
          </w:tcPr>
          <w:p>
            <w:pPr>
              <w:jc w:val="right"/>
              <w:ind w:right="580"/>
              <w:spacing w:after="0"/>
              <w:rPr>
                <w:sz w:val="20"/>
                <w:szCs w:val="20"/>
                <w:color w:val="auto"/>
              </w:rPr>
            </w:pPr>
            <w:r>
              <w:rPr>
                <w:rFonts w:ascii="Arial" w:cs="Arial" w:eastAsia="Arial" w:hAnsi="Arial"/>
                <w:sz w:val="14"/>
                <w:szCs w:val="14"/>
                <w:b w:val="1"/>
                <w:bCs w:val="1"/>
                <w:color w:val="auto"/>
              </w:rPr>
              <w:t>For the Three Months Ended July 31, 2017 (a)</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Outdoor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Accessories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98,357</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30,664</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129,021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Intersegment revenue</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(2,952)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4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99,438</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32,535</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(2,952)</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129,021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72,757</w:t>
            </w: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18,432</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22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26,681</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Operating income/(loss)</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(4,893)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(11,770)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(1,636)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00" w:right="520" w:hanging="379"/>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allocate all of corporate overhead expenses except for interest and income taxes, such as general and administrative expenses and other corporate-level expenses, to both our Firearms and Outdoor Products &amp; Accessories segments.</w:t>
      </w:r>
    </w:p>
    <w:p>
      <w:pPr>
        <w:spacing w:after="0" w:line="274"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9690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0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August 2018, we announced a plan to transition our Ultimate Survival Technologies, LLC, or UST, business and operations into our Columbia, Missouri facility. That plan includes (i) closing our Jacksonville, Florida facility as part of our previously announced strategy to consolidate warehousing and logistics operations into the national logistics facility that we are constructing in Missouri and (ii) relocating our Jacksonville-based UST sales, marketing, and research and development activities to Columbia, Missouri. In connection with the integration, we expect to incur restructuring charges of approximately $1.5 million to $2.5 million relating to tangible asset impairment, severance, retention, and relocation beginning in our second quarter of fiscal 2019 and concluding in our first quarter of fiscal 2020, with cash outlays primarily being incurred in our first quarter of fiscal 2020.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right="414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jc w:val="both"/>
        <w:ind w:right="160" w:firstLine="518"/>
        <w:spacing w:after="0" w:line="286" w:lineRule="auto"/>
        <w:rPr>
          <w:sz w:val="20"/>
          <w:szCs w:val="20"/>
          <w:color w:val="auto"/>
        </w:rPr>
      </w:pPr>
      <w:r>
        <w:rPr>
          <w:rFonts w:ascii="Arial" w:cs="Arial" w:eastAsia="Arial" w:hAnsi="Arial"/>
          <w:sz w:val="17"/>
          <w:szCs w:val="17"/>
          <w:color w:val="auto"/>
        </w:rPr>
        <w:t>Please refer to the Management’s Discussion and Analysis of Financial Condition and Results of Operations in our Annual Report on Form 10-K for the fiscal year ended April 30, 2018 and our unaudited condensed consolidated financial statements included in Item 1 of this Quarterly Report on Form 10-Q. This section sets forth key objectives and performance indicators used by us as well as key industry data tracked by us.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report our results of operations in two segments: (1) Firearms and (2) Outdoor Products &amp; Accessories.</w:t>
      </w:r>
    </w:p>
    <w:p>
      <w:pPr>
        <w:spacing w:after="0" w:line="225"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In fiscal 2018, in two separate transactions, we acquired substantially all of the net assets of Gemini Technologies, Incorporated, or Gemtech, and Bubba Blade branded products and other assets from Fish Tales, LLC. The aggregate purchase price for the two acquisitions was $23.1 million, subject to certain adjustments, utilizing a combination of cash on hand and borrowings under our revolving line of credit. Gemtech, based in Meridian, Idaho, is a provider of quality suppressors and accessories for the consumer, law enforcement, and military markets. Fish Tales, LLC, based in Oro Valley, Arizona, was a provider of premium sportsman knives and tools for fishing and hunting, including the premium knife brand Bubba Blade. We collectively refer to the acquisitions of Gemtech and Bubba Blade branded products as the 2018 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2019 Highlights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three months ended July 31, 2018 included the following:</w:t>
      </w:r>
    </w:p>
    <w:p>
      <w:pPr>
        <w:spacing w:after="0" w:line="117" w:lineRule="exact"/>
        <w:rPr>
          <w:sz w:val="20"/>
          <w:szCs w:val="20"/>
          <w:color w:val="auto"/>
        </w:rPr>
      </w:pPr>
    </w:p>
    <w:p>
      <w:pPr>
        <w:ind w:left="1280" w:hanging="381"/>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net sales were $138.8 million, an increase of $9.8 million, or 7.6%, from the comparable quarter last year.</w:t>
      </w:r>
    </w:p>
    <w:p>
      <w:pPr>
        <w:spacing w:after="0" w:line="117" w:lineRule="exact"/>
        <w:rPr>
          <w:rFonts w:ascii="Arial" w:cs="Arial" w:eastAsia="Arial" w:hAnsi="Arial"/>
          <w:sz w:val="18"/>
          <w:szCs w:val="18"/>
          <w:color w:val="auto"/>
        </w:rPr>
      </w:pPr>
    </w:p>
    <w:p>
      <w:pPr>
        <w:ind w:left="1280" w:right="120" w:hanging="381"/>
        <w:spacing w:after="0" w:line="277"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Firearms segment gross sales were $105.3 million, which included $784,000 of intersegment revenue, an increase of $5.9 million, or 5.9%, from the comparable quarter last year.</w:t>
      </w:r>
    </w:p>
    <w:p>
      <w:pPr>
        <w:spacing w:after="0" w:line="62" w:lineRule="exact"/>
        <w:rPr>
          <w:rFonts w:ascii="Arial" w:cs="Arial" w:eastAsia="Arial" w:hAnsi="Arial"/>
          <w:sz w:val="18"/>
          <w:szCs w:val="18"/>
          <w:color w:val="auto"/>
        </w:rPr>
      </w:pPr>
    </w:p>
    <w:p>
      <w:pPr>
        <w:ind w:left="1280" w:right="100" w:hanging="381"/>
        <w:spacing w:after="0" w:line="28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Outdoor Products &amp; Accessories segment gross sales were $37.3 million, which included $2.9 million of intersegment revenue, an increase of $4.7 million, or 14.5%, from the comparable quarter last year. Inorganic gross sales totaled $1.2 million, or 3.2%, of gross sales for this segment for the three months ended July 31, 2018. Organic gross sales in this segment grew 10.7%.</w:t>
      </w:r>
    </w:p>
    <w:p>
      <w:pPr>
        <w:spacing w:after="0" w:line="57" w:lineRule="exact"/>
        <w:rPr>
          <w:rFonts w:ascii="Arial" w:cs="Arial" w:eastAsia="Arial" w:hAnsi="Arial"/>
          <w:sz w:val="17"/>
          <w:szCs w:val="17"/>
          <w:color w:val="auto"/>
        </w:rPr>
      </w:pPr>
    </w:p>
    <w:p>
      <w:pPr>
        <w:ind w:left="1280" w:hanging="381"/>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gross margin was 37.8%, an increase of 6.3% from the comparable quarter last year.</w:t>
      </w:r>
    </w:p>
    <w:p>
      <w:pPr>
        <w:spacing w:after="0" w:line="117" w:lineRule="exact"/>
        <w:rPr>
          <w:rFonts w:ascii="Arial" w:cs="Arial" w:eastAsia="Arial" w:hAnsi="Arial"/>
          <w:sz w:val="18"/>
          <w:szCs w:val="18"/>
          <w:color w:val="auto"/>
        </w:rPr>
      </w:pPr>
    </w:p>
    <w:p>
      <w:pPr>
        <w:ind w:left="1280" w:right="60" w:hanging="381"/>
        <w:spacing w:after="0" w:line="277"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net income was $7.6 million, or $0.14 per diluted share, compared with a net loss of $2.2 million, or ($0.04) per diluted share, for the comparable quarter last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certain information regarding net sales for the three months ended July 31, 2018 and 2017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 Change</w:t>
            </w:r>
          </w:p>
        </w:tc>
        <w:tc>
          <w:tcPr>
            <w:tcW w:w="2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Handguns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75,456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Long Guns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15,859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5,653</w:t>
            </w:r>
          </w:p>
        </w:tc>
        <w:tc>
          <w:tcPr>
            <w:tcW w:w="2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(758)</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140"/>
              <w:spacing w:after="0"/>
              <w:rPr>
                <w:sz w:val="20"/>
                <w:szCs w:val="20"/>
                <w:color w:val="auto"/>
              </w:rPr>
            </w:pPr>
            <w:r>
              <w:rPr>
                <w:rFonts w:ascii="Arial" w:cs="Arial" w:eastAsia="Arial" w:hAnsi="Arial"/>
                <w:sz w:val="18"/>
                <w:szCs w:val="18"/>
                <w:color w:val="auto"/>
              </w:rPr>
              <w:t>Firearms Segment</w:t>
            </w:r>
          </w:p>
        </w:tc>
        <w:tc>
          <w:tcPr>
            <w:tcW w:w="1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104,474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98,357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6,117</w:t>
            </w:r>
          </w:p>
        </w:tc>
        <w:tc>
          <w:tcPr>
            <w:tcW w:w="2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Outdoor Products &amp; Accessories Segment</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34,359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60"/>
              <w:spacing w:after="0"/>
              <w:rPr>
                <w:sz w:val="20"/>
                <w:szCs w:val="20"/>
                <w:color w:val="auto"/>
              </w:rPr>
            </w:pPr>
            <w:r>
              <w:rPr>
                <w:rFonts w:ascii="Arial" w:cs="Arial" w:eastAsia="Arial" w:hAnsi="Arial"/>
                <w:sz w:val="18"/>
                <w:szCs w:val="18"/>
                <w:color w:val="auto"/>
              </w:rPr>
              <w:t>Total Net Sales</w:t>
            </w:r>
          </w:p>
        </w:tc>
        <w:tc>
          <w:tcPr>
            <w:tcW w:w="16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138,833</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129,021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9,812</w:t>
            </w:r>
          </w:p>
        </w:tc>
        <w:tc>
          <w:tcPr>
            <w:tcW w:w="2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18"/>
        <w:spacing w:after="0" w:line="295" w:lineRule="auto"/>
        <w:rPr>
          <w:sz w:val="20"/>
          <w:szCs w:val="20"/>
          <w:color w:val="auto"/>
        </w:rPr>
      </w:pPr>
      <w:r>
        <w:rPr>
          <w:rFonts w:ascii="Arial" w:cs="Arial" w:eastAsia="Arial" w:hAnsi="Arial"/>
          <w:sz w:val="16"/>
          <w:szCs w:val="16"/>
          <w:color w:val="auto"/>
        </w:rPr>
        <w:t>Company net sales for the three months ended July 31, 2018 were $138.8 million, an increase of $9.8 million, or 7.6%, over net sales of $129.0 million for the three months ended July 31, 2017. Net sales for our Firearms segment for the three months ended July 31, 2018 increased 6.2% over the comparable quarter last year partially due to a change in accounting standards that impacted the timing of revenue recognition when shipping promotional products. Had this new standard been in place during the three months ended July 31, 2017, we would have reported net sales for our Firearms segment of $105.7 million, or $7.4 million of additional revenue, for the first quarter of fiscal 2018. Therefore, absent the change in accounting standards, net sales for our Firearms segment of $104.5 million was relatively flat when compared to $105.7 million in spite of a $10.6 million reduction in promotional consumer rebates, which increased our average selling price in the current quarter. Notwithstanding the increase in net sales, actual unit shipments into the consumer channel for certain of our handgun products decreased from the comparable quarter last year as customer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right="20"/>
        <w:spacing w:after="0" w:line="290" w:lineRule="auto"/>
        <w:rPr>
          <w:sz w:val="20"/>
          <w:szCs w:val="20"/>
          <w:color w:val="auto"/>
        </w:rPr>
      </w:pPr>
      <w:r>
        <w:rPr>
          <w:rFonts w:ascii="Arial" w:cs="Arial" w:eastAsia="Arial" w:hAnsi="Arial"/>
          <w:sz w:val="16"/>
          <w:szCs w:val="16"/>
          <w:color w:val="auto"/>
        </w:rPr>
        <w:t>orders softened, likely as a result of reduced political pressures on firearm laws and regulations (as indicated by a 10.1% reduction in total adjusted background checks reported in the National Instant Criminal Background Check System). Our handgun product revenue increased $1.2 million, or 1.6%, over the comparable quarter last year primarily as a result of lower consumer rebates on our polymer pistols and the recognition of deferred revenue on shipments of promotional products, partially offset by lower shipments of concealed carry M&amp;P branded polymer pistols and Performance Center branded polymer pistols. Revenue for our long guns increased $5.7 million, or 35.6%, over the comparable quarter last year primarily as a result of higher demand for modern sporting rifles. New products, defined as any new SKU not shipped in the comparable quarter last year, represented 28.5% of firearm revenue for the three months ended July 31, 2018 and included our new concealed carry M&amp;P branded polymer pistol and many other product line extensions for our M&amp;P and Thompson/Center Arms branded products. The reduction in the number of units sold negatively impacted firearm revenue by 13.7%.</w:t>
      </w:r>
    </w:p>
    <w:p>
      <w:pPr>
        <w:spacing w:after="0" w:line="166"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As expected, our inventory levels increased during the three months ended July 31, 2018 as a result of the preparation for the fall hunting and holiday seasons and a planned inventory build to reduce the risk of shipping complications at the time that our national logistics facility in Boone County, Missouri becomes operational.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 introductions, news events, political events, and consumer tastes.</w:t>
      </w:r>
    </w:p>
    <w:p>
      <w:pPr>
        <w:spacing w:after="0" w:line="173" w:lineRule="exact"/>
        <w:rPr>
          <w:sz w:val="20"/>
          <w:szCs w:val="20"/>
          <w:color w:val="auto"/>
        </w:rPr>
      </w:pPr>
    </w:p>
    <w:p>
      <w:pPr>
        <w:jc w:val="both"/>
        <w:ind w:right="60" w:firstLine="518"/>
        <w:spacing w:after="0" w:line="302" w:lineRule="auto"/>
        <w:rPr>
          <w:sz w:val="20"/>
          <w:szCs w:val="20"/>
          <w:color w:val="auto"/>
        </w:rPr>
      </w:pPr>
      <w:r>
        <w:rPr>
          <w:rFonts w:ascii="Arial" w:cs="Arial" w:eastAsia="Arial" w:hAnsi="Arial"/>
          <w:sz w:val="16"/>
          <w:szCs w:val="16"/>
          <w:color w:val="auto"/>
        </w:rPr>
        <w:t>Net sales for our Outdoor Products &amp; Accessories segment for the three months ended July 31, 2018 increased 12.0% over the comparable quarter last year. Organic revenue in this segment increased $2.5 million, or 8.1%, over the comparable quarter last year primarily because of lower promotional activity and product mix. During the three months ended July 31, 2018, inorganic net sales totaled $1.2 million, which represented 3.5% of net sales for this segment. Net sales for our Outdoor Products &amp; Accessories segment was 24.7% of total company net sales compared with 23.8% in the comparable quarter last year.</w:t>
      </w:r>
    </w:p>
    <w:p>
      <w:pPr>
        <w:spacing w:after="0" w:line="154"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trade channel net sales for the three months ended July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 Change</w:t>
            </w:r>
          </w:p>
        </w:tc>
        <w:tc>
          <w:tcPr>
            <w:tcW w:w="2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Sporting Goods Distribution Channel</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122,451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109,064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13,387</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Professional Channel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15,139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(2,419)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(1,156)</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138,833</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129,021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9,812</w:t>
            </w:r>
          </w:p>
        </w:tc>
        <w:tc>
          <w:tcPr>
            <w:tcW w:w="2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include domestic handgun, long gun, and parts revenue as well as revenue from Outdoor Products &amp; Accessories in our sporting goods distribution channel. We include international and law enforcement handgun, long gun, and handcuff revenue in our professional channel, and we include specialty services and plastic injection molding revenue in other products and services.</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three months ended July 31, 2018 and 2017 (units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40" w:type="dxa"/>
            <w:vAlign w:val="bottom"/>
            <w:gridSpan w:val="4"/>
          </w:tcPr>
          <w:p>
            <w:pPr>
              <w:spacing w:after="0"/>
              <w:rPr>
                <w:sz w:val="20"/>
                <w:szCs w:val="20"/>
                <w:color w:val="auto"/>
              </w:rPr>
            </w:pPr>
            <w:r>
              <w:rPr>
                <w:rFonts w:ascii="Arial" w:cs="Arial" w:eastAsia="Arial" w:hAnsi="Arial"/>
                <w:sz w:val="14"/>
                <w:szCs w:val="14"/>
                <w:b w:val="1"/>
                <w:bCs w:val="1"/>
                <w:color w:val="auto"/>
              </w:rPr>
              <w:t>Total Units Shipped</w:t>
            </w: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5"/>
                <w:szCs w:val="15"/>
                <w:color w:val="auto"/>
              </w:rPr>
            </w:pPr>
          </w:p>
        </w:tc>
        <w:tc>
          <w:tcPr>
            <w:tcW w:w="1040" w:type="dxa"/>
            <w:vAlign w:val="bottom"/>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Handguns</w:t>
            </w:r>
          </w:p>
        </w:tc>
        <w:tc>
          <w:tcPr>
            <w:tcW w:w="5220" w:type="dxa"/>
            <w:vAlign w:val="bottom"/>
            <w:tcBorders>
              <w:top w:val="single" w:sz="8" w:color="CFF0FC"/>
            </w:tcBorders>
            <w:gridSpan w:val="3"/>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86"/>
              </w:rPr>
              <w:t>237</w:t>
            </w: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86"/>
              </w:rPr>
              <w:t>306</w:t>
            </w: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93"/>
              </w:rPr>
              <w:t>(69)</w:t>
            </w:r>
          </w:p>
        </w:tc>
        <w:tc>
          <w:tcPr>
            <w:tcW w:w="2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-22.5%</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44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000" w:type="dxa"/>
            <w:vAlign w:val="bottom"/>
          </w:tcPr>
          <w:p>
            <w:pPr>
              <w:jc w:val="right"/>
              <w:ind w:right="276"/>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1040" w:type="dxa"/>
            <w:vAlign w:val="bottom"/>
          </w:tcPr>
          <w:p>
            <w:pPr>
              <w:jc w:val="right"/>
              <w:ind w:right="296"/>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0"/>
                <w:szCs w:val="20"/>
                <w:color w:val="auto"/>
              </w:rPr>
            </w:pPr>
          </w:p>
        </w:tc>
        <w:tc>
          <w:tcPr>
            <w:tcW w:w="1040" w:type="dxa"/>
            <w:vAlign w:val="bottom"/>
          </w:tcPr>
          <w:p>
            <w:pPr>
              <w:jc w:val="center"/>
              <w:ind w:left="16"/>
              <w:spacing w:after="0"/>
              <w:rPr>
                <w:sz w:val="20"/>
                <w:szCs w:val="20"/>
                <w:color w:val="auto"/>
              </w:rPr>
            </w:pPr>
            <w:r>
              <w:rPr>
                <w:rFonts w:ascii="Arial" w:cs="Arial" w:eastAsia="Arial" w:hAnsi="Arial"/>
                <w:sz w:val="18"/>
                <w:szCs w:val="18"/>
                <w:color w:val="auto"/>
                <w:w w:val="89"/>
              </w:rPr>
              <w:t>15</w:t>
            </w:r>
          </w:p>
        </w:tc>
        <w:tc>
          <w:tcPr>
            <w:tcW w:w="2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29.4%</w:t>
            </w:r>
          </w:p>
        </w:tc>
        <w:tc>
          <w:tcPr>
            <w:tcW w:w="120" w:type="dxa"/>
            <w:vAlign w:val="bottom"/>
          </w:tcPr>
          <w:p>
            <w:pPr>
              <w:spacing w:after="0"/>
              <w:rPr>
                <w:sz w:val="20"/>
                <w:szCs w:val="20"/>
                <w:color w:val="auto"/>
              </w:rPr>
            </w:pPr>
          </w:p>
        </w:tc>
      </w:tr>
      <w:tr>
        <w:trPr>
          <w:trHeight w:val="438"/>
        </w:trPr>
        <w:tc>
          <w:tcPr>
            <w:tcW w:w="3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Sporting Goods Distribution Channel Units Shipped</w:t>
            </w:r>
          </w:p>
        </w:tc>
        <w:tc>
          <w:tcPr>
            <w:tcW w:w="3220" w:type="dxa"/>
            <w:vAlign w:val="bottom"/>
          </w:tcPr>
          <w:p>
            <w:pPr>
              <w:spacing w:after="0"/>
              <w:rPr>
                <w:sz w:val="24"/>
                <w:szCs w:val="24"/>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4"/>
                <w:szCs w:val="24"/>
                <w:color w:val="auto"/>
              </w:rPr>
            </w:pPr>
          </w:p>
        </w:tc>
        <w:tc>
          <w:tcPr>
            <w:tcW w:w="1040" w:type="dxa"/>
            <w:vAlign w:val="bottom"/>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644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00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86"/>
              </w:rPr>
              <w:t>214</w:t>
            </w: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86"/>
              </w:rPr>
              <w:t>274</w:t>
            </w: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93"/>
              </w:rPr>
              <w:t>(60)</w:t>
            </w:r>
          </w:p>
        </w:tc>
        <w:tc>
          <w:tcPr>
            <w:tcW w:w="2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-21.9%</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44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000" w:type="dxa"/>
            <w:vAlign w:val="bottom"/>
          </w:tcPr>
          <w:p>
            <w:pPr>
              <w:jc w:val="right"/>
              <w:ind w:right="276"/>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0"/>
                <w:szCs w:val="20"/>
                <w:color w:val="auto"/>
              </w:rPr>
            </w:pPr>
          </w:p>
        </w:tc>
        <w:tc>
          <w:tcPr>
            <w:tcW w:w="1040" w:type="dxa"/>
            <w:vAlign w:val="bottom"/>
          </w:tcPr>
          <w:p>
            <w:pPr>
              <w:jc w:val="right"/>
              <w:ind w:right="296"/>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0"/>
                <w:szCs w:val="20"/>
                <w:color w:val="auto"/>
              </w:rPr>
            </w:pPr>
          </w:p>
        </w:tc>
        <w:tc>
          <w:tcPr>
            <w:tcW w:w="1040" w:type="dxa"/>
            <w:vAlign w:val="bottom"/>
          </w:tcPr>
          <w:p>
            <w:pPr>
              <w:jc w:val="center"/>
              <w:ind w:left="16"/>
              <w:spacing w:after="0"/>
              <w:rPr>
                <w:sz w:val="20"/>
                <w:szCs w:val="20"/>
                <w:color w:val="auto"/>
              </w:rPr>
            </w:pPr>
            <w:r>
              <w:rPr>
                <w:rFonts w:ascii="Arial" w:cs="Arial" w:eastAsia="Arial" w:hAnsi="Arial"/>
                <w:sz w:val="18"/>
                <w:szCs w:val="18"/>
                <w:color w:val="auto"/>
                <w:w w:val="89"/>
              </w:rPr>
              <w:t>17</w:t>
            </w:r>
          </w:p>
        </w:tc>
        <w:tc>
          <w:tcPr>
            <w:tcW w:w="2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37.8%</w:t>
            </w:r>
          </w:p>
        </w:tc>
        <w:tc>
          <w:tcPr>
            <w:tcW w:w="120" w:type="dxa"/>
            <w:vAlign w:val="bottom"/>
          </w:tcPr>
          <w:p>
            <w:pPr>
              <w:spacing w:after="0"/>
              <w:rPr>
                <w:sz w:val="20"/>
                <w:szCs w:val="20"/>
                <w:color w:val="auto"/>
              </w:rPr>
            </w:pPr>
          </w:p>
        </w:tc>
      </w:tr>
      <w:tr>
        <w:trPr>
          <w:trHeight w:val="451"/>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Professional Channel Units Shipped</w:t>
            </w:r>
          </w:p>
        </w:tc>
        <w:tc>
          <w:tcPr>
            <w:tcW w:w="4220" w:type="dxa"/>
            <w:vAlign w:val="bottom"/>
            <w:gridSpan w:val="2"/>
          </w:tcPr>
          <w:p>
            <w:pPr>
              <w:spacing w:after="0"/>
              <w:rPr>
                <w:sz w:val="24"/>
                <w:szCs w:val="24"/>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4"/>
                <w:szCs w:val="24"/>
                <w:color w:val="auto"/>
              </w:rPr>
            </w:pPr>
          </w:p>
        </w:tc>
        <w:tc>
          <w:tcPr>
            <w:tcW w:w="1040" w:type="dxa"/>
            <w:vAlign w:val="bottom"/>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644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00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rPr>
              <w:t>23</w:t>
            </w: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99"/>
              </w:rPr>
              <w:t>(9)</w:t>
            </w:r>
          </w:p>
        </w:tc>
        <w:tc>
          <w:tcPr>
            <w:tcW w:w="2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-28.1%</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44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000" w:type="dxa"/>
            <w:vAlign w:val="bottom"/>
          </w:tcPr>
          <w:p>
            <w:pPr>
              <w:jc w:val="center"/>
              <w:ind w:left="16"/>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20"/>
                <w:szCs w:val="20"/>
                <w:color w:val="auto"/>
              </w:rPr>
            </w:pPr>
          </w:p>
        </w:tc>
        <w:tc>
          <w:tcPr>
            <w:tcW w:w="1040" w:type="dxa"/>
            <w:vAlign w:val="bottom"/>
          </w:tcPr>
          <w:p>
            <w:pPr>
              <w:jc w:val="center"/>
              <w:ind w:left="16"/>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20"/>
                <w:szCs w:val="20"/>
                <w:color w:val="auto"/>
              </w:rPr>
            </w:pPr>
          </w:p>
        </w:tc>
        <w:tc>
          <w:tcPr>
            <w:tcW w:w="1040" w:type="dxa"/>
            <w:vAlign w:val="bottom"/>
          </w:tcPr>
          <w:p>
            <w:pPr>
              <w:jc w:val="center"/>
              <w:ind w:left="16"/>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-33.3%</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Notwithstanding an increase in revenue for handguns over the comparable quarter last year, total unit shipments for handguns declined because of lower consumer rebates that increased our average selling price as well as the recognition of deferred revenue on shipments of promotional products. Total unit shipments and revenue for long guns increased primarily as a result of increased demand for modern sporting rifles.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tables set forth certain information regarding cost of sales and gross profit for the three months ended July 31, 2018 and 2017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Total Company</w:t>
            </w:r>
          </w:p>
        </w:tc>
        <w:tc>
          <w:tcPr>
            <w:tcW w:w="532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628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gridSpan w:val="4"/>
            <w:vMerge w:val="continue"/>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86,411</w:t>
            </w:r>
          </w:p>
        </w:tc>
        <w:tc>
          <w:tcPr>
            <w:tcW w:w="3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88,389</w:t>
            </w:r>
          </w:p>
        </w:tc>
        <w:tc>
          <w:tcPr>
            <w:tcW w:w="24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260" w:type="dxa"/>
            <w:vAlign w:val="bottom"/>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28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52,422</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40,632</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11,790</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62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Firearms Segment</w:t>
            </w:r>
          </w:p>
        </w:tc>
        <w:tc>
          <w:tcPr>
            <w:tcW w:w="51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628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gridSpan w:val="4"/>
            <w:vMerge w:val="continue"/>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67,901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71,456</w:t>
            </w:r>
          </w:p>
        </w:tc>
        <w:tc>
          <w:tcPr>
            <w:tcW w:w="24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w:t>
            </w:r>
          </w:p>
        </w:tc>
        <w:tc>
          <w:tcPr>
            <w:tcW w:w="260" w:type="dxa"/>
            <w:vAlign w:val="bottom"/>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28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36,573</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26,901</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9,672</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62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Outdoor Products &amp; Accessories Segment</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628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gridSpan w:val="4"/>
            <w:vMerge w:val="continue"/>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18,510</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16,933</w:t>
            </w:r>
          </w:p>
        </w:tc>
        <w:tc>
          <w:tcPr>
            <w:tcW w:w="24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628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15,849</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13,731</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2,118</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62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46.1%</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Gross margin for the three months ended July 31, 2018 for our Firearms segment increased by 7.6% over the comparable quarter last year, primarily because of a combination of lower promotional product discounts, consumer rebates, and favorable manufacturing spending, which favorably impacted Firearms gross margin by 18.5%. The favorable impacts to Firearms gross margin were partially offset by decreased production volumes and unfavorable manufacturing fixed cost absorption, which negatively impacted Firearms gross margin by 9.2%.</w:t>
      </w:r>
    </w:p>
    <w:p>
      <w:pPr>
        <w:spacing w:after="0" w:line="17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Gross margin for the three months ended July 31, 2018 for our Outdoor Products &amp; Accessories segment increased 1.3% over the comparable quarter last year primarily because of a change in product mix and lower promotional activity. Our Outdoor Products &amp; Accessories segment favorably impacted total company gross margin by 2.8% for the three months ended July 31,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expenses for the three months ended July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 Change</w:t>
            </w:r>
          </w:p>
        </w:tc>
        <w:tc>
          <w:tcPr>
            <w:tcW w:w="2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11,615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24,521</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(4,807)</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38,946</w:t>
            </w:r>
          </w:p>
        </w:tc>
        <w:tc>
          <w:tcPr>
            <w:tcW w:w="3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43,832</w:t>
            </w:r>
          </w:p>
        </w:tc>
        <w:tc>
          <w:tcPr>
            <w:tcW w:w="2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(4,886)</w:t>
            </w:r>
          </w:p>
        </w:tc>
        <w:tc>
          <w:tcPr>
            <w:tcW w:w="260" w:type="dxa"/>
            <w:vAlign w:val="bottom"/>
            <w:vMerge w:val="continue"/>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of net sales</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Operating expenses decreased $4.8 million from the comparable quarter last year. General and administrative expenses decreased as a result of a $1.5 million decrease in professional fees, $1.3 million of reduced compensation related expenses, and a $950,000 lower donation to the National Rifle Association, partially because of the timing of payments.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Income/(Loss)</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income/(loss) for the three months ended July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 Change</w:t>
            </w:r>
          </w:p>
        </w:tc>
        <w:tc>
          <w:tcPr>
            <w:tcW w:w="2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13,476</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16,676</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-521.1%</w:t>
            </w: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 of net sales (operating margin)</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Operating income for the three months ended July 31, 2018 was $13.5 million, an increase of $16.7 million over the comparable quarter last year, primarily because of a combination of lower promotional product discounts, consumer rebates, favorable manufacturing spending, a decrease in professional fees, and reduced compensation related expenses, partially offset by decreased production volumes and unfavorable manufacturing fixed cost absorption.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income/(expense) for the three months ended July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160" w:type="dxa"/>
            <w:vAlign w:val="bottom"/>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income/(expense)</w:t>
            </w:r>
          </w:p>
        </w:tc>
        <w:tc>
          <w:tcPr>
            <w:tcW w:w="23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(18)</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N/A</w:t>
            </w:r>
          </w:p>
        </w:tc>
      </w:tr>
    </w:tbl>
    <w:p>
      <w:pPr>
        <w:spacing w:after="0" w:line="202"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Other income/(expense) decreased from the comparable quarter last year as a result of a $1.3 million adjustment in the contingent consideration liability in connection with the acquisition of Ultimate Survival Technologies, Inc. in fiscal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920" w:firstLine="518"/>
        <w:spacing w:after="0" w:line="309" w:lineRule="auto"/>
        <w:rPr>
          <w:sz w:val="20"/>
          <w:szCs w:val="20"/>
          <w:color w:val="auto"/>
        </w:rPr>
      </w:pPr>
      <w:r>
        <w:rPr>
          <w:rFonts w:ascii="Arial" w:cs="Arial" w:eastAsia="Arial" w:hAnsi="Arial"/>
          <w:sz w:val="18"/>
          <w:szCs w:val="18"/>
          <w:color w:val="auto"/>
        </w:rPr>
        <w:t>The following table sets forth certain information regarding interest expense for the three months ended July 31, 2018 and 2017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 Change</w:t>
            </w:r>
          </w:p>
        </w:tc>
        <w:tc>
          <w:tcPr>
            <w:tcW w:w="2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w:t>
            </w:r>
          </w:p>
        </w:tc>
      </w:tr>
    </w:tbl>
    <w:p>
      <w:pPr>
        <w:spacing w:after="0" w:line="20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Interest expense decreased by $390,000 from the comparable quarter last year as a result of lower overall outstanding debt during the three months ended July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income tax expense for the three months ended July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 Change</w:t>
            </w:r>
          </w:p>
        </w:tc>
        <w:tc>
          <w:tcPr>
            <w:tcW w:w="2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5,940</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-279.1%</w:t>
            </w: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 of income from operations (effective tax rate)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r>
    </w:tbl>
    <w:p>
      <w:pPr>
        <w:spacing w:after="0" w:line="201"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The effective tax rates were 33.3% and 49.6% for the three months ended July 31, 2018 and 2017, respectively. The decrease in the effective tax rate from the comparable quarter last year is primarily because of the effects of the Tax Cuts and Job Act of 2017 which reduced the U.S. federal statutory income tax rate from 35% to 21% effective January 1, 2018, offset by the tax effect of stock compensation that is treated as a discrete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Income/(Loss)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net income/(loss) and the related per share data for the three months ended July 31, 2018 and 2017 (dollars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Borders>
              <w:bottom w:val="single" w:sz="8" w:color="CFF0FC"/>
            </w:tcBorders>
          </w:tcPr>
          <w:p>
            <w:pPr>
              <w:spacing w:after="0"/>
              <w:rPr>
                <w:sz w:val="14"/>
                <w:szCs w:val="14"/>
                <w:color w:val="auto"/>
              </w:rPr>
            </w:pPr>
          </w:p>
        </w:tc>
        <w:tc>
          <w:tcPr>
            <w:tcW w:w="2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-453.1%</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Net income/(loss) per share</w:t>
            </w: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CFF"/>
          </w:tcPr>
          <w:p>
            <w:pPr>
              <w:spacing w:after="0"/>
              <w:rPr>
                <w:sz w:val="19"/>
                <w:szCs w:val="19"/>
                <w:color w:val="auto"/>
              </w:rPr>
            </w:pPr>
          </w:p>
        </w:tc>
        <w:tc>
          <w:tcPr>
            <w:tcW w:w="1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-450.0%</w:t>
            </w: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-450.0%</w:t>
            </w:r>
          </w:p>
        </w:tc>
      </w:tr>
    </w:tbl>
    <w:p>
      <w:pPr>
        <w:spacing w:after="0" w:line="20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Net income was $7.6 million for the three months ended July 31, 2018 compared with a net loss of $2.2 million in the comparable quarter last year, primarily resulting from increased revenue resulting from lower promotional product discounts, consumer rebates, the favorable impacts on gross margin, and the reduced operating expenses, discussed above. This was offset by decreased production volumes and unfavorable manufacturing fixed cost absorption, discussed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Our principal cash requirements are to (1) finance the growth of our operations, including working capital and capital expenditures, (2) service our existing debt, and (3) fund any potential acquisitions. Capital expenditures for material handling equipment and other capital projects to support our national logistics facility, various information technology projects, and tooling for new product offerings represent important cash needs for the remainder of fiscal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color w:val="auto"/>
        </w:rPr>
        <w:t>The following table sets forth certain cash flow information for the three months ended July 31, 2018 and 2017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45,131</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(7,108)</w:t>
            </w: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(4,788)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2,320</w:t>
            </w:r>
          </w:p>
        </w:tc>
        <w:tc>
          <w:tcPr>
            <w:tcW w:w="2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(27,153)</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48,256</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260"/>
              <w:spacing w:after="0"/>
              <w:rPr>
                <w:sz w:val="20"/>
                <w:szCs w:val="20"/>
                <w:color w:val="auto"/>
              </w:rPr>
            </w:pPr>
            <w:r>
              <w:rPr>
                <w:rFonts w:ascii="Arial" w:cs="Arial" w:eastAsia="Arial" w:hAnsi="Arial"/>
                <w:sz w:val="18"/>
                <w:szCs w:val="18"/>
                <w:color w:val="auto"/>
              </w:rPr>
              <w:t>Total cash flow</w:t>
            </w: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(23,622)</w:t>
            </w:r>
          </w:p>
        </w:tc>
        <w:tc>
          <w:tcPr>
            <w:tcW w:w="30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(18,177)</w:t>
            </w:r>
          </w:p>
        </w:tc>
        <w:tc>
          <w:tcPr>
            <w:tcW w:w="2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95,707</w:t>
            </w:r>
          </w:p>
        </w:tc>
        <w:tc>
          <w:tcPr>
            <w:tcW w:w="2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an annual basis, operating activities generally represent the principal source of our cash flow.</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Cash provided by operating activities was $10.6 million for the three months ended July 31, 2018 compared with a cash usage of $34.5 million for the three months ended July 31, 2017. Cash provided by operating activities for the three months ended July 31, 2018 was impacted by net income before depreciation and amortization of $20.5 million and $15.2 million of decreased accounts receivable due to the timing of customer payments. Cash generated by operating activities was partially offset by $13.5 million of increased inventory because of a build in inventory that is typical during the slow summer months, $8.6 million reduction in accrued expenses because of decreased promotional product discounts and consumer rebate accruals, and $3.9 million of reduced accounts payable because of the timing of payments. We anticipate that inventory levels may continue to increase due to a planned inventory build to reduce the risk of potential shipping complications that may arise when our national logistics facility becomes operational.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Cash used in investing activities decreased $2.3 million for the three months ended July 31, 2018 compared with the comparable quarter last year. We recorded capital expenditures of $6.9 million during the three months ended July 31, 2018, $2.2 million lower than the prior year comparable period. Excluding spending related to our national logistics facility, we currently expect to spend approximately $20.0 million to $25.0 million on capital expenditures in fiscal 2019. Including spending related to our national logistics facility, we currently expect to spend between $45.0 million to $50.0 million, an increase of $26.5 million to $31.5 million, respectively, over the $18.5 million spent in fiscal 2018. The building for our national logistics facility will be treated as a capital lease and will be recorded in construction in progress, offset by a capital lease payable throughout building construction and will have no impact on cash flow. As of July 31, 2018, we have recorded $34.0 million in construction in progress, which is included in property, plant, and equipment in our condensed consolidated balance sheet, for costs incurred by the builder relating to the purchase of land and costs related to the design and construction of the building, offset by a $22.0 million capital lease payable, which is included in capital lease payable, net of current portion, in our condensed consolidated balance sheet. The total cost of the building is estimated to be between $45.0 million and $50.0 million, of which we expect approximately $30.0 million to $35.0 million will be recorded as a right of use asset on our condensed consolidated balance sheet when construction is complete. In addition, we expect to spend between $25.0 million and $30.0 million related to material handling equipment, information technology systems, and other capital projects in support of our national logistics facility.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20" w:firstLine="518"/>
        <w:spacing w:after="0" w:line="286" w:lineRule="auto"/>
        <w:rPr>
          <w:sz w:val="20"/>
          <w:szCs w:val="20"/>
          <w:color w:val="auto"/>
        </w:rPr>
      </w:pPr>
      <w:r>
        <w:rPr>
          <w:rFonts w:ascii="Arial" w:cs="Arial" w:eastAsia="Arial" w:hAnsi="Arial"/>
          <w:sz w:val="17"/>
          <w:szCs w:val="17"/>
          <w:color w:val="auto"/>
        </w:rPr>
        <w:t>Cash used in financing activities was $27.2 million for the three months ended July 31, 2018 compared with cash provided by financing activities of $21.1 million for the three months ended July 31, 2017. Cash provided by financing activities during the three months ended July 31, 2018 was primarily a result of $25.0 million of payments on our revolving line of credit and principal payments on our Term Loan.</w:t>
      </w:r>
    </w:p>
    <w:p>
      <w:pPr>
        <w:spacing w:after="0" w:line="166"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i w:val="1"/>
          <w:iCs w:val="1"/>
          <w:color w:val="auto"/>
        </w:rPr>
        <w:t xml:space="preserve">Credit Facilities </w:t>
      </w:r>
      <w:r>
        <w:rPr>
          <w:rFonts w:ascii="Arial" w:cs="Arial" w:eastAsia="Arial" w:hAnsi="Arial"/>
          <w:sz w:val="17"/>
          <w:szCs w:val="17"/>
          <w:color w:val="auto"/>
        </w:rPr>
        <w:t>– On June 15, 2015, we and certain of our domestic subsidiaries entered into an unsecured credit facility, or the 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TD Bank, N.A. and other lenders, or the Lenders, which included a $175.0 million revolving line of credit, or the Revolving Line, and a $105.0 million term loan, or the Term Loan, of which $86.1 million remains outstanding as of July 31, 2018.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an additional $150.0 million, and extended the maturity of the Revolving Line from June 15, 2020 to October 27, 2021. Other than the changes described in the Second Amendment, we otherwise remain subject to the terms of the Credit Agreement, as described below. We incurred $525,000 of debt issuance costs related to this amendment and have recorded these costs in notes and loans payable in the condensed consolidated balance sheet.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right="100" w:firstLine="518"/>
        <w:spacing w:after="0" w:line="273" w:lineRule="auto"/>
        <w:rPr>
          <w:sz w:val="20"/>
          <w:szCs w:val="20"/>
          <w:color w:val="auto"/>
        </w:rPr>
      </w:pPr>
      <w:r>
        <w:rPr>
          <w:rFonts w:ascii="Arial" w:cs="Arial" w:eastAsia="Arial" w:hAnsi="Arial"/>
          <w:sz w:val="17"/>
          <w:szCs w:val="17"/>
          <w:color w:val="auto"/>
        </w:rPr>
        <w:t>We were required to obtain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which requires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is subject to change based on changes in our consolidated leverage ratio. As of July 31, 2018, our interest rate on the Term Loan was 4.32%.</w:t>
      </w:r>
    </w:p>
    <w:p>
      <w:pPr>
        <w:spacing w:after="0" w:line="178"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As of July 31, 2018, the interest rate swap was considered effective and had no effect on earnings. The fair value of the interest rate swap on July 31, 2018 was an asset of $2.0 million and was recorded in other assets on our condensed consolidated balance sheet. We do not expect the interest rate swap to have any material impact on earnings within the next 12 months.</w:t>
      </w:r>
    </w:p>
    <w:p>
      <w:pPr>
        <w:spacing w:after="0" w:line="181"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i w:val="1"/>
          <w:iCs w:val="1"/>
          <w:color w:val="auto"/>
        </w:rPr>
        <w:t xml:space="preserve">2018 Senior Notes - </w:t>
      </w:r>
      <w:r>
        <w:rPr>
          <w:rFonts w:ascii="Arial" w:cs="Arial" w:eastAsia="Arial" w:hAnsi="Arial"/>
          <w:sz w:val="16"/>
          <w:szCs w:val="16"/>
          <w:color w:val="auto"/>
        </w:rPr>
        <w:t>During fiscal 2015, we issued an aggregate of $75.0 million of 5.000% Senior Notes due 2018, or the 2018 Senior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institutional investors pursuant to the terms and conditions of an indenture and purchase agreements. The 2018 Senior Notes bear interest at a rate of 5.000% per annum payable on January 15 and July 15 of each year, beginning on January 15, 2015. We incurred $2.3 million of debt issuance costs related to the issuance of the 2018 Senior Notes. As discussed below, the 2018 Senior Notes were redeemed on March 8, 2018 with proceeds from the issuance of</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5.000% Senior Notes due 2020, or the 2020 Senior Notes. As part of the redemption, in fiscal 2018, we wrote off $226,000 of debt issuance costs related to the 2018 Senior Notes.</w:t>
      </w:r>
    </w:p>
    <w:p>
      <w:pPr>
        <w:spacing w:after="0" w:line="184"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 xml:space="preserve">2020 Senior Notes - </w:t>
      </w:r>
      <w:r>
        <w:rPr>
          <w:rFonts w:ascii="Arial" w:cs="Arial" w:eastAsia="Arial" w:hAnsi="Arial"/>
          <w:sz w:val="18"/>
          <w:szCs w:val="18"/>
          <w:color w:val="auto"/>
        </w:rPr>
        <w:t>On February 28, 2018, we issued an aggregate of $75.0 million of the 2020 Senior Notes to various institutional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terms and conditions of an indenture, or the 2020 Senior Notes Indenture, and purchase agreements. The 2020 Senior Notes bear interest at a rate of 5.000% per annum payable on February 28 and August 28 of each year, beginning on August 28, 2018. We incurred $158,000 of debt issuance costs related to the issuance of the 2020 Senior Notes.</w:t>
      </w:r>
    </w:p>
    <w:p>
      <w:pPr>
        <w:spacing w:after="0" w:line="18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At any time prior to February 28, 2019, we may, at our option, upon not less than 30 nor more than 60 days’ prior notice, redeem all or a portion of the 2020 Senior Notes at a redemption price of 102.500% of the principal amount of the 2020 Senior Notes to be redeemed plus accrued and unpaid interest as of the applicable redemption date. On or after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Subject to certain restrictions and conditions, we may be required to make an offer to repurchase the 2020 Senior Notes from the holders of the 2020 Senior Notes in connection with a change of control or disposition of assets. If not redeemed by us or repaid pursuant to the holders’ right to require repurchase, the 2020 Senior Notes mature on August 28, 2020.</w:t>
      </w:r>
    </w:p>
    <w:p>
      <w:pPr>
        <w:spacing w:after="0" w:line="178"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The 2020 Senior Notes are general, unsecured obligations of our company. The 2020 Senior Notes Indenture contains certain affirmative and negative covenants, including limitations on restricted payments (such as share repurchases, dividends, and early payment of indebtedness), limitations on indebtedness, limitations on the sale of assets, and limitations on liens. Payments that would otherwise be characterized as restricted payments are permitted under the 2020 Senior Notes Indenture in an amount not to exceed 50% of our consolidated net income for the period from the issue date to the date of the restricted payment, provided that at the time of making such payments, (a) no default has occurred or would result from the making of such payments, and</w:t>
      </w:r>
    </w:p>
    <w:p>
      <w:pPr>
        <w:spacing w:after="0" w:line="2" w:lineRule="exact"/>
        <w:rPr>
          <w:sz w:val="20"/>
          <w:szCs w:val="20"/>
          <w:color w:val="auto"/>
        </w:rPr>
      </w:pPr>
    </w:p>
    <w:p>
      <w:pPr>
        <w:ind w:right="80" w:firstLine="8"/>
        <w:spacing w:after="0" w:line="281"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able to satisfy the debt incurrence test under the 2020 Senior Notes Indenture, or the 2020 Senior Notes Lifetime Aggregate Limit. In addition, the 2020 Senior Notes Indenture provides for other exceptions to the restricted payments covenant, each of which are independent of the 2020 Senior Notes Lifetime Aggregate Limit. Among such exceptions are (i) the ability to make share repurchases each fiscal year in an amount not to exceed the lesser of</w:t>
      </w:r>
    </w:p>
    <w:p>
      <w:pPr>
        <w:spacing w:after="0" w:line="2" w:lineRule="exact"/>
        <w:rPr>
          <w:rFonts w:ascii="Arial" w:cs="Arial" w:eastAsia="Arial" w:hAnsi="Arial"/>
          <w:sz w:val="16"/>
          <w:szCs w:val="16"/>
          <w:color w:val="auto"/>
        </w:rPr>
      </w:pPr>
    </w:p>
    <w:p>
      <w:pPr>
        <w:jc w:val="both"/>
        <w:ind w:right="140"/>
        <w:spacing w:after="0" w:line="255" w:lineRule="auto"/>
        <w:rPr>
          <w:rFonts w:ascii="Arial" w:cs="Arial" w:eastAsia="Arial" w:hAnsi="Arial"/>
          <w:sz w:val="16"/>
          <w:szCs w:val="16"/>
          <w:color w:val="auto"/>
        </w:rPr>
      </w:pPr>
      <w:r>
        <w:rPr>
          <w:rFonts w:ascii="Arial" w:cs="Arial" w:eastAsia="Arial" w:hAnsi="Arial"/>
          <w:sz w:val="18"/>
          <w:szCs w:val="18"/>
          <w:color w:val="auto"/>
        </w:rPr>
        <w:t>(A) $50.0 million in any fiscal year or (B) 75.0% of our consolidated net income for the previous four consecutive published fiscal quarters prior to the date of the determination of such consolidated net income, and (ii) share repurchases over the life of the 2020 Senior Notes in an aggregate amount not to exceed $75.0 million.</w:t>
      </w:r>
    </w:p>
    <w:p>
      <w:pPr>
        <w:spacing w:after="0" w:line="190"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 We were in compliance with all debt covenants as of July 31, 2018.</w:t>
      </w:r>
    </w:p>
    <w:p>
      <w:pPr>
        <w:spacing w:after="0" w:line="181" w:lineRule="exact"/>
        <w:rPr>
          <w:sz w:val="20"/>
          <w:szCs w:val="20"/>
          <w:color w:val="auto"/>
        </w:rPr>
      </w:pPr>
    </w:p>
    <w:p>
      <w:pPr>
        <w:jc w:val="both"/>
        <w:ind w:right="120" w:firstLine="518"/>
        <w:spacing w:after="0" w:line="342" w:lineRule="auto"/>
        <w:rPr>
          <w:sz w:val="20"/>
          <w:szCs w:val="20"/>
          <w:color w:val="auto"/>
        </w:rPr>
      </w:pPr>
      <w:r>
        <w:rPr>
          <w:rFonts w:ascii="Arial" w:cs="Arial" w:eastAsia="Arial" w:hAnsi="Arial"/>
          <w:sz w:val="16"/>
          <w:szCs w:val="16"/>
          <w:color w:val="auto"/>
        </w:rPr>
        <w:t>During fiscal 2017, our board of directors authorized the repurchase of up to $50.0 million of our common stock, subject to certain conditions, in the open market or in privately negotiated transactions until March 28, 2019. As of July 31, 2018, there were no purchases under this stock repurchase program.</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the construction of our national logistics facility, and any acquisitions or strategic investments that we may determine to make. Further equity or debt financing may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jc w:val="both"/>
        <w:ind w:right="140"/>
        <w:spacing w:after="0" w:line="277" w:lineRule="auto"/>
        <w:rPr>
          <w:sz w:val="20"/>
          <w:szCs w:val="20"/>
          <w:color w:val="auto"/>
        </w:rPr>
      </w:pPr>
      <w:r>
        <w:rPr>
          <w:rFonts w:ascii="Arial" w:cs="Arial" w:eastAsia="Arial" w:hAnsi="Arial"/>
          <w:sz w:val="18"/>
          <w:szCs w:val="18"/>
          <w:color w:val="auto"/>
        </w:rPr>
        <w:t>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9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As of July 31, 2018, we had $25.2 million in cash and cash equivalents on hand. Based upon our current working capital position, current operating plans, and expected business conditions, we believe that our existing capital resources and credit facilities will be adequate to fund our operations, including our outstanding debt and other commitments, for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3 of the Notes to the Consolidated Financial Statements in our Annual Report on Form 10-K for the fiscal year ended April 30, 2018. The most significant areas involving our judgments and estimates are described in Management’s Discussion and Analysis of Financial Condition and Results of Operations in our Annual Report on Form 10-K for the fiscal year ended April 30, 2018, to which there have been no material changes. Actual results could differ from our estimates.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 xml:space="preserve">The nature and impact of recent accounting pronouncements, if any, is discussed in Note </w:t>
      </w:r>
      <w:r>
        <w:rPr>
          <w:rFonts w:ascii="Arial" w:cs="Arial" w:eastAsia="Arial" w:hAnsi="Arial"/>
          <w:sz w:val="18"/>
          <w:szCs w:val="18"/>
          <w:i w:val="1"/>
          <w:iCs w:val="1"/>
          <w:color w:val="auto"/>
        </w:rPr>
        <w:t>2—Basis of Presentation</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During the period ended July 31, 2018, we did not enter into or transact any forward option contracts nor did we have any forward contracts outstanding. We enter into derivative financial instruments, such as interest rate swaps, in order to mitigate our interest rate risk associated with our variable rate debt. We may be exposed to credit and market risks, including, but not limited to, the failure of any counterparty to perform under the terms of the derivative contract or the adverse effect on the value of the financial instrument resulting from a change in interest rates. As of July 31, 2018, we have an interest rate swap agreement outstanding, which matures on June 15, 2020 and hedges the variable interest on our Term Loan. The outstanding balance of the Term Loan was $86.1 million, and the aggregate net fair value of the interest rate swap was $2.0 million as of July 31, 2018. The fair value of this interest rate swap agreement is dependent upon existing market interest rates and swap spreads. We do not anticipate future changes in interest rates to have a material impact on our consolidated financial statements. As of July 31, 2018, the effective interest rate of our Term Loan was 4.32%.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Chief Executive Officer and Chief Financial Officer concluded that, as of July 31, 2018,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Based on this evaluation, our Chief Executive Officer and Chief Financial Officer have concluded that, as of July 31, 2018, our disclosure controls and procedures were effective at a reasonable assurance level in that they were reasonably designed to ensure that information required to be disclosed by us in the reports we file or submit under the Exchange Act (i) is recorded, processed, summarized, and reported within the time periods specified in the rules and forms of the SEC, and (ii) is accumulated and communicated to management, including our Chief Executive Officer and Chief Financial Officer, as appropriate to allow timely decisions regarding required disclosure.</w:t>
      </w:r>
    </w:p>
    <w:p>
      <w:pPr>
        <w:spacing w:after="0" w:line="188"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jc w:val="center"/>
        <w:ind w:right="-199"/>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nature of legal proceedings against us is discussed in Note 13</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3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fiscal 2017, our board of directors authorized the repurchase of up to $50.0 million of our common stock, subject to certain conditions, in the open market or in privately negotiated transactions until March 28, 2019. As of July 31, 2018, we have made no purchases under this stock repurchase program.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exhibits listed on the Index to Exhibits (immediately preceding the signatures section of this Quarterly Report on Form 10-Q) are included herewith or incorporated herein by reference.</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40" w:right="4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460" w:type="dxa"/>
            <w:vAlign w:val="bottom"/>
            <w:gridSpan w:val="5"/>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419"/>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50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Rule 13a-14(a)/15d-14(a) Certification of Principal Executive Officer</w:t>
              </w:r>
            </w:hyperlink>
          </w:p>
        </w:tc>
        <w:tc>
          <w:tcPr>
            <w:tcW w:w="440" w:type="dxa"/>
            <w:vAlign w:val="bottom"/>
          </w:tcPr>
          <w:p>
            <w:pPr>
              <w:spacing w:after="0"/>
              <w:rPr>
                <w:sz w:val="24"/>
                <w:szCs w:val="24"/>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5460" w:type="dxa"/>
            <w:vAlign w:val="bottom"/>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Rule 13a-14(a)/15d-14(a) Certification of Principal Financial Officer</w:t>
              </w:r>
            </w:hyperlink>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41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Section 1350 Certification of Principal Executive Officer</w:t>
              </w:r>
            </w:hyperlink>
          </w:p>
        </w:tc>
        <w:tc>
          <w:tcPr>
            <w:tcW w:w="840" w:type="dxa"/>
            <w:vAlign w:val="bottom"/>
            <w:tcBorders>
              <w:top w:val="single" w:sz="8" w:color="0000EE"/>
            </w:tcBorders>
          </w:tcPr>
          <w:p>
            <w:pPr>
              <w:spacing w:after="0"/>
              <w:rPr>
                <w:sz w:val="24"/>
                <w:szCs w:val="24"/>
                <w:color w:val="auto"/>
              </w:rPr>
            </w:pPr>
          </w:p>
        </w:tc>
        <w:tc>
          <w:tcPr>
            <w:tcW w:w="500" w:type="dxa"/>
            <w:vAlign w:val="bottom"/>
            <w:gridSpan w:val="2"/>
          </w:tcPr>
          <w:p>
            <w:pPr>
              <w:spacing w:after="0"/>
              <w:rPr>
                <w:sz w:val="24"/>
                <w:szCs w:val="24"/>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546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Section 1350 Certification of Principal Financial Officer</w:t>
              </w:r>
            </w:hyperlink>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40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1400" w:type="dxa"/>
            <w:vAlign w:val="bottom"/>
            <w:gridSpan w:val="4"/>
          </w:tcPr>
          <w:p>
            <w:pPr>
              <w:spacing w:after="0"/>
              <w:rPr>
                <w:sz w:val="24"/>
                <w:szCs w:val="24"/>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54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54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546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546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54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7300" w:type="dxa"/>
            <w:vAlign w:val="bottom"/>
            <w:gridSpan w:val="2"/>
          </w:tcPr>
          <w:p>
            <w:pPr>
              <w:ind w:left="2480"/>
              <w:spacing w:after="0"/>
              <w:rPr>
                <w:sz w:val="20"/>
                <w:szCs w:val="20"/>
                <w:color w:val="auto"/>
              </w:rPr>
            </w:pPr>
            <w:r>
              <w:rPr>
                <w:rFonts w:ascii="Arial" w:cs="Arial" w:eastAsia="Arial" w:hAnsi="Arial"/>
                <w:sz w:val="18"/>
                <w:szCs w:val="18"/>
                <w:color w:val="auto"/>
              </w:rPr>
              <w:t>AMERICAN OUTDOOR BRANDS CORPORATION,</w:t>
            </w:r>
          </w:p>
        </w:tc>
      </w:tr>
      <w:tr>
        <w:trPr>
          <w:trHeight w:val="230"/>
        </w:trPr>
        <w:tc>
          <w:tcPr>
            <w:tcW w:w="4120" w:type="dxa"/>
            <w:vAlign w:val="bottom"/>
          </w:tcPr>
          <w:p>
            <w:pPr>
              <w:spacing w:after="0"/>
              <w:rPr>
                <w:sz w:val="20"/>
                <w:szCs w:val="20"/>
                <w:color w:val="auto"/>
              </w:rPr>
            </w:pPr>
          </w:p>
        </w:tc>
        <w:tc>
          <w:tcPr>
            <w:tcW w:w="7300" w:type="dxa"/>
            <w:vAlign w:val="bottom"/>
            <w:gridSpan w:val="2"/>
          </w:tcPr>
          <w:p>
            <w:pPr>
              <w:ind w:left="2480"/>
              <w:spacing w:after="0"/>
              <w:rPr>
                <w:sz w:val="20"/>
                <w:szCs w:val="20"/>
                <w:color w:val="auto"/>
              </w:rPr>
            </w:pPr>
            <w:r>
              <w:rPr>
                <w:rFonts w:ascii="Arial" w:cs="Arial" w:eastAsia="Arial" w:hAnsi="Arial"/>
                <w:sz w:val="18"/>
                <w:szCs w:val="18"/>
                <w:color w:val="auto"/>
              </w:rPr>
              <w:t>a Nevada corporation</w:t>
            </w:r>
          </w:p>
        </w:tc>
      </w:tr>
      <w:tr>
        <w:trPr>
          <w:trHeight w:val="473"/>
        </w:trPr>
        <w:tc>
          <w:tcPr>
            <w:tcW w:w="4120" w:type="dxa"/>
            <w:vAlign w:val="bottom"/>
          </w:tcPr>
          <w:p>
            <w:pPr>
              <w:spacing w:after="0"/>
              <w:rPr>
                <w:sz w:val="20"/>
                <w:szCs w:val="20"/>
                <w:color w:val="auto"/>
              </w:rPr>
            </w:pPr>
            <w:r>
              <w:rPr>
                <w:rFonts w:ascii="Arial" w:cs="Arial" w:eastAsia="Arial" w:hAnsi="Arial"/>
                <w:sz w:val="18"/>
                <w:szCs w:val="18"/>
                <w:color w:val="auto"/>
              </w:rPr>
              <w:t>Date: August 30, 2018</w:t>
            </w:r>
          </w:p>
        </w:tc>
        <w:tc>
          <w:tcPr>
            <w:tcW w:w="3100" w:type="dxa"/>
            <w:vAlign w:val="bottom"/>
          </w:tcPr>
          <w:p>
            <w:pPr>
              <w:ind w:left="246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 James Debney</w:t>
            </w:r>
          </w:p>
        </w:tc>
      </w:tr>
      <w:tr>
        <w:trPr>
          <w:trHeight w:val="195"/>
        </w:trPr>
        <w:tc>
          <w:tcPr>
            <w:tcW w:w="4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P. James Debney</w:t>
            </w:r>
          </w:p>
        </w:tc>
      </w:tr>
      <w:tr>
        <w:trPr>
          <w:trHeight w:val="230"/>
        </w:trPr>
        <w:tc>
          <w:tcPr>
            <w:tcW w:w="4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59"/>
        </w:trPr>
        <w:tc>
          <w:tcPr>
            <w:tcW w:w="4120" w:type="dxa"/>
            <w:vAlign w:val="bottom"/>
          </w:tcPr>
          <w:p>
            <w:pPr>
              <w:spacing w:after="0"/>
              <w:rPr>
                <w:sz w:val="20"/>
                <w:szCs w:val="20"/>
                <w:color w:val="auto"/>
              </w:rPr>
            </w:pPr>
            <w:r>
              <w:rPr>
                <w:rFonts w:ascii="Arial" w:cs="Arial" w:eastAsia="Arial" w:hAnsi="Arial"/>
                <w:sz w:val="18"/>
                <w:szCs w:val="18"/>
                <w:color w:val="auto"/>
              </w:rPr>
              <w:t>Date: August 30, 2018</w:t>
            </w:r>
          </w:p>
        </w:tc>
        <w:tc>
          <w:tcPr>
            <w:tcW w:w="3100" w:type="dxa"/>
            <w:vAlign w:val="bottom"/>
          </w:tcPr>
          <w:p>
            <w:pPr>
              <w:ind w:left="246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D. Buchanan</w:t>
            </w:r>
          </w:p>
        </w:tc>
      </w:tr>
      <w:tr>
        <w:trPr>
          <w:trHeight w:val="195"/>
        </w:trPr>
        <w:tc>
          <w:tcPr>
            <w:tcW w:w="4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Jeffrey D. Buchanan</w:t>
            </w:r>
          </w:p>
        </w:tc>
      </w:tr>
      <w:tr>
        <w:trPr>
          <w:trHeight w:val="230"/>
        </w:trPr>
        <w:tc>
          <w:tcPr>
            <w:tcW w:w="4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Executive Vice President,</w:t>
            </w:r>
          </w:p>
        </w:tc>
      </w:tr>
    </w:tbl>
    <w:p>
      <w:pPr>
        <w:ind w:left="7220"/>
        <w:spacing w:after="0"/>
        <w:rPr>
          <w:sz w:val="20"/>
          <w:szCs w:val="20"/>
          <w:color w:val="auto"/>
        </w:rPr>
      </w:pPr>
      <w:r>
        <w:rPr>
          <w:rFonts w:ascii="Arial" w:cs="Arial" w:eastAsia="Arial" w:hAnsi="Arial"/>
          <w:sz w:val="16"/>
          <w:szCs w:val="16"/>
          <w:i w:val="1"/>
          <w:iCs w:val="1"/>
          <w:color w:val="auto"/>
        </w:rPr>
        <w:t>Chief Financial Officer, Chief Administrative Officer, and</w:t>
      </w:r>
    </w:p>
    <w:p>
      <w:pPr>
        <w:spacing w:after="0" w:line="32"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 James Debney, certify that:</w:t>
      </w:r>
    </w:p>
    <w:p>
      <w:pPr>
        <w:spacing w:after="0" w:line="117" w:lineRule="exact"/>
        <w:rPr>
          <w:sz w:val="20"/>
          <w:szCs w:val="20"/>
          <w:color w:val="auto"/>
        </w:rPr>
      </w:pPr>
    </w:p>
    <w:p>
      <w:pPr>
        <w:ind w:left="700" w:hanging="17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Outdoor Brands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1042"/>
        <w:spacing w:after="0" w:line="264" w:lineRule="auto"/>
        <w:tabs>
          <w:tab w:leader="none" w:pos="127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1042"/>
        <w:spacing w:after="0" w:line="264" w:lineRule="auto"/>
        <w:tabs>
          <w:tab w:leader="none" w:pos="128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1042"/>
        <w:spacing w:after="0" w:line="342" w:lineRule="auto"/>
        <w:tabs>
          <w:tab w:leader="none" w:pos="127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400" w:firstLine="1042"/>
        <w:spacing w:after="0" w:line="264" w:lineRule="auto"/>
        <w:tabs>
          <w:tab w:leader="none" w:pos="1289"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42"/>
        <w:spacing w:after="0" w:line="308" w:lineRule="auto"/>
        <w:tabs>
          <w:tab w:leader="none" w:pos="1269"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42"/>
        <w:spacing w:after="0" w:line="277" w:lineRule="auto"/>
        <w:tabs>
          <w:tab w:leader="none" w:pos="127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 James Debney</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2018</w:t>
      </w:r>
    </w:p>
    <w:p>
      <w:pPr>
        <w:sectPr>
          <w:pgSz w:w="11900" w:h="16838" w:orient="portrait"/>
          <w:cols w:equalWidth="0" w:num="1">
            <w:col w:w="11420"/>
          </w:cols>
          <w:pgMar w:left="240" w:top="36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Buchanan, certify that:</w:t>
      </w:r>
    </w:p>
    <w:p>
      <w:pPr>
        <w:spacing w:after="0" w:line="11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Outdoor Brands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1042"/>
        <w:spacing w:after="0" w:line="264" w:lineRule="auto"/>
        <w:tabs>
          <w:tab w:leader="none" w:pos="127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1042"/>
        <w:spacing w:after="0" w:line="264" w:lineRule="auto"/>
        <w:tabs>
          <w:tab w:leader="none" w:pos="128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1042"/>
        <w:spacing w:after="0" w:line="342" w:lineRule="auto"/>
        <w:tabs>
          <w:tab w:leader="none" w:pos="127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400" w:firstLine="1042"/>
        <w:spacing w:after="0" w:line="264" w:lineRule="auto"/>
        <w:tabs>
          <w:tab w:leader="none" w:pos="128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42"/>
        <w:spacing w:after="0" w:line="308" w:lineRule="auto"/>
        <w:tabs>
          <w:tab w:leader="none" w:pos="126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42"/>
        <w:spacing w:after="0" w:line="277" w:lineRule="auto"/>
        <w:tabs>
          <w:tab w:leader="none" w:pos="127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D. Buchanan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Executive Vice President, Chief Financial Officer, Chief</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Administrative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2018</w:t>
      </w:r>
    </w:p>
    <w:p>
      <w:pPr>
        <w:sectPr>
          <w:pgSz w:w="11900" w:h="16838" w:orient="portrait"/>
          <w:cols w:equalWidth="0" w:num="1">
            <w:col w:w="11420"/>
          </w:cols>
          <w:pgMar w:left="240" w:top="36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connection with the Quarterly Report on Form 10-Q of American Outdoor Brands Corporation (the “Company”) for the quarterly period ended July 31, 2018 as filed with the Securities and Exchange Commission on the date hereof (the “Report”), I, P. James Debney, President and Chief Executive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 The Report fully complies with the requirements of Section 13(a) or 15(d) of the Securities Exchange Act of 1934 (15 U.S.C. 78m(a)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 James Debney</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2018</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420"/>
          </w:cols>
          <w:pgMar w:left="240" w:top="36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connection with the Quarterly Report on Form 10-Q of American Outdoor Brands Corporation (the “Company”) for the quarterly period ended July 31, 2018 as filed with the Securities and Exchange Commission on the date hereof (the “Report”), I, Jeffrey D. Buchanan, Chief Financial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 The Report fully complies with the requirements of Section 13(a) or 15(d) of the Securities Exchange Act of 1934 (15 U.S.C. 78m(a)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D. Buchanan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Executive Vice President, Chief Financial Officer, Chief</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Administrative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2018</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15"/>
    </w:lvl>
    <w:lvl w:ilvl="1">
      <w:lvlJc w:val="left"/>
      <w:lvlText w:val="%2"/>
      <w:numFmt w:val="lowerLetter"/>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2019-12-28T19:43:25Z</dcterms:created>
  <dcterms:modified xsi:type="dcterms:W3CDTF">2019-12-28T19:43:25Z</dcterms:modified>
</cp:coreProperties>
</file>