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-148590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2" w:lineRule="exact"/>
        <w:rPr>
          <w:sz w:val="24"/>
          <w:szCs w:val="24"/>
          <w:color w:val="auto"/>
        </w:rPr>
      </w:pPr>
    </w:p>
    <w:p>
      <w:pPr>
        <w:ind w:left="4400" w:right="4000" w:hanging="4392"/>
        <w:spacing w:after="0" w:line="249" w:lineRule="auto"/>
        <w:tabs>
          <w:tab w:leader="none" w:pos="202"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April 30, 2026</w:t>
      </w:r>
    </w:p>
    <w:p>
      <w:pPr>
        <w:ind w:left="5520"/>
        <w:spacing w:after="0" w:line="228"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OR</w:t>
      </w:r>
    </w:p>
    <w:p>
      <w:pPr>
        <w:spacing w:after="0" w:line="5" w:lineRule="exact"/>
        <w:rPr>
          <w:sz w:val="24"/>
          <w:szCs w:val="24"/>
          <w:color w:val="auto"/>
        </w:rPr>
      </w:pPr>
    </w:p>
    <w:p>
      <w:pPr>
        <w:ind w:left="4600" w:right="1500" w:hanging="4592"/>
        <w:spacing w:after="0" w:line="355" w:lineRule="auto"/>
        <w:tabs>
          <w:tab w:leader="none" w:pos="20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Commission file number 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-18415</wp:posOffset>
            </wp:positionV>
            <wp:extent cx="2408555"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855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tbl>
      <w:tblPr>
        <w:tblLayout w:type="fixed"/>
        <w:tblInd w:w="52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6540" w:type="dxa"/>
            <w:vAlign w:val="bottom"/>
            <w:gridSpan w:val="4"/>
          </w:tcPr>
          <w:p>
            <w:pPr>
              <w:jc w:val="center"/>
              <w:ind w:right="2691"/>
              <w:spacing w:after="0"/>
              <w:rPr>
                <w:sz w:val="20"/>
                <w:szCs w:val="20"/>
                <w:color w:val="auto"/>
              </w:rPr>
            </w:pPr>
            <w:r>
              <w:rPr>
                <w:rFonts w:ascii="Times New Roman" w:cs="Times New Roman" w:eastAsia="Times New Roman" w:hAnsi="Times New Roman"/>
                <w:sz w:val="22"/>
                <w:szCs w:val="22"/>
                <w:b w:val="1"/>
                <w:bCs w:val="1"/>
                <w:color w:val="auto"/>
                <w:w w:val="98"/>
              </w:rPr>
              <w:t>Smith &amp; Wesson Brands, Inc.</w:t>
            </w:r>
          </w:p>
        </w:tc>
      </w:tr>
      <w:tr>
        <w:trPr>
          <w:trHeight w:val="238"/>
        </w:trPr>
        <w:tc>
          <w:tcPr>
            <w:tcW w:w="3220" w:type="dxa"/>
            <w:vAlign w:val="bottom"/>
          </w:tcPr>
          <w:p>
            <w:pPr>
              <w:spacing w:after="0"/>
              <w:rPr>
                <w:sz w:val="20"/>
                <w:szCs w:val="20"/>
                <w:color w:val="auto"/>
              </w:rPr>
            </w:pPr>
          </w:p>
        </w:tc>
        <w:tc>
          <w:tcPr>
            <w:tcW w:w="6540" w:type="dxa"/>
            <w:vAlign w:val="bottom"/>
            <w:gridSpan w:val="4"/>
          </w:tcPr>
          <w:p>
            <w:pPr>
              <w:jc w:val="center"/>
              <w:ind w:right="2751"/>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r>
              <w:rPr>
                <w:rFonts w:ascii="Times New Roman" w:cs="Times New Roman" w:eastAsia="Times New Roman" w:hAnsi="Times New Roman"/>
                <w:sz w:val="17"/>
                <w:szCs w:val="17"/>
                <w:b w:val="1"/>
                <w:bCs w:val="1"/>
                <w:i w:val="1"/>
                <w:iCs w:val="1"/>
                <w:color w:val="auto"/>
              </w:rPr>
              <w:t>)</w:t>
            </w:r>
          </w:p>
        </w:tc>
      </w:tr>
      <w:tr>
        <w:trPr>
          <w:trHeight w:val="54"/>
        </w:trPr>
        <w:tc>
          <w:tcPr>
            <w:tcW w:w="3220" w:type="dxa"/>
            <w:vAlign w:val="bottom"/>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80" w:type="dxa"/>
            <w:vAlign w:val="bottom"/>
          </w:tcPr>
          <w:p>
            <w:pPr>
              <w:spacing w:after="0"/>
              <w:rPr>
                <w:sz w:val="4"/>
                <w:szCs w:val="4"/>
                <w:color w:val="auto"/>
              </w:rPr>
            </w:pPr>
          </w:p>
        </w:tc>
      </w:tr>
      <w:tr>
        <w:trPr>
          <w:trHeight w:val="168"/>
        </w:trPr>
        <w:tc>
          <w:tcPr>
            <w:tcW w:w="3220" w:type="dxa"/>
            <w:vAlign w:val="bottom"/>
          </w:tcPr>
          <w:p>
            <w:pPr>
              <w:jc w:val="center"/>
              <w:ind w:left="1314"/>
              <w:spacing w:after="0"/>
              <w:rPr>
                <w:sz w:val="20"/>
                <w:szCs w:val="20"/>
                <w:color w:val="auto"/>
              </w:rPr>
            </w:pPr>
            <w:r>
              <w:rPr>
                <w:rFonts w:ascii="Times New Roman" w:cs="Times New Roman" w:eastAsia="Times New Roman" w:hAnsi="Times New Roman"/>
                <w:sz w:val="13"/>
                <w:szCs w:val="13"/>
                <w:b w:val="1"/>
                <w:bCs w:val="1"/>
                <w:color w:val="auto"/>
              </w:rPr>
              <w:t>Nevada</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0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rPr>
              <w:t>87-0543688</w:t>
            </w:r>
          </w:p>
        </w:tc>
      </w:tr>
      <w:tr>
        <w:trPr>
          <w:trHeight w:val="148"/>
        </w:trPr>
        <w:tc>
          <w:tcPr>
            <w:tcW w:w="3220" w:type="dxa"/>
            <w:vAlign w:val="bottom"/>
          </w:tcPr>
          <w:p>
            <w:pPr>
              <w:jc w:val="center"/>
              <w:ind w:left="1314"/>
              <w:spacing w:after="0"/>
              <w:rPr>
                <w:sz w:val="20"/>
                <w:szCs w:val="20"/>
                <w:color w:val="auto"/>
              </w:rPr>
            </w:pPr>
            <w:r>
              <w:rPr>
                <w:rFonts w:ascii="Times New Roman" w:cs="Times New Roman" w:eastAsia="Times New Roman" w:hAnsi="Times New Roman"/>
                <w:sz w:val="13"/>
                <w:szCs w:val="13"/>
                <w:i w:val="1"/>
                <w:iCs w:val="1"/>
                <w:color w:val="auto"/>
              </w:rPr>
              <w:t>(State or Other Jurisdiction of</w:t>
            </w: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80" w:type="dxa"/>
            <w:vAlign w:val="bottom"/>
          </w:tcPr>
          <w:p>
            <w:pPr>
              <w:jc w:val="center"/>
              <w:ind w:right="731"/>
              <w:spacing w:after="0"/>
              <w:rPr>
                <w:sz w:val="20"/>
                <w:szCs w:val="20"/>
                <w:color w:val="auto"/>
              </w:rPr>
            </w:pPr>
            <w:r>
              <w:rPr>
                <w:rFonts w:ascii="Times New Roman" w:cs="Times New Roman" w:eastAsia="Times New Roman" w:hAnsi="Times New Roman"/>
                <w:sz w:val="13"/>
                <w:szCs w:val="13"/>
                <w:i w:val="1"/>
                <w:iCs w:val="1"/>
                <w:color w:val="auto"/>
              </w:rPr>
              <w:t>(I.R.S. Employer</w:t>
            </w:r>
          </w:p>
        </w:tc>
      </w:tr>
      <w:tr>
        <w:trPr>
          <w:trHeight w:val="176"/>
        </w:trPr>
        <w:tc>
          <w:tcPr>
            <w:tcW w:w="3220" w:type="dxa"/>
            <w:vAlign w:val="bottom"/>
          </w:tcPr>
          <w:p>
            <w:pPr>
              <w:jc w:val="center"/>
              <w:ind w:left="1314"/>
              <w:spacing w:after="0"/>
              <w:rPr>
                <w:sz w:val="20"/>
                <w:szCs w:val="20"/>
                <w:color w:val="auto"/>
              </w:rPr>
            </w:pPr>
            <w:r>
              <w:rPr>
                <w:rFonts w:ascii="Times New Roman" w:cs="Times New Roman" w:eastAsia="Times New Roman" w:hAnsi="Times New Roman"/>
                <w:sz w:val="13"/>
                <w:szCs w:val="13"/>
                <w:i w:val="1"/>
                <w:iCs w:val="1"/>
                <w:color w:val="auto"/>
              </w:rPr>
              <w:t>Incorporation or Organization</w:t>
            </w:r>
            <w:r>
              <w:rPr>
                <w:rFonts w:ascii="Times New Roman" w:cs="Times New Roman" w:eastAsia="Times New Roman" w:hAnsi="Times New Roman"/>
                <w:sz w:val="13"/>
                <w:szCs w:val="13"/>
                <w:color w:val="auto"/>
              </w:rPr>
              <w:t>)</w:t>
            </w:r>
          </w:p>
        </w:tc>
        <w:tc>
          <w:tcPr>
            <w:tcW w:w="2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80" w:type="dxa"/>
            <w:vAlign w:val="bottom"/>
          </w:tcPr>
          <w:p>
            <w:pPr>
              <w:jc w:val="center"/>
              <w:ind w:right="751"/>
              <w:spacing w:after="0"/>
              <w:rPr>
                <w:sz w:val="20"/>
                <w:szCs w:val="20"/>
                <w:color w:val="auto"/>
              </w:rPr>
            </w:pPr>
            <w:r>
              <w:rPr>
                <w:rFonts w:ascii="Times New Roman" w:cs="Times New Roman" w:eastAsia="Times New Roman" w:hAnsi="Times New Roman"/>
                <w:sz w:val="13"/>
                <w:szCs w:val="13"/>
                <w:i w:val="1"/>
                <w:iCs w:val="1"/>
                <w:color w:val="auto"/>
              </w:rPr>
              <w:t>Identification No.)</w:t>
            </w:r>
          </w:p>
        </w:tc>
      </w:tr>
      <w:tr>
        <w:trPr>
          <w:trHeight w:val="151"/>
        </w:trPr>
        <w:tc>
          <w:tcPr>
            <w:tcW w:w="3220" w:type="dxa"/>
            <w:vAlign w:val="bottom"/>
          </w:tcPr>
          <w:p>
            <w:pPr>
              <w:spacing w:after="0"/>
              <w:rPr>
                <w:sz w:val="13"/>
                <w:szCs w:val="13"/>
                <w:color w:val="auto"/>
              </w:rPr>
            </w:pPr>
          </w:p>
        </w:tc>
        <w:tc>
          <w:tcPr>
            <w:tcW w:w="2840" w:type="dxa"/>
            <w:vAlign w:val="bottom"/>
            <w:gridSpan w:val="2"/>
          </w:tcPr>
          <w:p>
            <w:pPr>
              <w:jc w:val="center"/>
              <w:ind w:left="825"/>
              <w:spacing w:after="0" w:line="151" w:lineRule="exact"/>
              <w:rPr>
                <w:sz w:val="20"/>
                <w:szCs w:val="20"/>
                <w:color w:val="auto"/>
              </w:rPr>
            </w:pPr>
            <w:r>
              <w:rPr>
                <w:rFonts w:ascii="Times New Roman" w:cs="Times New Roman" w:eastAsia="Times New Roman" w:hAnsi="Times New Roman"/>
                <w:sz w:val="14"/>
                <w:szCs w:val="14"/>
                <w:b w:val="1"/>
                <w:bCs w:val="1"/>
                <w:color w:val="auto"/>
              </w:rPr>
              <w:t>1852 Proffitt Springs Road</w:t>
            </w:r>
          </w:p>
        </w:tc>
        <w:tc>
          <w:tcPr>
            <w:tcW w:w="920" w:type="dxa"/>
            <w:vAlign w:val="bottom"/>
          </w:tcPr>
          <w:p>
            <w:pPr>
              <w:spacing w:after="0"/>
              <w:rPr>
                <w:sz w:val="13"/>
                <w:szCs w:val="13"/>
                <w:color w:val="auto"/>
              </w:rPr>
            </w:pPr>
          </w:p>
        </w:tc>
        <w:tc>
          <w:tcPr>
            <w:tcW w:w="2780" w:type="dxa"/>
            <w:vAlign w:val="bottom"/>
          </w:tcPr>
          <w:p>
            <w:pPr>
              <w:spacing w:after="0"/>
              <w:rPr>
                <w:sz w:val="13"/>
                <w:szCs w:val="13"/>
                <w:color w:val="auto"/>
              </w:rPr>
            </w:pPr>
          </w:p>
        </w:tc>
      </w:tr>
      <w:tr>
        <w:trPr>
          <w:trHeight w:val="148"/>
        </w:trPr>
        <w:tc>
          <w:tcPr>
            <w:tcW w:w="3220" w:type="dxa"/>
            <w:vAlign w:val="bottom"/>
          </w:tcPr>
          <w:p>
            <w:pPr>
              <w:spacing w:after="0"/>
              <w:rPr>
                <w:sz w:val="12"/>
                <w:szCs w:val="12"/>
                <w:color w:val="auto"/>
              </w:rPr>
            </w:pPr>
          </w:p>
        </w:tc>
        <w:tc>
          <w:tcPr>
            <w:tcW w:w="2840" w:type="dxa"/>
            <w:vAlign w:val="bottom"/>
            <w:gridSpan w:val="2"/>
          </w:tcPr>
          <w:p>
            <w:pPr>
              <w:jc w:val="center"/>
              <w:ind w:left="825"/>
              <w:spacing w:after="0" w:line="149" w:lineRule="exact"/>
              <w:rPr>
                <w:sz w:val="20"/>
                <w:szCs w:val="20"/>
                <w:color w:val="auto"/>
              </w:rPr>
            </w:pPr>
            <w:r>
              <w:rPr>
                <w:rFonts w:ascii="Times New Roman" w:cs="Times New Roman" w:eastAsia="Times New Roman" w:hAnsi="Times New Roman"/>
                <w:sz w:val="14"/>
                <w:szCs w:val="14"/>
                <w:b w:val="1"/>
                <w:bCs w:val="1"/>
                <w:color w:val="auto"/>
              </w:rPr>
              <w:t>Maryville, Tennessee 37801</w:t>
            </w:r>
          </w:p>
        </w:tc>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r>
      <w:tr>
        <w:trPr>
          <w:trHeight w:val="189"/>
        </w:trPr>
        <w:tc>
          <w:tcPr>
            <w:tcW w:w="3220" w:type="dxa"/>
            <w:vAlign w:val="bottom"/>
          </w:tcPr>
          <w:p>
            <w:pPr>
              <w:spacing w:after="0"/>
              <w:rPr>
                <w:sz w:val="16"/>
                <w:szCs w:val="16"/>
                <w:color w:val="auto"/>
              </w:rPr>
            </w:pPr>
          </w:p>
        </w:tc>
        <w:tc>
          <w:tcPr>
            <w:tcW w:w="2380" w:type="dxa"/>
            <w:vAlign w:val="bottom"/>
          </w:tcPr>
          <w:p>
            <w:pPr>
              <w:jc w:val="center"/>
              <w:ind w:left="1285"/>
              <w:spacing w:after="0"/>
              <w:rPr>
                <w:sz w:val="20"/>
                <w:szCs w:val="20"/>
                <w:color w:val="auto"/>
              </w:rPr>
            </w:pPr>
            <w:r>
              <w:rPr>
                <w:rFonts w:ascii="Times New Roman" w:cs="Times New Roman" w:eastAsia="Times New Roman" w:hAnsi="Times New Roman"/>
                <w:sz w:val="14"/>
                <w:szCs w:val="14"/>
                <w:b w:val="1"/>
                <w:bCs w:val="1"/>
                <w:color w:val="auto"/>
              </w:rPr>
              <w:t>(800) 331-0852</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148"/>
        </w:trPr>
        <w:tc>
          <w:tcPr>
            <w:tcW w:w="3220" w:type="dxa"/>
            <w:vAlign w:val="bottom"/>
          </w:tcPr>
          <w:p>
            <w:pPr>
              <w:spacing w:after="0"/>
              <w:rPr>
                <w:sz w:val="12"/>
                <w:szCs w:val="12"/>
                <w:color w:val="auto"/>
              </w:rPr>
            </w:pPr>
          </w:p>
        </w:tc>
        <w:tc>
          <w:tcPr>
            <w:tcW w:w="6540" w:type="dxa"/>
            <w:vAlign w:val="bottom"/>
            <w:gridSpan w:val="4"/>
          </w:tcPr>
          <w:p>
            <w:pPr>
              <w:jc w:val="center"/>
              <w:ind w:right="2751"/>
              <w:spacing w:after="0" w:line="149" w:lineRule="exact"/>
              <w:rPr>
                <w:sz w:val="20"/>
                <w:szCs w:val="20"/>
                <w:color w:val="auto"/>
              </w:rPr>
            </w:pPr>
            <w:r>
              <w:rPr>
                <w:rFonts w:ascii="Times New Roman" w:cs="Times New Roman" w:eastAsia="Times New Roman" w:hAnsi="Times New Roman"/>
                <w:sz w:val="14"/>
                <w:szCs w:val="14"/>
                <w:i w:val="1"/>
                <w:iCs w:val="1"/>
                <w:color w:val="auto"/>
              </w:rPr>
              <w:t>(Address including zip code, and telephone number,</w:t>
            </w:r>
          </w:p>
        </w:tc>
      </w:tr>
      <w:tr>
        <w:trPr>
          <w:trHeight w:val="175"/>
        </w:trPr>
        <w:tc>
          <w:tcPr>
            <w:tcW w:w="3220" w:type="dxa"/>
            <w:vAlign w:val="bottom"/>
          </w:tcPr>
          <w:p>
            <w:pPr>
              <w:spacing w:after="0"/>
              <w:rPr>
                <w:sz w:val="15"/>
                <w:szCs w:val="15"/>
                <w:color w:val="auto"/>
              </w:rPr>
            </w:pPr>
          </w:p>
        </w:tc>
        <w:tc>
          <w:tcPr>
            <w:tcW w:w="6540" w:type="dxa"/>
            <w:vAlign w:val="bottom"/>
            <w:gridSpan w:val="4"/>
          </w:tcPr>
          <w:p>
            <w:pPr>
              <w:jc w:val="center"/>
              <w:ind w:right="2731"/>
              <w:spacing w:after="0"/>
              <w:rPr>
                <w:sz w:val="20"/>
                <w:szCs w:val="20"/>
                <w:color w:val="auto"/>
              </w:rPr>
            </w:pPr>
            <w:r>
              <w:rPr>
                <w:rFonts w:ascii="Times New Roman" w:cs="Times New Roman" w:eastAsia="Times New Roman" w:hAnsi="Times New Roman"/>
                <w:sz w:val="14"/>
                <w:szCs w:val="14"/>
                <w:i w:val="1"/>
                <w:iCs w:val="1"/>
                <w:color w:val="auto"/>
              </w:rPr>
              <w:t>including area code, of principal executive offices)</w:t>
            </w:r>
          </w:p>
        </w:tc>
      </w:tr>
      <w:tr>
        <w:trPr>
          <w:trHeight w:val="190"/>
        </w:trPr>
        <w:tc>
          <w:tcPr>
            <w:tcW w:w="3220" w:type="dxa"/>
            <w:vAlign w:val="bottom"/>
          </w:tcPr>
          <w:p>
            <w:pPr>
              <w:spacing w:after="0"/>
              <w:rPr>
                <w:sz w:val="16"/>
                <w:szCs w:val="16"/>
                <w:color w:val="auto"/>
              </w:rPr>
            </w:pPr>
          </w:p>
        </w:tc>
        <w:tc>
          <w:tcPr>
            <w:tcW w:w="6540" w:type="dxa"/>
            <w:vAlign w:val="bottom"/>
            <w:gridSpan w:val="4"/>
          </w:tcPr>
          <w:p>
            <w:pPr>
              <w:jc w:val="center"/>
              <w:ind w:right="275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88"/>
        </w:trPr>
        <w:tc>
          <w:tcPr>
            <w:tcW w:w="3220" w:type="dxa"/>
            <w:vAlign w:val="bottom"/>
          </w:tcPr>
          <w:p>
            <w:pPr>
              <w:jc w:val="center"/>
              <w:ind w:left="174"/>
              <w:spacing w:after="0"/>
              <w:rPr>
                <w:sz w:val="20"/>
                <w:szCs w:val="20"/>
                <w:color w:val="auto"/>
              </w:rPr>
            </w:pPr>
            <w:r>
              <w:rPr>
                <w:rFonts w:ascii="Times New Roman" w:cs="Times New Roman" w:eastAsia="Times New Roman" w:hAnsi="Times New Roman"/>
                <w:sz w:val="13"/>
                <w:szCs w:val="13"/>
                <w:i w:val="1"/>
                <w:iCs w:val="1"/>
                <w:color w:val="auto"/>
              </w:rPr>
              <w:t>(Title of Class)</w:t>
            </w:r>
          </w:p>
        </w:tc>
        <w:tc>
          <w:tcPr>
            <w:tcW w:w="2380" w:type="dxa"/>
            <w:vAlign w:val="bottom"/>
          </w:tcPr>
          <w:p>
            <w:pPr>
              <w:jc w:val="center"/>
              <w:ind w:left="1325"/>
              <w:spacing w:after="0"/>
              <w:rPr>
                <w:sz w:val="20"/>
                <w:szCs w:val="20"/>
                <w:color w:val="auto"/>
              </w:rPr>
            </w:pPr>
            <w:r>
              <w:rPr>
                <w:rFonts w:ascii="Times New Roman" w:cs="Times New Roman" w:eastAsia="Times New Roman" w:hAnsi="Times New Roman"/>
                <w:sz w:val="13"/>
                <w:szCs w:val="13"/>
                <w:color w:val="auto"/>
              </w:rPr>
              <w:t>Trading Symbols</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jc w:val="center"/>
              <w:ind w:left="131"/>
              <w:spacing w:after="0"/>
              <w:rPr>
                <w:sz w:val="20"/>
                <w:szCs w:val="20"/>
                <w:color w:val="auto"/>
              </w:rPr>
            </w:pPr>
            <w:r>
              <w:rPr>
                <w:rFonts w:ascii="Times New Roman" w:cs="Times New Roman" w:eastAsia="Times New Roman" w:hAnsi="Times New Roman"/>
                <w:sz w:val="13"/>
                <w:szCs w:val="13"/>
                <w:i w:val="1"/>
                <w:iCs w:val="1"/>
                <w:color w:val="auto"/>
              </w:rPr>
              <w:t>(Name of Each Exchange on Which Registered)</w:t>
            </w:r>
          </w:p>
        </w:tc>
      </w:tr>
      <w:tr>
        <w:trPr>
          <w:trHeight w:val="189"/>
        </w:trPr>
        <w:tc>
          <w:tcPr>
            <w:tcW w:w="322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380" w:type="dxa"/>
            <w:vAlign w:val="bottom"/>
          </w:tcPr>
          <w:p>
            <w:pPr>
              <w:jc w:val="center"/>
              <w:ind w:left="1305"/>
              <w:spacing w:after="0"/>
              <w:rPr>
                <w:sz w:val="20"/>
                <w:szCs w:val="20"/>
                <w:color w:val="auto"/>
              </w:rPr>
            </w:pPr>
            <w:r>
              <w:rPr>
                <w:rFonts w:ascii="Times New Roman" w:cs="Times New Roman" w:eastAsia="Times New Roman" w:hAnsi="Times New Roman"/>
                <w:sz w:val="14"/>
                <w:szCs w:val="14"/>
                <w:color w:val="auto"/>
              </w:rPr>
              <w:t>SWBI</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75"/>
        </w:trPr>
        <w:tc>
          <w:tcPr>
            <w:tcW w:w="3220" w:type="dxa"/>
            <w:vAlign w:val="bottom"/>
          </w:tcPr>
          <w:p>
            <w:pPr>
              <w:spacing w:after="0"/>
              <w:rPr>
                <w:sz w:val="15"/>
                <w:szCs w:val="15"/>
                <w:color w:val="auto"/>
              </w:rPr>
            </w:pPr>
          </w:p>
        </w:tc>
        <w:tc>
          <w:tcPr>
            <w:tcW w:w="6540" w:type="dxa"/>
            <w:vAlign w:val="bottom"/>
            <w:gridSpan w:val="4"/>
          </w:tcPr>
          <w:p>
            <w:pPr>
              <w:jc w:val="center"/>
              <w:ind w:right="275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190"/>
        </w:trPr>
        <w:tc>
          <w:tcPr>
            <w:tcW w:w="3220" w:type="dxa"/>
            <w:vAlign w:val="bottom"/>
          </w:tcPr>
          <w:p>
            <w:pPr>
              <w:spacing w:after="0"/>
              <w:rPr>
                <w:sz w:val="16"/>
                <w:szCs w:val="16"/>
                <w:color w:val="auto"/>
              </w:rPr>
            </w:pPr>
          </w:p>
        </w:tc>
        <w:tc>
          <w:tcPr>
            <w:tcW w:w="2380" w:type="dxa"/>
            <w:vAlign w:val="bottom"/>
          </w:tcPr>
          <w:p>
            <w:pPr>
              <w:jc w:val="center"/>
              <w:ind w:left="1265"/>
              <w:spacing w:after="0"/>
              <w:rPr>
                <w:sz w:val="20"/>
                <w:szCs w:val="20"/>
                <w:color w:val="auto"/>
              </w:rPr>
            </w:pPr>
            <w:r>
              <w:rPr>
                <w:rFonts w:ascii="Times New Roman" w:cs="Times New Roman" w:eastAsia="Times New Roman" w:hAnsi="Times New Roman"/>
                <w:sz w:val="14"/>
                <w:szCs w:val="14"/>
                <w:b w:val="1"/>
                <w:bCs w:val="1"/>
                <w:color w:val="auto"/>
              </w:rPr>
              <w:t>None</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78"/>
        </w:trPr>
        <w:tc>
          <w:tcPr>
            <w:tcW w:w="3220" w:type="dxa"/>
            <w:vAlign w:val="bottom"/>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780" w:type="dxa"/>
            <w:vAlign w:val="bottom"/>
          </w:tcPr>
          <w:p>
            <w:pPr>
              <w:spacing w:after="0"/>
              <w:rPr>
                <w:sz w:val="6"/>
                <w:szCs w:val="6"/>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Indicate by check mark if the registrant is a well-known seasoned issuer, as defined in Rule 405 of the Securities Act.</w:t>
            </w:r>
          </w:p>
        </w:tc>
        <w:tc>
          <w:tcPr>
            <w:tcW w:w="4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tc>
        <w:tc>
          <w:tcPr>
            <w:tcW w:w="370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r>
        <w:trPr>
          <w:trHeight w:val="196"/>
        </w:trPr>
        <w:tc>
          <w:tcPr>
            <w:tcW w:w="56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Indicate by check mark if the registrant is not required to file reports pursuant to Section 13 or Section 15(d) of the Act.</w:t>
            </w:r>
          </w:p>
        </w:tc>
        <w:tc>
          <w:tcPr>
            <w:tcW w:w="460" w:type="dxa"/>
            <w:vAlign w:val="bottom"/>
          </w:tcPr>
          <w:p>
            <w:pPr>
              <w:ind w:left="10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tc>
        <w:tc>
          <w:tcPr>
            <w:tcW w:w="370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bl>
    <w:p>
      <w:pPr>
        <w:ind w:firstLine="509"/>
        <w:spacing w:after="0" w:line="14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ind w:right="160" w:firstLine="509"/>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ind w:right="180" w:firstLine="509"/>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580" w:type="dxa"/>
            <w:vAlign w:val="bottom"/>
          </w:tcPr>
          <w:p>
            <w:pPr>
              <w:ind w:left="94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ind w:left="2540"/>
              <w:spacing w:after="0"/>
              <w:rPr>
                <w:sz w:val="20"/>
                <w:szCs w:val="20"/>
                <w:color w:val="auto"/>
              </w:rPr>
            </w:pPr>
            <w:r>
              <w:rPr>
                <w:rFonts w:ascii="Times New Roman" w:cs="Times New Roman" w:eastAsia="Times New Roman" w:hAnsi="Times New Roman"/>
                <w:sz w:val="12"/>
                <w:szCs w:val="12"/>
                <w:color w:val="auto"/>
              </w:rPr>
              <w:t>Accelerated filer</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Non-accelerated filer</w:t>
            </w:r>
          </w:p>
        </w:tc>
        <w:tc>
          <w:tcPr>
            <w:tcW w:w="3580" w:type="dxa"/>
            <w:vAlign w:val="bottom"/>
          </w:tcPr>
          <w:p>
            <w:pPr>
              <w:ind w:left="94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ind w:left="2540"/>
              <w:spacing w:after="0" w:line="135" w:lineRule="exact"/>
              <w:rPr>
                <w:sz w:val="20"/>
                <w:szCs w:val="20"/>
                <w:color w:val="auto"/>
              </w:rPr>
            </w:pPr>
            <w:r>
              <w:rPr>
                <w:rFonts w:ascii="Times New Roman" w:cs="Times New Roman" w:eastAsia="Times New Roman" w:hAnsi="Times New Roman"/>
                <w:sz w:val="12"/>
                <w:szCs w:val="12"/>
                <w:color w:val="auto"/>
              </w:rPr>
              <w:t>Smaller reporting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580" w:type="dxa"/>
            <w:vAlign w:val="bottom"/>
          </w:tcPr>
          <w:p>
            <w:pPr>
              <w:ind w:left="94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ind w:right="200" w:firstLine="509"/>
        <w:spacing w:after="0" w:line="14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right="180" w:firstLine="509"/>
        <w:spacing w:after="0" w:line="13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 (b) of the Sarbanes-Oxley Act (15 U.S.C. 7262 (b))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sz w:val="24"/>
          <w:szCs w:val="24"/>
          <w:color w:val="auto"/>
        </w:rPr>
      </w:pPr>
    </w:p>
    <w:p>
      <w:pPr>
        <w:ind w:right="420" w:firstLine="509"/>
        <w:spacing w:after="0" w:line="135"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 w:lineRule="exact"/>
        <w:rPr>
          <w:sz w:val="24"/>
          <w:szCs w:val="24"/>
          <w:color w:val="auto"/>
        </w:rPr>
      </w:pPr>
    </w:p>
    <w:p>
      <w:pPr>
        <w:jc w:val="both"/>
        <w:ind w:right="80" w:firstLine="509"/>
        <w:spacing w:after="0" w:line="147"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ind w:left="520"/>
        <w:spacing w:after="0" w:line="138" w:lineRule="exact"/>
        <w:tabs>
          <w:tab w:leader="none" w:pos="5440" w:val="left"/>
          <w:tab w:leader="none" w:pos="590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43" w:lineRule="exact"/>
        <w:rPr>
          <w:sz w:val="24"/>
          <w:szCs w:val="24"/>
          <w:color w:val="auto"/>
        </w:rPr>
      </w:pPr>
    </w:p>
    <w:p>
      <w:pPr>
        <w:jc w:val="both"/>
        <w:ind w:right="60" w:firstLine="509"/>
        <w:spacing w:after="0" w:line="245" w:lineRule="auto"/>
        <w:rPr>
          <w:sz w:val="20"/>
          <w:szCs w:val="20"/>
          <w:color w:val="auto"/>
        </w:rPr>
      </w:pPr>
      <w:r>
        <w:rPr>
          <w:rFonts w:ascii="Times New Roman" w:cs="Times New Roman" w:eastAsia="Times New Roman" w:hAnsi="Times New Roman"/>
          <w:sz w:val="12"/>
          <w:szCs w:val="12"/>
          <w:color w:val="auto"/>
        </w:rPr>
        <w:t>The aggregate market value of Common Stock held by non-affiliates of the registrant (43,827,792 shares) based on the last reported sale price of the registrant’s common stock on the Nasdaq Global Select Market on October 31, 2025, which was the last business day of the registrant’s most recently completed second fiscal quarter, was $420,089,386.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2"/>
          <w:szCs w:val="12"/>
          <w:color w:val="auto"/>
        </w:rPr>
        <w:t>As of June 15, 2026, there were 44,727,068 shares of the registrant’s common stock outstanding at a par value of $.001 per share.</w:t>
      </w:r>
    </w:p>
    <w:p>
      <w:pPr>
        <w:spacing w:after="0" w:line="36"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4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2"/>
          <w:szCs w:val="12"/>
          <w:color w:val="auto"/>
        </w:rPr>
        <w:t>Portions of the registrant’s definitive proxy statement for the 2026 Annual Meeting of Stockholders are incorporated by reference into Part III of this Form 10-K.</w:t>
      </w:r>
    </w:p>
    <w:p>
      <w:pPr>
        <w:spacing w:after="0" w:line="105" w:lineRule="exact"/>
        <w:rPr>
          <w:sz w:val="24"/>
          <w:szCs w:val="24"/>
          <w:color w:val="auto"/>
        </w:rPr>
      </w:pPr>
    </w:p>
    <w:p>
      <w:pPr>
        <w:ind w:left="520"/>
        <w:spacing w:after="0"/>
        <w:tabs>
          <w:tab w:leader="none" w:pos="3680" w:val="left"/>
          <w:tab w:leader="none" w:pos="6640" w:val="left"/>
        </w:tabs>
        <w:rPr>
          <w:sz w:val="20"/>
          <w:szCs w:val="20"/>
          <w:color w:val="auto"/>
        </w:rPr>
      </w:pPr>
      <w:r>
        <w:rPr>
          <w:rFonts w:ascii="Times New Roman" w:cs="Times New Roman" w:eastAsia="Times New Roman" w:hAnsi="Times New Roman"/>
          <w:sz w:val="12"/>
          <w:szCs w:val="12"/>
          <w:color w:val="auto"/>
        </w:rPr>
        <w:t>Auditor Firm Id: 185</w:t>
      </w:r>
      <w:r>
        <w:rPr>
          <w:sz w:val="20"/>
          <w:szCs w:val="20"/>
          <w:color w:val="auto"/>
        </w:rPr>
        <w:tab/>
      </w:r>
      <w:r>
        <w:rPr>
          <w:rFonts w:ascii="Times New Roman" w:cs="Times New Roman" w:eastAsia="Times New Roman" w:hAnsi="Times New Roman"/>
          <w:sz w:val="12"/>
          <w:szCs w:val="12"/>
          <w:color w:val="auto"/>
        </w:rPr>
        <w:t>Auditor Name: KPMG LLP</w:t>
      </w:r>
      <w:r>
        <w:rPr>
          <w:sz w:val="20"/>
          <w:szCs w:val="20"/>
          <w:color w:val="auto"/>
        </w:rPr>
        <w:tab/>
      </w:r>
      <w:r>
        <w:rPr>
          <w:rFonts w:ascii="Times New Roman" w:cs="Times New Roman" w:eastAsia="Times New Roman" w:hAnsi="Times New Roman"/>
          <w:sz w:val="11"/>
          <w:szCs w:val="11"/>
          <w:color w:val="auto"/>
        </w:rPr>
        <w:t>Auditor Location: Nashville, TN,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April 30, 2026</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60" w:type="dxa"/>
            <w:vAlign w:val="bottom"/>
            <w:gridSpan w:val="10"/>
            <w:vMerge w:val="restart"/>
          </w:tcPr>
          <w:p>
            <w:pPr>
              <w:jc w:val="center"/>
              <w:ind w:right="412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60" w:type="dxa"/>
            <w:vAlign w:val="bottom"/>
            <w:gridSpan w:val="10"/>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w:t>
            </w:r>
          </w:p>
        </w:tc>
        <w:tc>
          <w:tcPr>
            <w:tcW w:w="9060" w:type="dxa"/>
            <w:vAlign w:val="bottom"/>
            <w:gridSpan w:val="24"/>
          </w:tcPr>
          <w:p>
            <w:pPr>
              <w:spacing w:after="0" w:line="176" w:lineRule="exact"/>
              <w:rPr>
                <w:sz w:val="20"/>
                <w:szCs w:val="20"/>
                <w:color w:val="auto"/>
              </w:rPr>
            </w:pPr>
            <w:r>
              <w:rPr>
                <w:rFonts w:ascii="Times New Roman" w:cs="Times New Roman" w:eastAsia="Times New Roman" w:hAnsi="Times New Roman"/>
                <w:sz w:val="16"/>
                <w:szCs w:val="16"/>
                <w:color w:val="0000FF"/>
              </w:rPr>
              <w:t>BUSINESS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1B.</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UNRESOLVED STAFF COMMENTS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1C.</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CYBERSECURITY</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PROPERTIES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LEGAL PROCEEDINGS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MINE SAFETY DISCLOSURES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60" w:type="dxa"/>
            <w:vAlign w:val="bottom"/>
            <w:gridSpan w:val="10"/>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5.</w:t>
            </w:r>
          </w:p>
        </w:tc>
        <w:tc>
          <w:tcPr>
            <w:tcW w:w="9060" w:type="dxa"/>
            <w:vAlign w:val="bottom"/>
            <w:gridSpan w:val="24"/>
          </w:tcPr>
          <w:p>
            <w:pPr>
              <w:spacing w:after="0" w:line="176"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540" w:type="dxa"/>
            <w:vAlign w:val="bottom"/>
            <w:tcBorders>
              <w:top w:val="single" w:sz="8" w:color="0000FF"/>
            </w:tcBorders>
            <w:gridSpan w:val="22"/>
          </w:tcPr>
          <w:p>
            <w:pPr>
              <w:spacing w:after="0" w:line="183" w:lineRule="exact"/>
              <w:rPr>
                <w:sz w:val="20"/>
                <w:szCs w:val="20"/>
                <w:color w:val="auto"/>
              </w:rPr>
            </w:pPr>
            <w:r>
              <w:rPr>
                <w:rFonts w:ascii="Times New Roman" w:cs="Times New Roman" w:eastAsia="Times New Roman" w:hAnsi="Times New Roman"/>
                <w:sz w:val="16"/>
                <w:szCs w:val="16"/>
                <w:color w:val="0000FF"/>
              </w:rPr>
              <w:t>EQUITY SECURITIES</w:t>
            </w:r>
          </w:p>
        </w:tc>
        <w:tc>
          <w:tcPr>
            <w:tcW w:w="32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RESERVED</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7.</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7A.</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8.</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9A.</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CONTROLS AND PROCEDURES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9B.</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9C.</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60" w:type="dxa"/>
            <w:vAlign w:val="bottom"/>
            <w:tcBorders>
              <w:top w:val="single" w:sz="8" w:color="0000FF"/>
            </w:tcBorders>
            <w:gridSpan w:val="4"/>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280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10.</w:t>
            </w:r>
          </w:p>
        </w:tc>
        <w:tc>
          <w:tcPr>
            <w:tcW w:w="9060" w:type="dxa"/>
            <w:vAlign w:val="bottom"/>
            <w:gridSpan w:val="24"/>
          </w:tcPr>
          <w:p>
            <w:pPr>
              <w:spacing w:after="0" w:line="176"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11.</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EXECUTIVE COMPENSATION</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12.</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300" w:type="dxa"/>
            <w:vAlign w:val="bottom"/>
            <w:tcBorders>
              <w:top w:val="single" w:sz="8" w:color="0000FF"/>
            </w:tcBorders>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MATTERS</w:t>
            </w:r>
          </w:p>
        </w:tc>
        <w:tc>
          <w:tcPr>
            <w:tcW w:w="560" w:type="dxa"/>
            <w:vAlign w:val="bottom"/>
            <w:gridSpan w:val="2"/>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13.</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14.</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5060" w:type="dxa"/>
            <w:vAlign w:val="bottom"/>
            <w:gridSpan w:val="10"/>
          </w:tcPr>
          <w:p>
            <w:pPr>
              <w:jc w:val="center"/>
              <w:ind w:right="412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15.</w:t>
            </w:r>
          </w:p>
        </w:tc>
        <w:tc>
          <w:tcPr>
            <w:tcW w:w="9060" w:type="dxa"/>
            <w:vAlign w:val="bottom"/>
            <w:gridSpan w:val="24"/>
          </w:tcPr>
          <w:p>
            <w:pPr>
              <w:spacing w:after="0" w:line="176"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16.</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FORM 10-K SUMMARY</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83"/>
        </w:trPr>
        <w:tc>
          <w:tcPr>
            <w:tcW w:w="102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SIGNATURES</w:t>
            </w:r>
          </w:p>
        </w:tc>
        <w:tc>
          <w:tcPr>
            <w:tcW w:w="5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3"/>
        </w:trPr>
        <w:tc>
          <w:tcPr>
            <w:tcW w:w="10640" w:type="dxa"/>
            <w:vAlign w:val="bottom"/>
            <w:gridSpan w:val="26"/>
          </w:tcPr>
          <w:p>
            <w:pPr>
              <w:spacing w:after="0" w:line="183" w:lineRule="exact"/>
              <w:rPr>
                <w:sz w:val="20"/>
                <w:szCs w:val="20"/>
                <w:color w:val="auto"/>
              </w:rPr>
            </w:pPr>
            <w:r>
              <w:rPr>
                <w:rFonts w:ascii="Times New Roman" w:cs="Times New Roman" w:eastAsia="Times New Roman" w:hAnsi="Times New Roman"/>
                <w:sz w:val="16"/>
                <w:szCs w:val="16"/>
                <w:color w:val="0000FF"/>
              </w:rPr>
              <w:t>INDEX TO CONSOLIDATED FINANCIAL STATEMENTS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Abyss®, Airlite®, Airweight®, American Guardians®, Armornite®, Arrow®, Aurora-II®, Blast Jacket®, Bodyguard®, Carry Comp®, Chiefs Special®, Club 1852®, Competitor®, CSX®, Dagger®, Empowering Americans®, Eg-Series®, ETM®, EZ®, Flexmag®, G-Core®, Gemtech®, Gemtech Suppressors®, GM®, GM-S1®, Governor®, GVAC®, Integra®, Lady Smith®, Lever Lock®, Lunar®, M&amp;P FPC®, M2.0®, Magnum®, Mist-22®, Mountain Gun®, Protected by Smith &amp; Wesson®, Put A Legend On Your Line®, Quickmount®, Shield®, Silence is Golden®, Smith &amp; Wesson Collectors Association®, Smith &amp; Wesson Performance Center®, Smith &amp; Wesson Precision Components®, Smith &amp; Wesson Response®, SW Equalizer®, SW22 Victory®, TEMPO®, The S&amp;W Bench®, The Sigma Series®, Trek®, Volunteer®, and Weather Shield® are some of the registered U.S. trademarks of our company or one of our subsidiaries. This Annual Report on Form 10-K also may contain trademarks and trade names of other companies.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on Form 10-K includes market and industry data that we obtained from industry publications, third-party studies and surveys, government agency sources, filings of public companies in our industry, and internal company surveys. Industry publications and surveys generally state that the information contained therein has been obtained from sources believed to be reliable. Although we believe the foregoing industry and market data to be reliable at the date of the report, this information could prove to be inaccurate as a result of a variety of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Annual Report on Form 10-K that are not purely historical are forward-looking statements within the meaning of Section 27A of the Securities Act of 1933, as amended, or the Securities Act, and Section 21E of the Securities Exchange Act of 1934, as amended, or the Exchange Act. All statements other than statements of historical facts contained or incorporated herein by reference in this Annual Report on Form 10-K,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“can,” “potential,” “continue,” “objective,” or the negative of those terms, or similar expressions intended to identify forward-looking statements. However, not all forward-looking statements contain these identifying words. Specific forward-looking statements in this Annual Report on Form 10-K include statements regarding the impact, if any, of statements regarding our objectives, goals, strategies, plans, and focus, including our objective to be the undisputed market leader in the firearm industry; our plan to continue to introduce new products in fiscal 2027; our belief that by offering high-quality products and services on a timely and cost-effective basis, as well as providing world-class customer service, training, and support, we will drive customer satisfaction and loyalty; our intent to continue to streamline and standardize certain administrative functions of our business with a goal toward driving profitability and improving the ease with which our customers are able to do business with us; our intent to continue investing in systems to further enhance our efficiency, improve information reporting, and strengthen internal controls; our intent to continue our focus on developing, growing, and protecting our iconic firearm brands and using our cash flow from operations on actions that will maximize our return on invested capital, including by investing in machinery, equipment, and new product development; our goal to leverage our tradition of innovation in materials, performance, and engineering, along with our proven history of reliability, to produce feature-rich, safe, durable, accurate, and high-performing firearms that satisfy the needs of our broad range of customers; our intent to introduce new products to enhance our competitive position and broaden our participation in the overall market; our belief that our M&amp;P branded pistol products are the most ergonomic, feature-rich, and innovative products on the market today; our belief that our manufacturing services provide us with increased flexibility and reduced supply chain risk; our belief that business-to-business sales provide profitable revenue stream diversification and enable us to maximize capacity utilization of our manufacturing assets; our belief that the loss of one or more of our top five commercial distributors in the United States would not materially impact sales; our belief that our digital platforms support future sales growth and profitability; our intent that the Academy will serve as a hub for industry shooting competitions and hospitality events for our customers and partners; our belief that our business is not materially dependent on any single patent; our belief that our Smith &amp; Wesson and Gemtech brands, including our S&amp;W monogram trademarks, are known and recognized by the public worldwide and are important to our firearm business; our intention to vigorously pursue and challenge infringements of our patents, trademarks, service marks, trade dress, and copyrights, as we believe the goodwill associated with them is a cornerstone of our branding strategy; our belief that we can effectively compete with all our present competitors; that we may be required to remove hazardous waste or remediate the alleged effects of hazardous substances on the environment associated with past disposal practices at sites not owned by us; that we may become involved in various proceedings relating to environmental health and safety matters; our expectation, based on information known to us, that current environmental regulations or environmental proceedings and claims will not have a material adverse effect on our consolidated financial position, results of operations, or cash flows; that additional or changing environmental regulation may become more burdensome in the future and any such development could materially and adversely affect us; our belief that our training and development programs lead to more valuable contributions and satisfaction for our employees within their existing roles and also positions employees for roles they aspire to attain; our belief that our employee relations are good and that the high quality of our employee base is instrumental to our success; our belief that the demand for our products was negatively impacted in recent years by unified Republican control of the executive and legislative branches of the federal government as a result of a perceived lower risk of federal gun control legislation and regulation; our expectation that we will continue to incur expenditures in order to comply with environmental requirements; our belief that we may become subject to governmental proceedings and orders pertaining to waste disposal, air emissions, and water discharges; our belief that our operations may cause contamination in the future; our belief that we could incur additional costs to clean up contamination that exceed the amount of our reserves, and our reserves may increase from time to time; our concern that our failure to comply with laws, regulation, and other requirements could cause us to incur fines and penalties, lead to restrictions on our ability to manufacture and sell our products and services, or otherwise negatively impact our ability to import or export the products that we sell; our concern that allegations that we have failed to comply with laws, regulation, and other requirements could also expose us to litigation and harm our reputation; that we may continue to be negatively impacted by tariffs policies in the future, as well as by any retaliatory tariffs introduced by the United States’ trading partners; our belief that high levels of inflation may continue to depress consumer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our products and reduce our profitability; our anticipation that we will continue to incur significant capital and other expenditures with respect to our Springfield facility, but we may not be successful in continuing to improve efficiencies; that we may be more likely than other companies to be a target for malicious disruptive activities or physical attacks on our senior leadership team or facilities given the industry within which we operate and our brand; our belief that maintaining a high level of brand recognition and a strong reputation are critical to our success, particularly with respect to retaining existing customers and attracting new customers; our belief that the value of our brand depends, in part, on the value consumers place on the quality of our products; our anticipation that we will continue to be involved in litigation, including product liability cases and claims in the future; we may be subject to governmental investigations and inquiries; that defects in our products could reduce demand for our products and result in a decrease in sales and market acceptance and damage to our reputation; our belief that period-to-period comparisons of our operating results may not be meaningful in the short term, and our performance in a particular period may not be indicative of our performance in any future period; our concern that we may struggle to identify qualified candidates who are comfortable or enthusiastic to work for a firearm business; our concern that if we fail to attract, motivate, train, and retain qualified personnel, or if we experience excessive turnover, we may experience declining sales, manufacturing delays or other operating inefficiencies, increased recruiting, training, and relocation costs, or other difficulties, and our business, financial condition, and results of operations may be materially and adversely impacted; our concern that the loss of key executive and management personnel to manage our business efficiently and effectively, particularly during a challenging market of attracting and retaining employees, could materially and adversely affect our business, financial condition, and results of operations; our estimation that the annual domestic non-military firearm market based on industry shipments is approximately $2.7 billion for handguns and $1.7 billion for long guns, excluding shotguns; our belief that an expanding base of consumers combined with our strong brand reputation and attractive price points lend support to our goal of continuing to increase our market share; our expectation that our inventory levels will increase modestly during fiscal 2027; our current expectation that we will spend between $40.0 million to $45.0 million on capital expenditures in fiscal 2027; our belief that, based upon our current working capital position, current operating plans, and expected business conditions, our existing capital resources and credit facilities will be adequate to fund our operations for the next 12 months; our belief that if sufficient funds are not available or are not available on acceptable terms, our ability to take advantage of unexpected business opportunities or to respond to competitive pressures could be limited or severely constrained; our expectation that inflation will continue to impact us during fiscal 2027; our assessment of the effect of a variety of economic, social, political, legislative, and regulatory factors on our business; our view of the outcome of the lawsuits and claims to which we are subject and their effect on us; our assessment of future investments for capital expenditures; our assessment of future products and product developments; our belief about the features and performance of our products; our belief about the success of particular product or marketing programs; our view on future enterprise resource planning implementations and system improvements; our view on future enhancements to our manufacturing capabilities, and liquidity; and our anticipated cash needs and availability.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Annual Report on Form 10-K reflect our views as of the date of this Annual Report on Form 10-K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others, economic, political, social, legislative, regulatory, inflationary and health factors; the potential for increased regulation of firearms and firearms-related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the impact of tariffs;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and the success of those products; our ability to expand our markets; the potential for cancellation of orders from our backlog; and other factors detailed from time to time in our reports filed with the Securities and Exchange Commission, or the SEC, including the factors discussed under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business, operating results, and financial condition may be materially and adversely affected by the nature and impact of certain risks. Set forth below is a summary list of the principal risk factors as of the date of the filing of this Annual Report on Form 10-K.</w:t>
      </w:r>
    </w:p>
    <w:p>
      <w:pPr>
        <w:spacing w:after="0" w:line="5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is impacted by a variety of economic, political, social, legislative, and regulatory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international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protectionist trade restrictions, including tariffs and potential trade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inflation have adversely affected us and may continue to adversely affect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introduce new products that are successful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the Relocation.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facilities are critical to our success, and we may incur business disruptions.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supply chain for our production, and any interruptions in these arrangements could disrupt our ability to fill our customers’ orders.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forecast demand for our products accurately.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align our capacity with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and price increases for components, parts, raw materials, and other supplies may delay or reduce our sales and increase our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product quality or performance, or defects in our products, could harm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making and integrating mergers, acquisitions, and investments, and completing divestitures.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collecting amounts owed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coverage is expensive and may be difficult to obtain at commercially reasonable rates,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lawsuits and governmental investigations and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the potential for product recalls and product liability and other claims against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produce or source and sell products that create exposure to potential product liability, warranty liability, and personal injury claims and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intellectual property or obtain the right to use intellectual property from third parties.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expenses and devote significant resources in prosecuting others for their unauthorized use of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proper functioning of our information systems or other issues with our ERP systems could disrupt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including risks related to customer, employee, vendor, and other company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involve significant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has fluctuated widely in the past and may fluctuate widely in the future.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stockholder activists could cause us to incur substantial costs and divert management’s attention and our resources.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efficiently may be adversely impacted if service providers and other businesses that permit firearm-related activities refuse to work with us.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challenging market for talent and may fail to attract, motivate, train, and retain qualified personnel, including key personnel.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Nevada law could make it more difficult for a third party to acquire us and discourage a takeover.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or AI, may adversely impact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in the past and may identify material weaknesses in our internal control over financial reporting in the future that could result in material misstatements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855980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one of the world’s leading manufacturers and designers of firearms. We manufacture a wide array of handguns (including revolvers and pistols), long guns (including modern sporting rifles, pistol caliber carbines, and lever-action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Maryville, Tennessee; Springfield, Massachusetts; and Houlton, Maine. We also sell our manufacturing services under our Smith &amp; Wesson and Smith &amp; Wesson Precision Components brands to other businesses to attempt to level-load our factories.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was founded in 1852 by Horace Smith and Daniel B. Wesson. Mr. Wesson purchased Mr. Smith’s interest in 1873. The Wesson family sold Smith &amp; Wesson to Bangor Punta Corp. in 1965. Lear Siegler Corporation purchased Bangor Punta in 1984, thereby acquiring ownership of Smith &amp; Wesson. Forstmann Little &amp; Co. purchased Lear Siegler in 1986 and sold Smith &amp; Wesson shortly thereafter to Tomkins Corporation, an affiliate of U.K.-based Tomkins PLC. We purchased Smith &amp; Wesson from Tomkins in 2001 and renamed our company Smith &amp; Wesson Holding Corporation. In 2017, we changed the name of our company from Smith &amp; Wesson Holding Corporation to American Outdoor Brands Corporation. In 2020, in preparation for the spin-off of our outdoor products and accessories business, or the Separation, which was completed on August 24, 2020, we changed our name to Smith &amp; Wesson Brands, Inc. In 2021, we announced our plan to move our headquarters and significant elements of our operations to Maryville, Tennessee in 2023, or the Relocation.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maintain our principal executive offices at 1852 Proffitt Springs Road, Maryville, Tennessee 37801. Our telephone number is (800) 331-0852. Our website is located at </w:t>
      </w:r>
      <w:r>
        <w:rPr>
          <w:rFonts w:ascii="Times New Roman" w:cs="Times New Roman" w:eastAsia="Times New Roman" w:hAnsi="Times New Roman"/>
          <w:sz w:val="18"/>
          <w:szCs w:val="18"/>
          <w:i w:val="1"/>
          <w:iCs w:val="1"/>
          <w:color w:val="auto"/>
        </w:rPr>
        <w:t>www.smith-wesson.com</w:t>
      </w:r>
      <w:r>
        <w:rPr>
          <w:rFonts w:ascii="Times New Roman" w:cs="Times New Roman" w:eastAsia="Times New Roman" w:hAnsi="Times New Roman"/>
          <w:sz w:val="18"/>
          <w:szCs w:val="18"/>
          <w:color w:val="auto"/>
        </w:rPr>
        <w:t>. Through our website, we make available free of charge our annual reports on Form 10-K, our proxy statements, our quarterly reports on Form 10-Q, our current reports on Form 8-K, and amendments to any of these documents filed or furnished pursuant to Section 13(a) or 15(d) of the Exchange Act. These documents are available as soon as reasonably practicable after we electronically file them with the SEC. We also post on our website the charters of our Audit, Compensation, and Nominations and Corporate Governance Committees; our Corporate Governance Guidelines, our Code of Conduct, and any amendments or waivers thereto; and any other corporate governance materials contemplated by the regulations of the SEC and the Nasdaq Global Select Market. These documents are also available in print by contacting our corporate secretary at our executive offices.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the terms “we,” “our,” “ours,” “us,” and “our company” refer to Smith &amp; Wesson Brands, Inc. and its consolidated subsidiaries. “Common stock” refers to the common stock, par value $.001 per share, of our company. Our most recently completed fiscal year ended on April 30, 2026, or fiscal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objective is to be the undisputed market leader in the firearm industry. Key elements of our strategy to achieve this objective are as follows: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Drive Organic Growth by Leveraging Brands and Designing Innovative New Products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focused on driving organic growth by producing a robust new product pipeline and leveraging our brands to help us to increase market share in the markets in which we participate and to expand into adjacent and complementary markets by (1) capitalizing on the goodwill developed through our historic, more than 170 year old “Smith &amp; Wesson” brand; (2) enhancing our relationships with distributors, key retailers, and buying groups; and (3)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introducing new products. During the last two fiscal years, we have introduced numerous new products, including variations and product lines around the Smith &amp; Wesson and Gemtech brands. We plan to continue to introduce new products in fiscal 2027.</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Design, Produce, and Market High-Quality Products that Drive Customer Satisfaction and Loyalty</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designing, producing, and marketing high-quality, innovative firearms and related accessories that meet the needs and desires of our consumer and professional customers and that drive customer satisfaction and loyalty. Our research and development, product engineering, product manufacturing, component sourcing, marketing, and distribution activities are critical components of our ability to offer successful products. We believe that by offering high-quality products and services on a timely and cost-effective basis, as well as providing world-class customer service, training, and support, we will drive customer satisfaction and loyalty. We regard our high-quality, innovative products as the most important aspect of our customer satisfaction and loyalty, but we also offer customer service and support with various programs, such as toll-free customer support numbers, e-mail customer question and answer communications, broad service policies, and product warranties.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Create a Leverageable Infrastructure by Streamlining and Standardizing our Business Operations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intend to continue to streamline and standardize certain administrative functions of our business with a goal toward driving profitability and improving the ease with which our customers are able to do business with us. A streamlined and standardized approach requires investing in an integrated and configurable technology infrastructure in areas such as enterprise resource planning, or ERP, customer relationship management, and compliance. We intend to continue investing in such systems to further enhance our efficiency, improve information reporting, and strengthen internal controls.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Deploy our Cash Flow in Such a Manner so as to Maximize Return on Invested Capital</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fiscal 2026, we generated a total of $114.2 million in cash from operations. During the same period, we invested $28.2 million in cash to acquire property, equipment, patents, and marketable securities, distributed $23.2 million in dividends, and paid $60.0 million on our revolving line of credit. We intend to continue our focus on developing, growing, and protecting our iconic firearm brands and using our cash flow from operations on actions that will maximize our return on invested capital, including by investing in machinery, equipment, and new product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products combine our legacy of more than 170 years of American manufacturing and engineering expertise with modern technological advances. Driven by the needs of the individual firearm owner, we continually strive to improve the experience of buying, owning, and shooting a firearm. We also strive to leverage our tradition of innovation in materials, performance, and engineering, along with our proven history of reliability, to produce feature-rich, safe, durable, accurate, and high-performing firearms that satisfy the needs of our broad range of customers. Our introduction of new products is intended to enhance our competitive position and broaden our participation in the overall market.</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always been a leader in the revolver market. We have substantially enhanced the breadth and quality of our portfolio of products over the years. The introduction of our popular M&amp;P pistol in 2005 resulted in us becoming one of the leaders in the polymer pistol market, serving both the consumer sporting goods market and professional law enforcement and military marketplace. The launch of our M&amp;P modern sporting rifle in 2006 enabled us to capture what we estimate is the leading share of the modern sporting rifle market. In 2023, we further expanded and strengthened our position in the broader long-gun market with the introduction of new pistol caliber carbine offerings, the M&amp;P FPC and Response rifles. In 2024, we introduced our first ever lever-action rifle, the Model 1854. We currently participate in three categories of the long gun market: semi-automatic rifles, lever-action rifles, and shotguns, and both core categories of the handgun market: semi-automatic pistols and revolvers. The addition of our Gemtech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branded firearm suppressor products in 2017 expanded our firearm-related product offerings. Our firearm suppressors are compatible with most pistols and rifles on the market and complement our firearm products.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of our firearms and firearm-related products are sold under our Smith &amp; Wesson and Gemtech brands. Our customers include distributors; federal, state, and municipal law enforcement agencies and officers; government and military agencies; and retailers.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strategy is to understand our consumers’ needs and preferences and then design and develop products to uniquely meet those requirements. Throughout this process, we test multiple concepts with firearm owners and potential purchasers. We compare these test results against a growing database of prior concepts to identify those with the greatest market potential. We complete additional market research to optimize the desired features and benefits. While this development process is ongoing, our launch timing for new products depends on market conditions to maximize sales across the entire product portfolio.</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fiscal 2026, we introduced a number of new products, including (i) in the micro handgun conceal carry pistol category, the latest iteration of the BodyGuard 2.0 and the Performance Center BodyGuard 2.0 Carry Comp; (ii) the expansion of our Model 1854 Lever-Action Rifle series in 30-30 and 360 Buckhammer calibers; (iii) the expansion of the M&amp;P FPC in 22LR and 5.7 calibers; (iv) the expansion of our M&amp;P line to include the new steel frame M&amp;P HD and M&amp;P HD Competitor chambered in 9mm, as well as the new M&amp;P 22X; (v) the expansion of our revolver line to include several new no-lock Classic revolvers and our new Mountain Gun and Night Guard revolvers; and (vi) new accessories and ecommerce products, including a range of aftermarket slides, barrels, grips, magazines, and branded merchandise.</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customers continue to demand premium firearms that provide a competitive edge in sport shooting and hunting. Our Performance Center products are engineered and manufactured to meet this need, and they incorporate many custom features not found in our standard products, such as enhanced triggers for smoother trigger pull, ported barrels for better muzzle control, and specialty sights for quicker target acquisition. In fiscal 2026, we introduced our sixth annual Performance Center Spec Series M&amp;P pistol and our first-ever Spec Series R Revolver. We also introduced several line extensions for our popular Performance Center Carry Comp lineup that offers premium features, including an integrated port and tuned trigger for reduced felt recoil and better on-target performance. New Carry Comp models included the BodyGuard 2.0, the Equalizer 9mm, the Shield X 9mm, and the M&amp;P 10mm 2.0.</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fiscal 2026, we also introduced innovative new products in our Gemtech line of firearm suppressors, including the Nebula 5.7.</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Handguns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manufacture an extensive variety of handgun models that includes revolvers and pistols. A revolver is a handgun with a cylinder that holds the ammunition in a series of rotating chambers that are successively aligned with the barrel of the firearm during each firing cycle. There are two general types of revolvers: single-action and double-action. To fire a single-action revolver, the hammer is pulled back to cock the firearm and align the cylinder before the trigger is pulled. To fire a double-action revolver, a single trigger pull advances the cylinder as it cocks and releases the hammer. A pistol is a handgun in which the ammunition chamber is an integral part of the barrel, which is fed ammunition from a magazine contained in the grip. The firing cycle ejects the spent casings and loads a new round into the chamber.</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long been known as an innovator and leader in the revolver market and most of our revolvers are currently marketed under the Smith &amp; Wesson brand. We sell a wide range of sizes from small-frame revolvers used primarily for concealed carry and personal protection to large-frame revolvers used primarily for recreational and competitive sport shooting. Our extra-large frame revolvers primarily address the handgun-hunting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small-frame revolvers have been carried by law enforcement personnel and personal defense-minded citizens for over 150 years. Our revolvers are available in a variety of models and calibers, with applications in virtually all professional and consumer markets. In fiscal 2025, we expanded our line of revolvers that are designed to enhance the personal carry experience, continuing our innovative leadership in the category. These Ultimate Carry revolvers are chambered in 38 Special and 32 H&amp;R Magnum and feature enhanced grips, sights, and triggers that are designed to enhance the shooting experience.</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“Classics” department makes it possible to own historic firearms that are manufactured today but modeled after original favorites, such as the Model 29, which was made famous by the movie character Dirty Harry. These firearms are newly crafted with designs that take advantage of some of the most famous and collectible firearms that we have ever made. Our Classics department also makes commemorative firearms and employs master engravers to craft one of a kind custom firearms. These custom-made firearms are intended to reflect the skill and vision of the master engraver and the artistic expression of the owner. We offer a number of catalog variations of Classics and engraved Classics to our customers.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offer pistols under our Smith &amp; Wesson brand. Our full size and compact M&amp;P line of pistol products have been engineered with input from professional users and are designed to offer performance, safety, and durability that meet the standards of global law enforcement and military personnel, as well as features attractive to consumers. We believe that our M&amp;P branded pistol products are the most ergonomic, feature-rich, and innovative products on the market today. Our range of full-size and compact M&amp;P pistol products are made with a polymer, aluminum, or steel frame, a rigid stainless-steel chassis, and a black, through-hardened corrosion resistant finished stainless-steel barrel and slide for durability. Our M&amp;P pistol products feature patented and easily changed palm swell grips in four sizes, allowing the user to customize grips in a matter of seconds; a passive trigger safety to prevent the pistol from firing if dropped; a flat face trigger for consistent finger placement, an enlarged trigger guard to accommodate gloved hands; a sear lever release that eliminates the need to press the trigger in order to disassemble the firearm; an ambidextrous slide stop and reversible magazine release to accommodate right- and left-handed shooters; an optional internal locking system and magazine safety; and a universal equipment rail to allow the addition of accessories, including lights and lasers.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fiscal 2012, we entered the growing personal protection and concealed carry market with the launch of the M&amp;P Shield pistol. The M&amp;P Shield features a slim concealable profile, 9mm, 380 Auto, 40 S&amp;W, and 45 Auto calibers, and M&amp;P ergonomics. Since the launch of the M&amp;P Shield, we have introduced several additional models, including the Shield Plus with enhanced features and capacity, and most recently, the award-winning Bodyguard 2.0. In fiscal 2026, we launched our latest Shield innovations, the Shield X and the Performance Center Shield X Carry Comp chambered in 9mm, with improved ergonomics.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Performance Center department has been providing specialized products and services for the most demanding shooting sports enthusiasts since 1990. To meet the requirements of law enforcement professionals, competitive shooters, collectors, and discriminating sports enthusiasts who demand superior products, our Performance Center personnel conceptualize, engineer, and craft products to create enhanced versions of our standard products. Our craftsmen are highly skilled and experienced gunsmiths. Performance Center products are typically made in limited production quantities, although we offer a number of catalog variations in order to increase product availability.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 Guns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modern sporting rifles are designed to satisfy the functionality and reliability needs of recreational, personal, defense, and professional users, including global military, law enforcement, and security personnel. These long guns are popular with consumers as hunting, personal protection, and sporting target rifles. We offer two pistol caliber carbines, the M&amp;P FPC chambered in 9mm, 40 S&amp;W, 10mm, 5.7, and 22LR and the Response, chambered in 9mm. We offer the M&amp;P and Volunteer series modern sporting rifles in five different calibers (22LR, 5.56mm NATO (223), 308 Winchester (7.62x51mm), 6.5 Creedmoor, and 6mm ARC). We also offer upper assemblies so firearm owners can easily modify their modern sporting rifles to suit the needs and tasks of the various forms of sport shooting and hunting. Our broad product portfolio of modern sporting rifles includes a .22 caliber model, an opening price-point sport model, a hunting caliber model for longer range effectiveness, and several models designed for professional users.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fiscal 2026, we continued to expand our lever-action offerings, building on the success of the Model 1854, which was introduced in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expansion included new caliber introductions in 30-30 and 360 Buckhammer.</w:t>
      </w:r>
    </w:p>
    <w:p>
      <w:pPr>
        <w:spacing w:after="0" w:line="20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fiscal 2025, we introduced the M&amp;P 4 select-fire rifle, chambered in 5.56mm NATO, which is our first such offering to our law enforcement and military customers.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Products and Manufacturing Services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products and manufacturing services include the following:</w:t>
      </w:r>
    </w:p>
    <w:p>
      <w:pPr>
        <w:spacing w:after="0" w:line="22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Parts: </w:t>
      </w:r>
      <w:r>
        <w:rPr>
          <w:rFonts w:ascii="Times New Roman" w:cs="Times New Roman" w:eastAsia="Times New Roman" w:hAnsi="Times New Roman"/>
          <w:sz w:val="18"/>
          <w:szCs w:val="18"/>
          <w:color w:val="auto"/>
        </w:rPr>
        <w:t>We sell parts to support our firearm business, including barrels and magazines that are manufactured at our facilities or purchased from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w:t>
      </w:r>
    </w:p>
    <w:p>
      <w:pPr>
        <w:spacing w:after="0" w:line="1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Handcuffs: </w:t>
      </w:r>
      <w:r>
        <w:rPr>
          <w:rFonts w:ascii="Times New Roman" w:cs="Times New Roman" w:eastAsia="Times New Roman" w:hAnsi="Times New Roman"/>
          <w:sz w:val="18"/>
          <w:szCs w:val="18"/>
          <w:color w:val="auto"/>
        </w:rPr>
        <w:t>We are one of the largest manufacturers of handcuffs and restraints in the United States. We fabricate these products from the highest-grade carbon or stainless steel. Our patented Lever Lock cuffs offer a double-locking system for added security and comfort, without extra tools or keys. Internal locks help prevent tampering and smooth ratchets allow for swift cuffing and an extra measure of safety. We are able to customize handcuffs to fit customer specifications.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Firearm Suppressors: </w:t>
      </w:r>
      <w:r>
        <w:rPr>
          <w:rFonts w:ascii="Times New Roman" w:cs="Times New Roman" w:eastAsia="Times New Roman" w:hAnsi="Times New Roman"/>
          <w:sz w:val="18"/>
          <w:szCs w:val="18"/>
          <w:color w:val="auto"/>
        </w:rPr>
        <w:t>We are one of the nation’s oldest firearm suppressor manufacturers and an active participant in the firearm suppressor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around the world. We believe our Gemtech branded firearm suppressors have been involved in setting standards used by the military in suppressor testing, implementation, and safety. Our firearm suppressors are constructed from high grade aluminum, steel, or titanium and are compatible with every major type of rimfire and centerfire pistol and centerfire rifle caliber currently on the market.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Manufacturing Services: </w:t>
      </w:r>
      <w:r>
        <w:rPr>
          <w:rFonts w:ascii="Times New Roman" w:cs="Times New Roman" w:eastAsia="Times New Roman" w:hAnsi="Times New Roman"/>
          <w:sz w:val="18"/>
          <w:szCs w:val="18"/>
          <w:color w:val="auto"/>
        </w:rPr>
        <w:t>We utilize our substantial manufacturing capabilities to provide services to third-party customers. Our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include forging, heat treating, rapid prototyping, tooling, finishing, plating, and machining. We believe our manufacturing services provide us with increased flexibility and reduced supply chain risk. We also believe that business-to-business sales provide profitable revenue stream diversification and enable us to maximize capacity utilization of our manufacturing assets. We market our manufacturing services under the Smith &amp; Wesson and Smith &amp; Wesson Precision Components brand names.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Sales, and Distribution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go to market in a variety of ways, including two-step distribution, strategic retailers, and buying groups consisting of certain large, regional retailers, utilizing direct sales employees to service these customers. We also sell firearms directly to law enforcement agencies and manufacturing services directly to other businesses. We sell internationally, primarily through distributors, which, in turn, sell to retail stores and government agencies. We also sell aftermarket accessories and branded merchandise direct to consumers on our ecommerce website.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top five commercial distributors in the United States accounted for a total of 46%, 45%, and 46% of our net sales for the fiscal years ended April 30, 2026, 2025, and 2024, respectively. Those commercial distributors are not regionally exclusive and have many of the same dealer customers. Therefore, we believe that the loss of one or more of these distributors would not materially impact sales as the remaining distributors would be allocated additional sales.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sell our products worldwide. International sales accounted for approximately 4%, 5%, and 5% of our net sales for the fiscal years ended April 30, 2026, 2025, and 2024, respectively. We own tooling that is located at various suppliers in Asia and North America.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fiscal years ended April 30, 2026, 2025, and 2024, marketing, advertising, and promotion expenses were $13.7 million, $15.2 million, and $14.7 million, respectively, excluding the cost of rebates and promotions reflected in gross profit.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market our products using a multi-faceted approach to consumers through independent dealers, large retailers, in-store retail channels, direct to consumer, and range operations using focused marketing and promotional campaigns, which include print, broadcast, and digital advertising campaigns; social and electronic media; and in-store retail merchandising strategies. We are prominently featured in vertical print media, including editorial coverage in an extensive list of leading firearms and outdoor magazines, including </w:t>
      </w:r>
      <w:r>
        <w:rPr>
          <w:rFonts w:ascii="Times New Roman" w:cs="Times New Roman" w:eastAsia="Times New Roman" w:hAnsi="Times New Roman"/>
          <w:sz w:val="18"/>
          <w:szCs w:val="18"/>
          <w:i w:val="1"/>
          <w:iCs w:val="1"/>
          <w:color w:val="auto"/>
        </w:rPr>
        <w:t>Guns &amp; Ammo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Rifleman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Shooting Times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Handgunner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Shooting Illustrated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American Hunter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Outdoor Life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Field &amp; Stream</w:t>
      </w:r>
      <w:r>
        <w:rPr>
          <w:rFonts w:ascii="Times New Roman" w:cs="Times New Roman" w:eastAsia="Times New Roman" w:hAnsi="Times New Roman"/>
          <w:sz w:val="18"/>
          <w:szCs w:val="18"/>
          <w:color w:val="auto"/>
        </w:rPr>
        <w:t>. We also sponsor many outdoor television, internet, and online programs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significant editorial exposure. We sponsor a number of firearm safety, shooting, and hunting events and organizations.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print various product marketing collateral that are distributed to our dealers and mailed directly, on a limited basis, to consumers. We also attend various trade shows and expositions, such as the Shooting, Hunting, Outdoor Trade, or SHOT Show, the National Association of Sporting Goods Wholesalers Annual Expo, the International Association of Chiefs of Police Annual Conference &amp; Expo, the Association of the United States Army, or AUSA, Annual Meeting &amp; Exposition, the IWA OutdoorClassics/EnforceTac international trade fair in Europe, and various distributor, buying group, and consumer shows.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utilize our websites, including </w:t>
      </w:r>
      <w:r>
        <w:rPr>
          <w:rFonts w:ascii="Times New Roman" w:cs="Times New Roman" w:eastAsia="Times New Roman" w:hAnsi="Times New Roman"/>
          <w:sz w:val="18"/>
          <w:szCs w:val="18"/>
          <w:i w:val="1"/>
          <w:iCs w:val="1"/>
          <w:color w:val="auto"/>
        </w:rPr>
        <w:t>www.smith-wesson.com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emtech.com,</w:t>
      </w:r>
      <w:r>
        <w:rPr>
          <w:rFonts w:ascii="Times New Roman" w:cs="Times New Roman" w:eastAsia="Times New Roman" w:hAnsi="Times New Roman"/>
          <w:sz w:val="18"/>
          <w:szCs w:val="18"/>
          <w:color w:val="auto"/>
        </w:rPr>
        <w:t xml:space="preserve"> to market our products and services and to provide a wide range of information regarding our company to customers, consumers, dealers, distributors, investors, and government and law enforcement agencies worldwide. Social media platforms, such as Facebook, Instagram, YouTube, LinkedIn, and X (formerly Twitter), are effective ways for us to communicate the features and benefits of our products. Our direct-to-consumer e-mail marketing helps us to further engage our consumers and communicate the value of our brands. We continue to invest in new digital marketing capabilities to provide best-in-class customer experiences. Our websites are designed to inform, inspire, and prepare our customers for the next step in their firearms journey. We believe our digital platforms support future sales growth and profitability. In fiscal 2025, we introduced a direct-to-consumer e-commerce website to offer non-serialized parts, accessories, and branded goods.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Service and Support</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 variety of methods for supporting our consumers and dealers. We have a toll-free customer service number, e-mail, and social media messaging to answer questions and resolve issues regarding our products. In addition, we offer a limited one-year warranty program and a lifetime service policy under which we repair defects in material or workmanship in our products, without charge, for as long as the original purchaser owns the firearm. We also maintain a number of authorized warranty centers throughout the world and provide both warranty and charge repair services at our facilities. In fiscal 2026, we launched the Smith &amp; Wesson Academy, or the Academy, complete with a pistol range, shoot house, and 300-yard rifle range in Maryville, TN. The Academy services the civilian and professional market with world class firearms training and instruction. The Academy has become instrumental in product testing and business development. Additionally, we intend that the Academy will serve as a hub for industry shooting competitions and hospitality events for our customers and partners.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manufacture most of the components for our firearms, but purchase certain components and parts, including bolt carriers, rifle receivers, magazines, small parts, and rifle stocks, from third parties. We also purchase ammunition for product testing. Most of our major suppliers are U.S. based and provide materials, components, and parts, such as steel, polymer components, and metal-injected-molded components. The costs of these materials, components, and parts are at competitive rates. We have become less dependent on any particular supplier by strategically sourcing parts and raw material from multiple suppliers based on quality, cost, and risk. Whenever appropriate, we ensure that we have primary and secondary sources of supply for critical parts and components. We are also able to leverage our supply base to supplement our internal capacity and provide flexibility in our response to changes in market conditions.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numerous raw materials, such as steel, wood, lead, brass, and plastics, in producing and testing our products. We have alternative sources for these raw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four manufacturing facilities at which we produce our products: a 645,000 square-foot facility located in Maryville, Tennessee; a 575,000 square-foot facility located in Springfield, Massachusetts; and two facilities totaling 44,000 square-feet located in Houlton, Maine. We conduct plastic injection molding, assembly, and distribution services from our Maryville facility. We conduct certain machining, assembly, and manufacturing services at our Springfield facility. We machine non-serialized firearm parts and manufacture handcuffs and other restraint devices in our Houlton facilities. All of these facilities are ISO 9001 certified.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perform most of the machining and all of the assembly, inspection, and testing of the firearms that we sell in our own facilities. We produce our major firearm components utilizing computer-assisted machines. Our skilled employees use sophisticated automated testing equipment to ensure the proper functioning of our firearms. Every firearm is test fired before shipment. Our Maryville facility operates primarily on three shift patterns: a five-day, 8-hour shift schedule. Our Springfield facility operates primarily on two shift patterns: a seven day, 12-hour rotating shift schedule and a five day, 8-hour shift schedule. Our Houlton facilities operate primarily on three shift patterns: a seven day, 12-hour shift schedule, a five day, 8-hour shift, and a four day, 10-hour shift schedule.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party to a lease agreement, dated October 26, 2017, between us and Ryan Boone County, LLC, or the Original Missouri Landlord, concerning certain real property located in Boone County, Missouri on which we had been operating our distribution center, or the Missouri Lease, as well as a related payment and performance guaranty, dated October 26, 2017, in favor of the Original Missouri Landlord. As part of the Relocation, on January 31, 2023, we entered into (i) an assignment and assumption agreement with American Outdoor Brands, Inc., our former wholly owned subsidiary, or AOUT (which became effective on January 1, 2024), pursuant to which AOUT assumed all of our rights, entitlement, and obligations in, to, and under the Missouri Lease, or the Assignment and Assumption Agreement, and (ii) an amended and restated guaranty in favor of RCS-S&amp;W Facility, LLC, as successor in interest to the Original Missouri Landlord, pursuant to which Smith &amp; Wesson Sales Company was added as a guarantor, or the Amended and Restated Guaranty. Because of the Amended and Restated Guaranty, we continue to account for this lease as we have since prior to the Relocation. Effective January 1, 2024, we vacated the Missouri distribution center. Assets from the Missouri distribution center that we could no longer use were sold to AOUT, and we relocated all remaining assets to our Maryville facility.</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seek to minimize inventory costs through an integrated planning and production system. All facilities operate utilizing SAP, a fully integrated ERP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Through our advanced products engineering departments, we enhance existing products and develop new products for our business. Through our research and development personnel, we conceive, design, and develop potential products that we believe will be attractive to our customers and help address the needs, wants, and desires of our target consumer base. In so doing, we must seek to anticipate and respond to trends and shifts in consumer preferences by continually adjusting our product mix with innovative features and designs and marketing them in an effective manner. Prior to introducing any product, we assess its cost of production and delivery, estimate its potential sales volume and margin, and conduct vigorous prototype and production-quality sample testing. In fiscal 2026, 2025, and 2024, our gross spending on research activities relating to the development of new products was $10.3 million, $9.6 million, and $7.3 million, respectively. As of April 30, 2026, we had 46 employees at our various facilities engaged in ongoing research and development activities for all of our brands.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Copyrights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recognize the importance of innovation and protecting our intellectual property. Accordingly, we own numerous patents related to our products. We apply for patents whenever we develop innovative new products, unique designs, or processes of commercial importance. We do not believe that our business is materially dependent on any single patent.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significance of our brand names, our trademarks, service marks, trade dress, and copyrights are also important to our business. We have an active global program of trademark registration, monitoring, and enforcement. We believe that our Smith &amp; Wesson and Gemtech brands, including our S&amp;W monogram trademarks, are known and recognized by the public worldwide and are important to our firearm business.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intend to vigorously pursue and challenge infringements of our patents, trademarks, service marks, trade dress, and copyrights, as we believe the goodwill associated with them is a cornerstone of our branding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encounter rigorous competition in the firearms industry from both domestic and foreign manufacturers. Although some competitors manufacture as wide a variety of firearms as we do, most of our competitors manufacture only certain types of firearms. We are one of the largest manufacturers of handguns, rifles, and handcuffs in the United States. We compete primarily based upon innovation, quality, reliability, durability, price, performance, consumer brand awareness, and customer service and support. Our customer service organization is proactive in offering timely responses to customer inquiries. We believe we can effectively compete with all our present competitors. Our primary competitors are Colt, Ruger, and Taurus in the revolver market; Glock, Ruger, Sig Sauer, Springfield Armory, and Taurus in the pistol market; Daniel Defense, Diamondback, Ruger, Sig Sauer, and Springfield Armory in the semi-automatic rifle market; and Ruger and Henry in the lever-action rifle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sell our products through a variety of federally licensed distribution channels. Depending upon the product or service, our customers include distributors; federal, state, and municipal law enforcement agencies and officers; government and military agencies; and retailers. We also sell non-serialized parts, accessories, and apparel to retail consumers through our new e-commerce platform.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grant payment terms to most commercial customers ranging from 20 to 60 days. However, in some instances, we provide longer payment terms.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2026, sales into our professional channel accounted for approximately 7.0% of our net sales, which included state and local law enforcement agencies, the federal government, and international customers. The remaining 93.0% of our net sales was through federal firearm licensees to domestic consumers.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is seasonal with sales generally peaking in our fourth fiscal quarter, which ends April 30, because most industry events and distributor shows are normally scheduled during the early spring months. In addition, because of our operating schedule, which includes a summer and a winter shutdown of our manufacturing facilities, we have an increased number of operating days in our fourth fiscal quarter, which allows our shipping and production volumes to exceed other quarters. Seasonality, however, can be disrupted by external events, such as results of federal, state, and local elections and periodic social and political unrest, crime, and other factors that may drive sales or impact channel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of Firearms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business is primarily regulated by the Bureau of Alcohol, Tobacco, Firearms and Explosives, or ATF, which licenses the manufacture, sale, and import of firearms and firearm suppressors in the United States. The ATF conducts periodic audits of our facilities that hold federal firearms licenses.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are also various state laws, regulations, and local ordinances relating to firearm characteristics, features, sales, and firearm magazine capacities. Firearm industry members must comply with federal, state, and local laws, regulations, and ordinances pertaining to firearm, firearm suppressor, magazine, parts, and accessory sales within their jurisdictions. We manufacture several firearm models and magazines in various capacities that comply with those laws, regulations, and ordinances for sales in those states and localities. In Massachusetts, for example, there 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regulations related to the weight of the trigger pull, barrel length, material strength, and independent testing of handguns. California, Connecticut, Maryland, New Jersey, and New York, as well as other states, the District of Columbia, and other localities, have similar laws, ordinances, and restrictions. In addition, certain states and the District of Columbia have implemented laws related to microstamping. Generally, these laws require any new pistols to contain a microstamping mechanism, which must be able to etch or imprint an array of characters that identify the make, model, and serial number of a pistol onto each cartridge case when the pistol is fired. No commercially produced firearm has utilized the microstamping process, which many consider to be infeasible, and we have no plans to utilize any microstamping feature in our firearms. While these microstamping laws do not currently restrict our product offerings because of ongoing viability studies or legal challenges, in the future, they may restrict our ability to sell our products into these jurisdictions.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Warnings and instructions concerning the safe operation of our firearms and firearm suppressors are contained in the safety and instruction manuals included in all boxes in which firearms and firearm suppressors are shipped and are also available for download from our Smith &amp; Wesson and Gemtech websites.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that regulate the health and safety of our workforce, including those regulations monitored by the Occupational Health and Safety Administration, or OSHA, the National Fire Protection Association, and the Department of Public Health. Though not exhaustive, examples of applicable regulations include confined space safety, walking and working surfaces, machine guarding, and life safety.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federal, state, and local environmental laws and regulations concerning, among other things, emissions to the air; discharges to land, surface, subsurface strata and water; and the generation, handling, storage, transportation, treatment, and disposal of hazardous waste and other materials. These laws require us to make significant expenditures of both a capital and expense nature. Several of the more significant federal laws applicable to our operations include the Clean Air Act; the Clean Water Act; the Comprehensive Environmental Response, Compensation and Liability Act, or CERCLA; and the Solid Waste Disposal Act, as amended by the Resource Conservation and Recovery Act, or RCRA.</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required to remediate hazardous waste at our facilities. Currently, we own a designated site in Springfield, Massachusetts that contains two release areas, which are the focus of remediation projects as part of the Massachusetts Contingency Plan, or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and/or individual states under CERCLA or a state equivalent at two sites.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our efforts to satisfy our environmental responsibilities and to comply with environmental laws and regulations, we have established, and periodically update, policies relating to the environmental standards of performance for our operations. We have in place programs that monitor compliance with various federal, state, and local environmental regulations. However, in the normal course of our manufacturing operations, we are subject to governmental proceedings and orders pertaining to waste disposal, air emissions, and water discharges from our operations into the environment. We regularly incur substantial capital and operating costs to comply with environmental laws, including remediation of known environmental conditions which we fund through cash flows from operations. We spent $1.9 million, $1.7 million, and $1.5 million in fiscal 2026, 2025 and 2024, respectively, on environmental compliance, primarily related to disposal fees and containers.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our business, we may become involved in various proceedings relating to environmental health and safety matters, and we are currently engaged in an environmental investigation and remediation. Our manufacturing facilities are located on properties with long histories of industrial use, including the use of hazardous substances. We have identified soil and groundwater contamination at our Springfield facility that we continue to monitor and remediate, as appropriate. Based on the situation, an environmental reserve may be recorded based upon currently enacted laws and regulations, currently available facts, experience in remediation efforts, existing technology, and the ability of other potentially responsible parties or contractually liable parties to pay the allocated portions of any environmental obligations. As of April 30, 2026, we did not have an open environmental reserve recorded in our consolidated balance sheet.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of the cost of resolution of future environmental health and safety proceedings and claims, in part because the scope of the remedies that may be required is not certain, liability under federal environmental laws is joint and several in nature, and environmental laws and regulations are subject to modification and changes in interpretation. Additional or changing environmental regulation may become more burdensome in the future, and any such development could materially and adversely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Creating a positive work environment for our employees is critical to our ability to successfully execute our strategy. We are committed to a strong, healthy culture focused on respect for all employees, creating and sustaining a family atmosphere united under a clear vision, with the understanding of each function and individual’s responsibility for team results, collective pride in our company and our industry, and shared rewards for results. In order to ensure that we embody our values and that our culture remains healthy and strong, we place significant focus on our human resources.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Training &amp; Development</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Attraction, development, and retention of employees is critical to our success. We offer training and development programs to encourage advancement from within, including the following:</w:t>
      </w:r>
    </w:p>
    <w:p>
      <w:pPr>
        <w:spacing w:after="0" w:line="54" w:lineRule="exact"/>
        <w:rPr>
          <w:sz w:val="20"/>
          <w:szCs w:val="20"/>
          <w:color w:val="auto"/>
        </w:rPr>
      </w:pPr>
    </w:p>
    <w:p>
      <w:pPr>
        <w:ind w:left="1260" w:hanging="50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for undergraduate or advanced degrees;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numerical control, or CNC, machine training in conjunction with a local community college;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wastewater treatment operator training leading to licensure;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continuing professional education for our professionally licensed employees;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in-house and cross-functional training to aid with career advancement;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 program for college students.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this training and development leads to more valuable contributions and satisfaction for our employees within their existing roles and also positions employees for roles they aspire to attain. The intern program serves as a talent pipeline for future hires, as well as an opportunity for us to receive fresh perspectives and ideas, to introduce college students to our brand and increase positive employer branding, and to contribute to beneficial community engagement. Finally, we conduct periodic compliance and industry training for employees on various topics that are important to our business, including sexual harassment, anti-corruption, and cybersecurity, among others.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Talent Acquisition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Talent Acquisition team focuses on ensuring that our workforce is representative of the local communities in which we operate and that our business is open and welcoming to everyone. This commitment extends to all levels of our organization, including within senior management and our Board of Directors. We are committed to hiring qualified candidates without regard to race, color, religion, age, gender, sexual orientation, gender identity and expression, national origin, disability, marital status, citizenship status, veteran status, military status, or any other protected category under applicable law.</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Talent Acquisition team emphasizes recruiting and retaining a talented workforce with special focus on hiring veterans, whenever possible.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voluntary turnover for fiscal 2026, 2025, and 2024 was approximately 13%, 15%, and 16%,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utilize third-party tools and databases to review compensation practices on an annual basis to ensure we pay all employees fairly. We engage the services of benefit consultants to provide expert advice on the development of benefit designs and offerings, current market trends, exposure to loss, and various contract provisions. We also partner with various recruiting services to expand our ability to attract a qualified workforce, as needed.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employee assistance program is supplemented by Cigna behavioral health tools in order to support employees’ mental, as well as physical health, needs.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 documented education and training plan to ensure employees are well trained on safety measures throughout the organization. We offer more than 55 different types of training, including lecture, classroom setting, and hands-on training to ensure our employees have the knowledge needed to ensure their safety, as well as the safety of others. The success of our training program has allowed us to maintain a relatively low level of safety claims and reduce lost work hours. Our calendar year 2025 and 2024 total recordable incident rate, or TRIR, of 1.88 and 2.3, respectively, and lost time incident rate, or LTIR, of 0.32 and 0.6, respectively, compares favorably to the latest OSHA industry data. According to OSHA, for our NAICS industry code, the calendar year 2024 and 2023 TRIR was 1.9 and 2.3, and the LTIR was 0.6 and 0.6, respectively. Our calendar year 2025 and 2024 near miss frequency rate was 2.85 and 1.9, respectively, and we did not have any fatalities in either year.</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Total Rewards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Competitive pay and benefits have always been a highlight of our employee experience. We offer comprehensive benefit programs to our employees that allow them flexibility of choice through our total rewards framework of pay and service recognition, health and wellness, financial well-being, work/life balance, culture and community, and learning and development.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committed to ensuring that all of our employees are paid a fair wage. To that end, we offer generous wages and benefits to our employees, including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medical, dental, and vision plan for our employees and their families, for which we pay between 87% and 93% of the total cost;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plan with a company match of up to 3% of the first 6% contributed by the employee;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profit-sharing plan in which employees can earn up to 15% of their eligible earnings based on company profits;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financial planning sessions with a certified financial planner;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annual holidays and a paid time off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and unpaid leaves of absence, including paid family and medical leave for employees working in qualified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and health savings accounts;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disability insurance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fitness center;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discounts;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license-to-carry subsidies and reimbursement for range membership fees.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Annual increases and incentive compensation for salaried and non-operations hourly employees are based on merit, which is communicated to employees upon hire and documented through our talent management program as part of the annual performance review process. Annual increases for hourly operations employees are based on a yearly market analysis for comparable jobs.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Headcount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2026, we had 1,386 employees, including eight part-time employees. None of our employees are represented by a union in collective bargaining with us. Of our employees, 34% have 10 or more years of service with our company and 2% have greater than 25 years of service with our company. We believe that our employee relations are good and that the high quality of our employee base is instrumental to our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5"/>
                <w:szCs w:val="15"/>
                <w:color w:val="auto"/>
              </w:rPr>
            </w:pPr>
          </w:p>
        </w:tc>
        <w:tc>
          <w:tcPr>
            <w:tcW w:w="8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P. Smith</w:t>
            </w:r>
          </w:p>
        </w:tc>
        <w:tc>
          <w:tcPr>
            <w:tcW w:w="7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8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Deana L. McPherson</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55</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 Assistant Secretary</w:t>
            </w: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A. Maxwell</w:t>
            </w:r>
          </w:p>
        </w:tc>
        <w:tc>
          <w:tcPr>
            <w:tcW w:w="7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8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Senior Vice President, General Counsel, Chief Compliance Officer, and Secretary</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Kyle O. Tengwall</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Marketing Officer and Vice President of Corporate Strategy</w:t>
            </w:r>
          </w:p>
        </w:tc>
      </w:tr>
    </w:tbl>
    <w:p>
      <w:pPr>
        <w:spacing w:after="0" w:line="17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 P. Smith </w:t>
      </w:r>
      <w:r>
        <w:rPr>
          <w:rFonts w:ascii="Times New Roman" w:cs="Times New Roman" w:eastAsia="Times New Roman" w:hAnsi="Times New Roman"/>
          <w:sz w:val="18"/>
          <w:szCs w:val="18"/>
          <w:color w:val="auto"/>
        </w:rPr>
        <w:t>has served as President and Chief Executive Officer since 2020. Mr. Smith served as Co-President and Co-Chief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January 2020 to August 2020. Mr. Smith served as President, Manufacturing Services of our company and as President of Manufacturing Services for Smith &amp; Wesson Sales Company (formerly known as American Outdoor Brands Sales Company and Smith &amp; Wesson Corp.), a subsidiary of our company, from 2016 until 2020. Mr. Smith served as Vice President of Manufacturing and Supply Chain Management from 2011 until 2016 and served as Vice President of Supply Chain Management from 2010 until 2011. He was Director Supply Chain Solutions for Alvarez &amp; Marsal Business Consulting, LLC from 2007 until 2010. Mr. Smith held various positions for Ecolab, Inc., a developer and marketer of programs, products, and services for the hospitality, foodservice, healthcare, industrial, and energy markets, from 2001 until 2007, including Program Manager, Acquisition Integration Manager, Senior Manufacturing Planner, Plant Engineer, and Senior Production / Quality Supervisor. Mr. Smith was a Production Supervisor for Bell Aromatics, a manufacturer of flavors and fragrances, from 1999 until 2001.</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Deana L. McPherson </w:t>
      </w:r>
      <w:r>
        <w:rPr>
          <w:rFonts w:ascii="Times New Roman" w:cs="Times New Roman" w:eastAsia="Times New Roman" w:hAnsi="Times New Roman"/>
          <w:sz w:val="18"/>
          <w:szCs w:val="18"/>
          <w:color w:val="auto"/>
        </w:rPr>
        <w:t>has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Treasurer, and Assistant Secretary since 2020.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McPherson served as Vice President, Chief Accounting Officer, Corporate Controller, and Assistant Treasurer from 2017 to 2020. Ms. McPherson served as Vice President, Corporate Controller, and Assistant Treasurer from 2009 to 2017. Ms. McPherson served as Corporate Controller from 2007 to 2009. From 2001 to 2007, Ms. McPherson held a number of increasingly responsible positions for Wood Group PLC, a $5.0 billion international energy services company, including, at her departure, Vice President of Finance for the Heavy Industrial Turbines division. From 1995 to 2001, she served as Accounting Manager of FiberMark DSI, Inc. (formerly Rexam DSI, Inc.), a producer of specialty fiber-based materials in the paper and packaging industry. From 1992 to 1995 she was employed as an auditor at Deloitte &amp; Touche LLP. Ms. McPherson is a Certified Public Accountant registered with the Commonwealth of Massachusetts.</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Kevin A. Maxwell </w:t>
      </w:r>
      <w:r>
        <w:rPr>
          <w:rFonts w:ascii="Times New Roman" w:cs="Times New Roman" w:eastAsia="Times New Roman" w:hAnsi="Times New Roman"/>
          <w:sz w:val="18"/>
          <w:szCs w:val="18"/>
          <w:color w:val="auto"/>
        </w:rPr>
        <w:t>has served as Senior Vice President, General Counsel, Chief Compliance Officer, and Secretary since 2021. From 2016 to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served in leadership positions within the legal department of WestRock Company, a publicly traded paper and packaging company, including as Vice President – Associate General Counsel and Assistant Secretary. From 2010 to 2016, Mr. Maxwell held a number of increasingly responsible positions with Mueller Water Products, Inc., a publicly traded water infrastructure company, including, Vice President – Assistant General Counsel and Assistant Secretary. From 2004 to 2010, he served as a corporate associate in the London and Washington, DC offices of Skadden, Arps, Slate, Meagher &amp; Flom.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Kyle O. Tengwall </w:t>
      </w:r>
      <w:r>
        <w:rPr>
          <w:rFonts w:ascii="Times New Roman" w:cs="Times New Roman" w:eastAsia="Times New Roman" w:hAnsi="Times New Roman"/>
          <w:sz w:val="18"/>
          <w:szCs w:val="18"/>
          <w:color w:val="auto"/>
        </w:rPr>
        <w:t>has served as Chief Marketing Officer and Vice President of Corporate Strategy since August 2025. Mr. Tengwall served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Marketing from 2020 to August 2025. Prior to joining our company, he served as Chief Marketing Officer and General Manager of the Consumer Division at United Tactical Systems, Inc. from 2017 to 2020 and Vice President and General Manager at Duck Commander Inc. (from the TV show Duck Dynasty) from 2014 to 2017. Mr. Tengwall previously held several roles of increasing responsibility from 1999 to 2013 for Vista Outdoors (formerly AlliantTechsystems), a market leader in ammunition, firearms, and accessories and served as an Analytics Consultant for ACNielsen from 1996 to 1998.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summarizes the material risks of purchasing or owning our common stock. Additional unknown risks may also adversely impact our business, operating results, and financial condition. Our business, operating results, and financial condition may be materially and adversely affected by the nature and impact of the risks discussed below, as well as additional unknown risks, in which case the trading price of our common stock could be adversely affected, and investors may lose part or all of the value of their investment. You should carefully consider the risks and uncertainties described below.</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have grouped these risk factors into the following general categories:</w:t>
      </w:r>
    </w:p>
    <w:p>
      <w:pPr>
        <w:spacing w:after="0" w:line="11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economic, political, social, legislative, regulatory, and inflationary factors.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manufacturing, the Relocation, raw materials and component supply, product development and performance, customer demand, and brand recognition.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legal proceedings, product recalls, and other product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intellectual property, information systems, and cybersecurity.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certain business matters and securities markets.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Economic, Political, Social, Legislative, Regulatory, and Inflationary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is impacted by a variety of economic, political, social, legislative, and regulatory factors.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variety of economic, political, social, legislative, regulatory, and inflationary factors could materially and adversely affect our business, operating results, and financial condition.</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business may be adversely impacted by general economic conditions and consumer spending patterns. Consumer spending on discretionary items and demand for our products may be adversely impacted by a number of economic factors, including economic uncertainty, high levels of unemployment, declines in consumer confidence and discretionary income, lack of consumer credit, increases in consumer debt levels, stock market declines, poor weather conditions, high energy prices, increased energy and commodity prices, higher costs for materials and services, high levels of tax, interest rates, inflationary conditions, and increased labor costs. Economic conditions also affect governmental and budgetary policies, which may adversely affect our ability to sell our products to law enforcement, government, and military customers.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business may be adversely impacted by political, social, and related factors. Concerns about presidential, congressional, state, and local elections, and legislative and public policy shifts resulting from those elections, can adversely affect demand for our products. For example, we believe demand for our products was negatively impacted in recent years by unified Republican control of the executive and legislative branches of the federal government as a result of a perceived lower risk of federal gun control legislation and regulation. In addition, speculation surrounding increased gun control at the federal, state, and local level and heightened fears of crime and terrorism can affect consumer demand for our products. These concerns often result in an increase in near-term consumer demand for our products and subsequent softening of demand when these concerns subside. For example, we experienced historic levels of demand for our products in parts of fiscal 2022 and 2021 as a result of the impact of COVID-19 and the social unrest experienced in the United States during the summer of 2020, with demand for our products subsequently returning to more normalized levels. As a result of these significant fluctuations in demand, our operating results can vary significantly from period to period, and we may build and maintain inventory levels that are significantly in excess of customer demand.</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Federal and state legislatures frequently consider laws to regulate firearms, including the amendment or repeal of existing laws. Existing laws may also be affected by future judicial rulings and interpretations. Changes to existing laws or the enactment of new laws may seek to restrict the makeup of firearms, including limiting magazine capacity; mandating the use of certain technologies in a firearm; removing existing legal defenses to lawsuits; or banning the sale and, in some cases, the ownership of various types of firearms and accessories. For example, certain states (i) prohibit the sale of modern sporting rifles; (ii) restrict magazine capacity; (iii) have raised the minimum age for buying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firearms; or (iv) levy excise taxes on firearm, firearm component, and ammunition sales. Certain states have also adopted so called "gun industry accountability" or "firearm industry responsibility" laws that attempt to facilitate the filing of civil lawsuits by the respective state government or private individuals against firearm industry participants. These statutes are being actively enforced, and we are a defendant in one such action.</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Interest in gun control legislation among federal and state legislatures tends to intensify following significant events, such as mass shootings. If restrictive laws or restrictive changes to existing laws are adopted, we could find it difficult, expensive, or even impossible to comply with such laws, which could impede our ability to develop new products and distribute existing products, and it may become more difficult or costly for consumers to purchase our products. In addition, gun-control activists may succeed in imposing restrictions or an outright ban on private firearm ownership or particular firearm models, which could have a material adverse effect on our business, operating results, and financial condition.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these matters, which are largely beyond our control, demand for our products may also be adversely impacted by shortages of ammunition since potential purchasers of our products may choose not to purchase our products unless supplies of ammunition to use with our products are available. Since we do not manufacture ammunition, the supply of ammunition is beyond our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Firearms Compliance.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business, as well as the business of all manufacturers and marketers of firearms and firearm parts, is subject to numerous federal, state, local, and foreign laws, regulations, and protocols, including ATF rules and regulations. If we fail to comply with ATF rules and regulations, the ATF may limit our activities or growth, fine us, or, ultimately, put us out of business.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manufacture, sale, and purchase of firearms are subject to extensive federal, state, and local governmental regulation. The primary federal laws are the National Firearms Act of 1934, or NFA, the Gun Control Act of 1968, or GCA, and the Firearms Owners’ Protection Act of 1986. The NFA severely restricts the private ownership of fully automatic weapons and heavily regulates other firearms defined in that law and accompanying regulations, including firearm suppressors. The GCA places certain restrictions on interstate firearm sales, among other things. Most of our exported products are governed by the U.S. Department of Commerce and regulated by its Bureau of Industry and Security, or BIS, under the Export Administration Regulations. Certain of our exported products are governed by the U.S. Department of State and subject to the International Traffic in Arms Regulations. We are generally required to obtain U.S. government authorization for exports, including licensure or other similar authorization prior to engaging in international transactions. The U.S. government has discretion as to whether to grant a license. In addition, Congress may block a proposed sale of firearms that are export controlled by the Department of State valued at $1 million or more. Consequently, we may not be able to obtain export licenses or complete profitable contracts as a result of political or other reasons that are beyond our control. For example, in 2024, new BIS rules took effect that negatively impacted our international sales – these rules were rescinded in 2025. Failure to receive required licenses or authorizations, or the termination or suspension of our export privileges, could have a material adverse effect on our business, operating results, and financial condition.</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federal requirements, state and local laws and regulations may place additional restrictions or prohibitions on firearm ownership and transfer. These laws and regulations vary significantly from jurisdiction to jurisdiction. Some states or other governmental entities have enacted, and others are considering, laws restricting or prohibiting the ownership, use, sale, or importation of certain categories of firearms, firearm suppressors, ammunition, and ammunition feeding devices. For example, certain states have adopted restrictions on the sale of modern sporting rifles, and other states are considering adopting similar laws. Some states mandate, or are considering mandating, certain design features based on perceived safety or other grounds. California maintains a roster of handguns that are certified for sale in the state, and other states have adopted or are considering adopting similar rosters. Certain of our products have been removed from the California roster in the past (meaning that they can no longer lawfully be sold by retailers) and may be removed in the future. Finally, our ability to sell our products in international markets is impacted by local laws, rules, and regulations in those markets. For example, Canada has banned the sale, purchase, or transfer of various firearms within Canada, subject to certain exceptions. Such laws could have a material adverse effect on our business, operating results,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Existing industry protections may be repealed or affected by judicial rulings. For example, the Protection of Lawful Commerce in Arms Act of 2005, or the PLCAA, was enacted by Congress in 2005 to protect firearms manufacturers and dealers from liability when their legally manufactured and lawfully sold products are later used in criminal acts. The PLCAA (or state law equivalents of the PLCAA) could be repealed, amended, or affected by future judicial rulings and interpretations. If the PLCAA (or state law equivalents of the PLCAA) were repealed, amended, or reinterpreted, firearm manufacturers could face a significant increase in litigation, which could have a material adverse effect on our business, operating results, and financial condition.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Environmental Compliance.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federal, state, and local laws that regulate or otherwise relate to the protection of the environment, including the Clean Air Act, the Clean Water Act, CERCLA, and the Solid Waste Disposal Act, as amended by RCRA. CERCLA and RCRA and related state laws subject us to the potential obligation to remove or mitigate the environmental effects of the disposal or release of certain pollutants at our manufacturing facilities and at third-party or formerly owned or leased sites at which contaminants generated by us may be located. We have incurred and expect to continue to incur expenditures to comply with these requirements. Further, we may become subject to governmental proceedings and orders pertaining to waste disposal, air emissions, and water discharges.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identified soil and groundwater contamination at our Springfield facility, which we continue to monitor and remediate, as appropriate. Environmental matters of this nature are inherently fact-specific and may involve changing regulatory requirements, evolving site conditions, allocation disputes among potentially responsible parties, and uncertainty regarding the nature and extent of any required remedial measures. Accordingly, our actual remediation costs, liabilities, or compliance obligations could exceed current expectations, and we could become subject to additional investigation, remediation, contribution claims, governmental orders, or other restrictions that materially and adversely affect our business, operating results, and financial condition.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we may not have identified all existing contamination on our properties, and our operations may cause contamination in the future. As a result, we could incur additional costs to clean up contamination that exceed the amount of our reserves, and our reserves may increase from time to time. Furthermore, it is not possible to predict with certainty the impact on us of future environmental compliance requirements or the cost to satisfy future regulatory proceedings and claims.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could also be adversely affected by future laws and regulations related to climate change, including laws related to greenhouse gas emissions. These laws and regulations could lead to increased environmental compliance costs and increased energy and raw materials costs, in addition to other impacts.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Employment and Occupational Health and Safety Compliance.</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a number of employment and occupational health and safety laws and regulations, including the Fair Labor Standards Act and the Occupational Safety and Health Act and the rules and regulations promulgated thereunder, that could significantly increase our operating costs and reduce our operational flexibility. In 2024, we settled a matter involving the alleged non-payment of wages and overtime in violation of the Massachusetts Wage Act and Massachusetts Minimum Fair Wage Law.</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Corruption Compliance.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of 1977, or FCPA, and local anti-corruption laws, among other things, prohibit companies and their intermediaries from making improper payments to government officials for the purpose of influencing official decisions. Our efforts to comply with the FCPA, or other applicable anti-corruption laws and regulations, may cause us to limit our international business activities, or result in reducing or impeding our sales growth in numerous foreign countries. Further, our internal control policies and procedures, or those of our vendors, may not adequately protect us from reckless or criminal acts committed or alleged to have been committed by our employees, agents, or vendors. Any such violations could lead to civil or criminal monetary and non-monetary penalties and/or could damage our reputation.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Privacy Compliance.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Changing privacy laws in the United States, Europe, and elsewhere have created new individual privacy rights, imposed increased obligations on companies handling personal data, and increased potential exposure to fines, litigation, and penalties. In 2025, a purported class action matter was filed against us, alleging, among other things, violations of the California Invasion of Privacy Act.</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Compliance with laws, regulations, and other requirements, including those discussed above, is costly and time consuming, and our failure to comply could cause us to incur fines and penalties, lead to restrictions on our ability to manufacture and sell our products and services, or otherwise negatively impact our ability to import or export the products that we sell. Allegations that we have failed to comply with these laws, regulations, and other requirements could also expose us to litigation and harm our reputation. In addition, these laws, regulations, and other requirements may change or be applied or interpreted in ways that will require us to modify our products, subject us to enforcement risk, expose us to reputational harm, or impose on, or require us to incur, additional costs, including substantial compliance costs, which may materially and adversely affect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international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foreign sales and purchases of certain components expose us to various economic, political, and other risks, including the following:</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local laws and regulatory requirements, including adverse changes in those laws and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or interruptions;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imports and exports;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currency conversion or the transfer of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appropriation of our assets without just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tariffs, and duties;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compliance with a variety of foreign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countries in which we conduct business, including possible terrorist acts.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one or more of these risks could materially and adversely affect our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protectionist trade restrictions, including tariffs and potential trade laws.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tariffs on certain of our products, and other of our products could become subject to tariffs in the future. Protectionist trade restrictions, such as changes in tariff structures, export or import compliance laws, or other trade policies in the United States or foreign countries could reduce our ability to sell our products in foreign markets, negatively impact the ability of foreign customers to purchase our products, adversely affect our ability to import products, components, and raw materials from foreign suppliers, and interfere with our supply chain. Tariffs that result in increased costs or adversely impact the availability of imported products, components, or raw materials used in the production of our products could materially and adversely impact our business, operating results, and financial condition. In particular, increased input costs may require us to increase the prices of our products, which may result in lower demand for our products or lower gross margins on such products if we are unable to increase the price of those products to our customers. In addition, the imposition of tariffs on products that we export to international markets could make those products more expensive compared to those of our competitors if we pass the additional costs on to our customers, which may also adversely impact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imposition of significant tariffs on imports from certain countries by the United States has heightened uncertainty in the global trade environment. For example, we have been negatively impacted by the imposition of higher tariffs as a result of recent changes in U.S. tariff policies, and we may continue to be negatively impacted by these policies in the future, as well as by any retaliatory tariffs introduced by the United States’ trading partners. In February 2026, the U.S. Supreme Court issued a ruling limiting the authority of the United States to impose tariffs under the International Emergency Economic Powers Act, creating uncertainty regarding tariffs previously assessed under that statute. The availability, timing, and amount of any tariff refunds remain uncertain and depend on further legal, regulatory, and administrative actions.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tariff environment remains highly uncertain and subject to rapid change. In addition, uncertainty regarding the availability, timing, and amount of any refunds or other relief relating to previously paid duties may affect our cash flows and results in future periods. We cannot predict the scope, timing, or ultimate impact of these developments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levels of inflation have adversely affected us and may continue to adversely affect us.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the markets in which we sell our products, including our primary market in the United States, have experienced high levels of inflation. We believe high levels of inflation have depressed, and may continue to depress, consumer demand for our products as certain firearm consumers have traded down to purchase lower-priced firearms or delayed purchases due to cost concerns. Inflation can also adversely affect us by increasing material, labor, and other costs required to operate and grow our business, which we believe has reduced, and may continue to reduce, our profitability. For example, in response to inflationary pressures, we have experienced increases in the cost of certain of the components, parts, raw materials, and other supplies necessary for the production of our products, and such increases may continue to impact us in the future. Because we typically purchase these supplies based on short-term commitments from our suppliers, we are exposed to risks associated with significant levels of cost inflation. If we are unable to increase our prices to offset the effects of inflation, our business, operating results, and financial condition could be materially and adversely affected.</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Risks Relating to Manufacturing, the Relocation, Raw Materials and Component Supply, Product Development and Performance, Customer Demand, and Brand Recognition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continue to introduce new products that are successful in the marketplace.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continue to conceive, design, produce or source, and market in a timely manner a continuing stream of innovative new products that appeal to consumers, achieve market acceptance, and drive customer satisfaction and loyalty. New product development can be a lengthy and costly process. Any new products that we develop and introduce to the marketplace may be unsuccessful in achieving customer or market acceptance or may achieve success that does not meet our expectations for a variety of reasons, including delays in introduction, unfavorable cost comparisons with alternative products, unfavorable customer or consumer acceptance, and unfavorable performance. Our business, operating results, and financial condition could be materially and adversely affected if we fail to introduce new products that consumers want to buy or we incur significant expenses related to proposed new products that prove to be unsuccessful for any reason.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Consumer preferences include the choice of sales channels. In 2025, we launched a direct-to-consumer e-commerce website for certain apparel and firearm accessories. Legal and regulatory restrictions apply to the sale of certain of the products offered (such as magazines) through our e-commerce website. For example, in January 2026, a new law took effect that imposes restrictions on the sale of firearm accessories to California residents. As a result of this or other laws and regulations, we may be unable to sell or may choose not to sell certain products through our e-commerce website, and any changes in applicable federal or state laws or regulations may impact our ability to sell our products through our e-commerce website. Our efforts to increase our sales on our e-commerce website may not be successful.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Relocation.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Relocation, we continue to be subject to a number of risks, including those associated with meeting the spending, headcount, and wage commitments required to receive and/or retain certain governmental incentives associated with the Relocation. In particular, the compliance period for the award we received from the State of Tennessee Department of Economic and Community Development is defined as January 1, 2027, January 1, 2028, and January 1, 2029. If we fail to meet the performance requirements of the award, we may be required to repay all or a portion of the award amount. Any one or more of these risks could cause us to fail to realize the expected benefits of the Relocation.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facilities are critical to our success, and we may incur business disruptions.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operate in only four facilities located in three locations, and our success depends on our ability to operate each facility efficiently.</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produce key components for most of our products at our Springfield facility, which also houses our principal research, development, engineering, and design functions. We frequently make changes in our manufacturing operations to modernize the facility and associated equipment and systems as a result of the age of the facility and the continued need to introduce efficiencies in manufacturing and other processes. We anticipate that we will continue to incur significant capital and other expenditures with respect to the facility, but we may not be successful in continuing to improve efficiencies. A disruption of the operation of this facility would adversely affect our ability to produce many of our products and serve our customers.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house our management, administrative, assembly (except for revolvers, certain metal pistols, and lever-action rifles, which continue to be manufactured and assembled in the Springfield facility), distribution, and plastic injection molding functions at our Maryville facility. Our Maryville facility includes computer controlled and automated equipment, which is complex and may be subject to risks related to security or computer viruses, the proper operation of software and hardware, electronic or power interruptions, and other system failures.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depend on two facilities in Houlton, which are used primarily to machine our firearm parts and manufacture our handcuffs and restraints.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disruption in the activities of these facilities could adversely affect our firearm manufacturing operations.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operate our facilities depends on numerous factors, including the proper design of the facilities, the ability to employ an adequate number of skilled workers to operate the facilities, the design and operation of computer controlled and automated systems, the design of software systems to operate the facilities, and the integration of the facilities into our ERP system. Difficulties or delays in performing any of these critical tasks could negatively impact our operating results, and a disruption of the operation of these facilities would adversely affect our ability to distribute our products to our customers.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operations at our facilities may be interrupted or impaired by various operating risks, including risks associated with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floods, earthquakes, explosions, natural disasters, severe weather, (including hurricanes, tornados, and droughts), and pandemics, or other similar occurrences;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delivery of raw materials or other manufacturing inputs;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breakdowns or failures;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power failures;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maintenance outages;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 and information system disruptions or failures due to any number of causes, including cyber-attacks;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permit or licensing requirements or revocation of permits or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and hazardous substances;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transportation infrastructure, including roads, bridges, railroad tracks, and tunnels;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equipment and spare parts;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disputes.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Business disruptions may impair our production and distribution capabilities and materially and adversely affect our business, operating results, and financial condition. Given the industry within which we operate and our brand, we may be more likely than other companies to be a target for malicious disruptive activities or physical attacks on our senior leadership team or facilities. The casualty and business interruption insurance that we maintain may not be adequate to protect us from the types and amounts of losses we may incur or from the adverse effects that may be caused by disruptions in our operations, such as the long-term loss of customers or an erosion of our brand image.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supply chain for our production, and any interruptions in these arrangements could disrupt our ability to fill our customers’ orders.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utilize contract manufacturers for a portion of our production requirements, particularly during periods of high customer demand, in order to increase our manufacturing capacity and reduce our capital expenditures for facilities that may not always operate at peak capacity. Qualifying new contract manufacturers is time-consuming and may result in unforeseen disruptions in our operations. The loss of our relationships with our contract manufacturers or their inability to conduct their services for us as anticipated in terms of capacity, cost, quality, and timeliness could adversely affect our ability to fill customer orders in accordance with required delivery, quality, and performance requirements. If this were to occur, the resulting decline in net sales could harm our business.</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ability of our suppliers to effectively satisfy our production requirements could be impacted by their financial difficulty or various operating risks, including catastrophic events, pandemics such as COVID-19, terrorist attacks, natural disasters, interruptions in the delivery of raw materials or other manufacturing supplies, adverse government regulations, or equipment breakdowns or failures. The failure of any supplier to perform to our expectations could result in supply shortages or delays for certain products and product components and harm our business. If we experience significantly increased demand for our products, or if we need to replace an existing supplier, we may be unable to supplement or replace our production capacity on a timely basis or on terms that are acceptable to us, which may increase our costs, reduce our profitability, and harm our ability to deliver our products timely. For certain of our products, it may take a significant amount of time to identify and qualify a supplier that has the capability and resources to meet our product specifications in sufficient volume and satisfy our service and quality control standards. A number of factors related to our suppliers are beyond our control, including political and economic instability in the countries in which they operate, their financial and managerial instability, their failure to meet our standards or production deadlines, their lack of adequate quality control, problems they encounter with production capacity, their labor problems, the availability of raw materials, product quality issues, currency exchange rates, transport availability, cost, inflation, and other factors. Although we have insurance to cover potential loss from most of our suppliers for these events, we could experience losses in excess of our insured limits and any claims for various losses could be denied. In addition, failure to take adequate steps to mitigate the likelihood or potential impact of such events, or to effectively manage such events if they occur, could have a material adverse effect on us, as well as require additional resources to restore our supply chain.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capacity of our contract manufacturers to produce our products also depends upon the cost and availability of raw materials. Our contract manufacturers and other suppliers may not be able to obtain sufficient supply of raw materials, which could result in delays in deliveries of our products by our manufacturers or increased costs. Any shortage of raw materials or inability of a manufacturer to produce or ship our products timely, or at all, could impair our ability to ship orders of our products in a cost-efficient, timely manner. As a result, we could experience cancellations of orders, refusals to accept deliveries, or reductions in our prices and margins, any of which could harm our financial performance, reputation, and operating results.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occasionally received, and may receive in the future, product deliveries from suppliers that fail to conform to our quality control standards. In such circumstances, our inability to utilize those products in production could have a negative effect on our net sales and increase our administrative and shipping costs if we are unable to obtain replacement products in a timely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forecast demand for our products accurately.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often schedule internal production and place orders for product components and raw materials with third-party suppliers before receiving firm orders from our customers. Demand for our products can vary significantly from period to period. If we fail to accurately forecast customer demand, we may experience excess inventory levels or a shortage of products to deliver to our customers. Factors that could affect our ability to accurately forecast demand for our products include the following:</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customer acceptance of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or decrease in consumer demand for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by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which may result in order cancellations or changes in the rate of reorders placed by customers;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economic conditions, and consumer confidence levels, which could reduce demand for discretionary items, such as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 political environment, including debates over the regulation of various consumer products related to our industry.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Internal inventory levels in excess of customer demand may result in inventory write-downs and the sale of excess inventory at discounted prices, which could have a material adverse effect on our business, operating results, and financial condition. Inventory levels in excess of consumer demand within our distribution channel may also impact our ability to sell our internal inventory. For example, inventory levels in the distribution channel were elevated for much of fiscal 2023 as our customers adjusted to more normal levels of demand following the historic levels of demand for our products in parts of fiscal 2022 and 2021, which we believe resulted in lower than anticipated net sales of our internal inventory in fiscal 2023. If we underestimate demand for our products, we and our third-party suppliers may not be able to produce products to meet customer demand, and this could result in delays in the shipment of products and lost net sales, as well as damage to our reputation and customer relationships. Our business, operating results, and financial condition could be materially and adversely impacted if we are unable to forecast demand for our products accurately.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align our capacity with demand for our products.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have been capacity constrained and have been unable to satisfy on a timely basis the demand for some of our products. We believe we have improved our manufacturing productivity by adding capacity, increasing daily production quantities, increasing operational availability of equipment, reducing machinery down time, extending machinery useful life, increasing manufacturing efficiency, and contracting with suppliers to obtain additional finished parts. Future significant increases in demand for our products, if any, may require us to further expand our manufacturing capacity, particularly through the purchase of additional manufacturing equipment and the addition of manufacturing space, and we may not be able to increase our capacity in time to satisfy these increases.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Capacity constraints may prevent us from satisfying customer orders and result in a loss of market share to competitors that are not capacity constrained. At other times, we may suffer excess capacity and increased overhead costs, particularly if we increase our capacity to meet actual or anticipated demand, which decreases or does not materialize. Our business, operating results, and financial condition could be materially and adversely impacted if we fail to align our capacity with demand for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Shortages of and price increases for components, parts, raw materials, and other supplies may delay or reduce our sales and increase our costs.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manufacture most of the components for our firearms, we purchase certain components and parts from third parties, including bolt carriers, rifle receivers, magazines, slides, small parts, barrels, and rifle stocks. We also purchase ammunition for product testing. Most of the major suppliers for our products are U.S.-based and provide materials, components, and parts, such as raw steel, polymer components, and metal-injected-molded components.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become increasingly dependent on a small number of key vendors that supply components and parts for our firearms. We also use numerous raw materials, including steel, wood, lead, brass, and plastics, that we purchase from third-party suppliers to produce and test our products. The price of these raw materials may fluctuate substantially depending on a variety of factors, including demand, weather, supply conditions, transportation costs, energy prices, work stoppages, government regulation, environmental protection, and other unpredictable factors. Inflationary pressures have resulted in increases in the cost of certain of the components, parts, raw materials, and other supplies necessary to produce our products, and such increases may continue to impact us in the future. In addition, uncertainties related to governmental fiscal policies, including increased duties, tariffs, or other trade restrictions, could result in an increase in the price of components, parts, raw materials, and other supplies we purchase from third-party suppliers. In an inflationary environment, we may be unable to raise the price of our products sufficiently to keep up with the rate of inflation, which would reduce our profitability and cash flows.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inability to obtain sufficient quantities of components, parts, raw materials, and other supplies from independent sources necessary to produce our products could result in reduced or delayed sales or lost orders, which could materially and adversely impact our operating results. Many of the components, parts, raw materials, and other supplies used to produce our products are available only from a limited number of suppliers. In most cases, we do not have long-term supply contracts with these suppliers. As a result, we could be subject to increased costs, supply interruptions, and difficulties in obtaining materials and finished products. Our suppliers also may encounter difficulties or increased costs in obtaining the materials necessary to produce the components and parts that we use in our products. The time lost in seeking and acquiring new sources of supply or our inability to locate alternative sources of supply of comparable quality at an acceptable price, or at all, could negatively impact our net sales and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maintaining a high level of brand recognition and a strong reputation are critical to our success, particularly with respect to retaining existing customers and attracting new customers.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we have historically relied on print and electronic media advertising to increase consumer awareness of our brands to increase purchasing intent and conversion, we increasingly rely on other forms of media advertising, including social media and digital marketing. Our future growth and profitability will depend in large part upon the effectiveness and efficiency of our advertising, marketing, public relations, and promotional programs. These brand promotion activities may not be effective, and their efficacy will depend on various factors, including our ability to:</w:t>
      </w:r>
    </w:p>
    <w:p>
      <w:pPr>
        <w:spacing w:after="0" w:line="7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appropriate creative message and media mix and markets for advertising, marketing, and promotional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appropriate markets, media, and specific media vehicles in which to advertise;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most effective and efficient level of spending in each market, media, and specific media vehicle;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marketing costs, including creative and media expenses, in order to maintain acceptable customer acquisition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higher costs, which, in turn, could materially and adversely affect our operating results. Implementing new marketing and advertising strategies also could increase the risk of devoting significant capital and other resources to endeavors that do not prove to be cost effective. We also may incur marketing and advertising expenses in advance of the time we anticipate recognizing revenue associated with such expenses, and our marketing and advertising expenditures may not generate sufficient levels of brand awareness and conversion or result in increased net sales. Even if our marketing and advertising expenses result in increased net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customer base could be adversely affected, and our business, operating results, financial condition, and reputation could suffer.</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Consumers are increasingly using online platforms to learn about firearms. We plan to continue to expand our brand recognition and product loyalty through social media and our websites, with generation of original content. We are subject to de-platforming, whereby our ability to share information on social platforms or websites could be blocked, limiting our ability to reach our customers. In addition, we seek endorsements and support from particular sporting enthusiasts, athletes, or other celebrities for certain of our products and brands, and those products and brands may become personally associated with those individuals. As a result, sales of the endorsed products could be adversely affected if any of those individuals’ images, reputations, or popularity were to be negatively impacted. Also, our internal policies and procedures may not adequately protect us from inappropriate acts committed or alleged to have been committed by our employees or social media partners, including endorsers/influencers, in which case we could be exposed to penalties and other sanctions by the Federal Trade Commission, or FTC, or other regulatory bodies.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Poor product quality or performance, or defects in our products, could harm us.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the value of our brand depends, in part, on the value consumers place on the quality of our products. Poor product quality or performance could adversely impact the value of our brand and materially and adversely impact our business, operating results, and financial condition. We have experienced manufacturing and design issues with respect to certain of our firearms and have initiated product recalls and safety alerts in the past and may experience similar issues in the future that may result in the initiation of product recalls and safety alerts in the future. Based on the volume of products we have shipped into the market, any future recalls, safety alerts, or product liability claims could result in us incurring significant warranty, support, and repair costs. Such incidents could harm our reputation, damage the value of our brands, and cause us to lose business, all of which could materially and adversely affect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operate in highly competitive consumer markets. Competition is primarily based on innovation, quality, reliability, durability, price, performance, consumer brand awareness, and customer service and support. Our inability to compete in one or more of these areas could materially and adversely impact our business, operating results, and financial condition. Our competitors include major domestic and international companies. Competitive conditions could result in pricing pressures, lower sales, reduced profitability, and lower market share. Some of our competitors may have greater financial, technical, marketing, distribution, and other resources and, in certain cases, may have lower cost structures than we have that may afford them competitive advantages. As a result, they may be able to devote greater resources to the promotion and sale of products, negotiate lower prices on raw materials and components, deliver competitive products at lower prices, and introduce new products and respond to customer requirements more effectively and quickly than we can.</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Nearly all of our competitors are privately held, which may give them certain competitive advantages. For example, these competitors may be less focused on maintaining high levels of profitability, which may give them more flexibility to compete aggressively on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making and integrating mergers, acquisitions, and investments, and completing divestitures.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seek to acquire, invest in, or sell companies, assets, or businesses, or enter into joint ventures with third parties. We may not be able to identify suitable targets or purchasers or successfully complete suitable transactions in the future, and completed transactions may not be successful. These transactions create risks, including the following:</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disrupting our ongoing business, including distracting management from our existing businesses;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acquired businesses and personnel into our business, including integrating information technology systems and operations across different cultures and languages and addressing the economic, political, and regulatory risks associated with specific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partners or other ownership structures with shared decision-making authority;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verifying relevant information regarding a business prior to the consummation of the transaction, including the identification and assessment of liabilities, claims, or other circumstances that could result in litigation or regulatory risk exposure;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required regulatory approvals and financing on favorable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employees, contractual relationships,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impairment of assets – for example, in fiscal 2024 we incurred a $1.9 million impairment related to assets formerly utilized at the Columbia facility;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substantial indebtedness to finance an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procedures, and policies at companies we acquire;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of interests of holders of our common stock through the issuance of equity securities.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Mergers, acquisitions, investments, and divestitures may not be successful and may materially and adversely affect our business,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collecting amounts owed to us.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of our customers have experienced, and may in the future experience, credit-related issues. We perform ongoing credit evaluations of customers, but these evaluations may not be completely effective. We generally grant payment terms to most customers ranging from 20 to 60 days and do not generally require collateral. Should more customers than we anticipate experience liquidity issues, or if payment is not received on a timely basis, we may have difficulty collecting amounts owed to us by such customers and our business, operating results, and financial condition could be materially and adversely impacted.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fiscal 2026, sales to two of our customers represented 24.7% of our total net sales, and as of April 30, 2026, these two customers accounted for 30.2% of our total accounts receivable. No other customer represented more than 10% of our fiscal 2026 net sales or accounted for more than 10% of our accounts receivable as of April 30, 2026. For fiscal 2025, sales to one of our customers represented 14.6% of our total net sales, and, as of April 30, 2025, this customer accounted for 36.1% of our total accounts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insurance coverage is expensive and may be difficult to obtain at commercially reasonable rates, or at 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insurance policies are subject to periodic review by our insurers and may not be renewed at all or on similar or favorable terms. Because we manufacture and sell firearms, certain insurance carriers have decided in the past, and may decide in the future, not to insure us. In the past, insurance carriers have chosen either to cancel our insurance coverage or not to submit proposals to insure us in areas such as auto, general liability, and products liability insurance. In addition, if we or other firearm manufacturers sustain significant losses or make significant insurance claims, our ability to obtain future insurance coverage at commercially reasonable rates could be materially and adversely affected. For example, our ability to obtain liability insurance on commercially reasonable terms has been adversely impacted by the $73 million settlement that was announced in 2022 between insurance carriers representing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Remington Outdoor Company and plaintiffs in the </w:t>
      </w:r>
      <w:r>
        <w:rPr>
          <w:rFonts w:ascii="Times New Roman" w:cs="Times New Roman" w:eastAsia="Times New Roman" w:hAnsi="Times New Roman"/>
          <w:sz w:val="18"/>
          <w:szCs w:val="18"/>
          <w:i w:val="1"/>
          <w:iCs w:val="1"/>
          <w:color w:val="auto"/>
        </w:rPr>
        <w:t>Soto v. Bushmaster Firearms International, LLC</w:t>
      </w:r>
      <w:r>
        <w:rPr>
          <w:rFonts w:ascii="Times New Roman" w:cs="Times New Roman" w:eastAsia="Times New Roman" w:hAnsi="Times New Roman"/>
          <w:sz w:val="18"/>
          <w:szCs w:val="18"/>
          <w:color w:val="auto"/>
        </w:rPr>
        <w:t xml:space="preserve"> case. Our liability insurance costs were $8.4 million, $7.8 million, and $8.4 million in fiscal 2026, 2025, and 2024, respectively.</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 inability to obtain liability insurance, significant increases in the cost of the liability insurance we obtain, or losses in excess of our liability insurance coverage, could have a material adverse effect on our business, operating results, and financial condition. In fiscal 2020, we established a wholly owned captive insurance company to help mitigate these risks, but our funding of the insurance company may not adequately cover the cost of claims against us,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Proceedings, Product Recalls, and Other Product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lawsuits and governmental investigations and inquiries.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vigorously defending ourselves in a number of lawsuits. As a result of these or future lawsuits, we may have to pay significant damages or amounts in settlement above insurance coverage. An unfavorable outcome or prolonged litigation could materially and adversely impact our business, operating results, and financial condition. Defending litigation of this nature is also expensive and time consuming and may divert the resources, time, and attention of our management.</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products expose us to potential product liability, warranty liability, and personal injury claims, as well as litigation relating to the use or misuse of our products. These include allegations of defects in manufacturing and design, failure to warn of inherent dangers in the product itself or activities associated with the product, product performance issues, and negligence and strict liability. In addition, we could be subject to future litigation arising out of the criminal misuse of our firearms. If successful, such claims could have a material adverse effect on our business, operating results, and financial condition. Although we maintain product liability insurance in amounts that we believe are reasonable, we may not be able to maintain such insurance on acceptable terms, if at all, and product liability claims may exceed the amount of insurance coverage available to us. Because we manufacture and sell firearms, insurance carriers may decide not to insure our products or our company in the future. In addition, our reputation may be adversely affected by such claims, whether or not successful, including potential negative publicity about our products. Due to the nature of our products, we anticipate that we will continue to be involved in litigation, including product liability cases and claims in the future.</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been and may continue to be subject to governmental investigations and inquiries. Such investigations and inquiries could subject us to various sanctions, including significant civil and criminal penalties, the indictment of our company or various of our officers and employees, our being prevented from bidding on domestic military and government contracts, restriction by the U.S. Government, including by the U.S. Department of State or U.S. Department of Commerce, on exporting our products, private civil litigation arising out of the outcome of the investigations or inquiries, the diversion of time and attention of our management from normal business operations, and a negative impact on the perception of our company by investors, customers, and others. For example, in 2020 the office of the attorney general of New Jersey issued us a subpoena requesting certain business records as part of an investigation into potential violations of the New Jersey Consumer Fraud Act; in 2022, certain gun control activists submitted a petition to the FTC suggesting that the FTC investigate and regulate our industry’s alleged unfair and deceptive advertising; and in 2022, the U.S. House of Representatives Committee on Oversight and Reform issued us a subpoena requesting certain business records as part of an investigation into certain firearm manufacturers, including us. Responding to inquiries and investigations, including through litigation, is time consuming and costly, may disrupt our ongoing business and distract management from operating our business, and may expose us to litigation, including claims raised by private plaintiffs.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the potential for product recalls and product liability and other claims against us.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distributor of non-firearm consumer products, such as handcuffs, we are subject to the U.S. Consumer Products Safety Act of 1972, as amended by the Consumer Product Safety Improvement Act of 2008, which empowers the Consumer Products Safety Commission to exclude from the market products that are found to be unsafe or hazardous, and similar laws under foreign jurisdictions. Under certain circumstances, the Consumer Products Safety Commission or comparable foreign agencies could require us to repurchase or recall one or more of our products. Additionally, other laws and agencies regulate certain consumer products sold by us, and more restrictive laws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regulations may be adopted in the future. Any repurchase or recall of our products could be costly and damage our reputation. If we were required to remove, or we voluntarily remove, our products from the market, our reputation could be tarnished, and we might have large quantities of finished products that we could not sell. We also face exposure to product liability claims if one of our products is alleged to have resulted in property damage, bodily injury, or other adverse effects. In addition to the risk of substantial monetary judgments, fines, or penalties that may result from any governmental investigations, product liability claims, or regulatory actions, such events could result in negative publicity that could harm our reputation, adversely impact the value of our brands, and result in an increase in the cost of producing our products. Similar to product liability claims, we face exposure to class action lawsuits related to the performance, safety, or advertising of our products. Such class action lawsuits could result in substantial monetary judgments, injunctions related to the marketing and sale of products, and potentially harm our reputation.</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fiscal 2020, we formed a wholly owned captive insurance company, which provides product liability insurance to us and our subsidiaries. The product liability insurance that we carry is, in most cases, subject to large self-insured retentions for which we are responsible, and we may not be able to maintain such insurance on acceptable terms, if at all. Further, product liability claims may exceed the amount of insurance coverage. As a result, product recalls or product liability claims could have a material adverse effect on our business, operating results, and financial condition. In addition, we face other types of litigation arising out of alleged defects in our products or otherwise, such as class action lawsuits. Our insurance may not cover certain claims involving alleged defects in our products that do not involve personal injury or property damage.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product liability insurance program is an occurrence-based program based on our current and historical claims experience and the availability and cost of insurance. Our future product liability experience may not be consistent with our past experience and future claims and awards may substantially impact the costs of our insurance programs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produce or source and sell products that create exposure to potential product liability, warranty liability, and personal injury claims and litigation.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products involve or are used in applications and situations that involve risk of personal injury and death. Our products expose us to potential product liability, warranty liability, personal injury claims, and litigation relating to the use or misuse of our products, including allegations of defects in manufacturing, defects in design, a failure to warn of dangers inherent in the product or activities associated with the product, negligence, and strict liability. If successful, such claims could have a material adverse effect on our business, operating results, and financial condition. In addition, defects in our products could reduce demand for our products and result in a decrease in sales and market acceptance and damage to our reputation.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Components used in our products may contain undetected defects that are subsequently discovered at any point in the life of the product. In addition, we obtain many of our finished products and product components from third-party suppliers and may not be able to detect defects in such products or components until after they are sold. Defects in our products may result in a loss of sales, recall expenses, delay in market acceptance, damage to our reputation, and increased warranty costs, which could have a material adverse effect on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Information Systems, and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or obtain the right to use intellectual property from third parties.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protect our intellectual property. We rely on a combination of patents, copyrights, trade secrets, trademarks, trade dress, customer records, monitoring, brand protection services, confidentiality agreements, and other contractual provisions to protect our intellectual property, but these measures may provide only limited protection. Our failure to enforce and protect our intellectual property rights or obtain the right to use necessary intellectual property from third parties may lead to our loss of trademark and service mark rights, brand loyalty, and notoriety among our customers and prospective customers. The scope of any intellectual property to which we have or may obtain rights may not prevent others from developing and selling competing products. In addition, our intellectual property may be held invalid upon challenge, or others may claim rights in,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ownership of, our intellectual property. Moreover, we may become subject to litigation with parties that claim, among other things, that we infringed their patents or other intellectual property rights. The defense and prosecution of patent and other intellectual property claims are costly and time-consuming and could materially and adversely affect our business, operating results, and financial condition.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Patents may not be issued for the patent applications that we have filed or may file in the future. Our issued patents may be challenged, invalidated, or circumvented, and claims of our patents may not be of sufficient scope or strength, or issued in the proper geographic regions, to provide meaningful protection or any commercial advantage. We have registered certain of our trademarks and trade dress in the United States and other countries and have recorded certain of our registered trademarks with customs officials. We may be unable to enforce existing, or obtain new, registrations of trademarks in key markets. Our failure to obtain or enforce such registrations could compromise our ability to protect our trademarks and brands fully and could increase the risk of challenges from third parties to our use of our trademarks and brands.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intellectual property that we own, some of our products and services may use or include intellectual property owned by third parties. As a result, it may be necessary in the future to seek or renew licenses relating to various aspects of our products, processes, and services. We may be unable to obtain or renew such licenses on reasonable terms or at all. In the past, we did not consistently require our employees and consultants to enter into confidentiality agreements, employment agreements, or proprietary information and invention agreements. Therefore, our former employees and consultants, and certain of our current employees, may try to claim some ownership interest in our intellectual property and may use our intellectual property competitively and without appropriate limitations. In addition, our acquired businesses may not have consistently required their employees and consultants to enter into confidentiality agreements, employment agreements, or proprietary information and invention agreements. Claims by such individuals may affect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expenses and devote significant resources in prosecuting others for their unauthorized use of our intellectual property rights.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become involved in litigation regarding patents and other intellectual property rights. Other companies, including our competitors, may develop intellectual property that is similar or superior to our intellectual property, duplicate our intellectual property, or design around our patents and may have or obtain patents or other proprietary rights that would prevent, limit, or interfere with our ability to make, use, or sell our products. Effective intellectual property protection may be unavailable or limited in some foreign countries in which we sell products or from which competing products may be sold. Unauthorized parties may attempt to copy or otherwise use aspects of our intellectual property and products that we regard as proprietary. We may incur substantial expense and devote significant resources to prosecute others for their unauthorized use of our intellectual property rights or to defend against claims that we infringe the intellectual property rights of others.</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such litigation, whether successful or unsuccessful, could be costly and divert valuable resources, which could materially and adversely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the proper functioning of our information systems or other issues with our ERP systems could disrupt our operations.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our information systems to manage our business, data, communications, supply chain, ordering, pricing, billing, inventory replenishment, accounting functions, and other processes. Our systems are subject to damage or interruption from various sources, including computer and telecommunications failures, computer viruses, cybersecurity breaches, attacks by hackers and other breaches, introduction of malware or ransomware, phishing attacks, denial of service attacks, blocking of unauthorized service attacks, vandalism, severe weather conditions, power outages, catastrophic events, terrorism, and human error, and our disaster recovery planning cannot account for all eventualities. If our systems are damaged, fail to function properly, or otherwise become compromised or unavailable, we may incur substantial costs to repair or replace them, and we may experience loss of critical data and interruptions or delays in our ability to perform critical functions, which could materially and adversely affect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require periodic modifications, upgrades, and replacement that subject us to costs and risks, including potential disruption to our internal control structure, substantial capital expenditures, additional administration and operating expenses, retention of sufficiently skilled personnel or outside firms to implement and operate existing or new systems, and other risks and costs of delays or difficulties in transitioning to new or modified systems or of integrating new or modified systems into our current systems. In addition, challenges implementing new or modified technology systems may cause disruptions in our business operations and have an adverse effect on our business operations if not anticipated and appropriately mitigated.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operate our business utilizing SAP, which is a fully integrated ERP system. We continue to implement various modules and additional usages of SAP, including in connection with the Relocation. Any new implementations or usages of SAP could result in a significant disruption to our business, and any disruption could materially and adversely impact our business, operating results, and financial condition. In addition, utilizing SAP has required and will continue to require significant resources and refinement to fully realize the expected benefits of the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including risks related to customer, employee, vendor, and other company data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use information technologies to securely manage operations and various business functions. We rely on various technologies, some of which are managed by third parties, to process, transmit, and store electronic information. In addition, we facilitate a variety of business processes and activities, including reporting on our business and interacting with customers, vendors, and employees. We also collect and store data, including proprietary business information, and may have access to confidential or personal information that is subject to privacy and security laws, regulations, and customer-imposed controls. Our systems are subject to recurring attempts by third parties to access information, manipulate data, or disrupt our operations. Despite our security design and controls and those of our third-party providers, we have in the past experienced, and may in the future become subject to, system damage, disruptions, or shutdowns due to any number of causes, including cyber-attacks, data breaches, employee error or malfeasance, power outages, telecommunication or utility failures, systems failures, service provider failures, natural disasters, or other catastrophic events.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Cybersecurity-related vulnerabilities may remain undetected for an extended period of time. We maintain contingency plans and processes to prevent or mitigate the impact of events arising from these vulnerabilities; however, these events could result in operational disruptions or the misappropriation of sensitive data and, depending on their nature and scope, could lead to the compromise of confidential information, improper use of our systems and networks, manipulation and destruction of data, defective products, production downtimes, operational disruptions, and exposure to liability. Such disruptions or misappropriations and the resulting repercussions, including reputational damage and legal claims or proceedings, may materially and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Certain Business Matters and Securities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involve significant fluctuations.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Various factors contribute to significant periodic and seasonal fluctuations in our operating results. These factors may include the following: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including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and new product introductions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large domestic and international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existing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mix;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new product introductions;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our supply chain;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customer orders relative to our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expenditures in anticipation of future customer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managing production processes and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and availability of labor and finished products, product components, and raw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manage inventory and inventory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other competitive pressures;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in economic, political, social, legislative, regulatory, inflationary, and health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federal or state income tax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our products, the safety of our products, or the use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or timing of our operating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may affect the marketability of our products.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believe that period-to-period comparisons of our operating results may not be meaningful in the short term and our performance in a particular period may not be indicative of our performance in any future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fluctuated widely in the past and may fluctuate widely in the future.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fluctuated widely in the past and may fluctuate widely in the future. Many factors could affect the trading price of our common stock, including the following:</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small public float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and services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performance or changes in recommendations by any securities analysts that follow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political, and market conditions and consumer spending patterns;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reaction to news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investor interest in a firearm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performance of the markets in which we participate;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suppliers and competitors.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market demand for small-capitalization stocks like ours, and price and volume fluctuations in the stock market unrelated to our performance, could result in significant fluctuations in the market price of our common stock. The performance of our common stock could adversely affect our ability to raise equity in the public markets and adversely affect the growth of our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of stockholder activists could cause us to incur substantial costs and divert management’s attention and our resources.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been, and may be in the future, subject to informal private or public inquiries and formal proxy proposals by stockholder activists urging us to take certain corporate actions. Responding to inquiries or proposals can be costly, time-consuming, and disruptive to our operations and could divert the attention of our resources, including those of our management team and other employees. In addition, certain stockholder inquiries and proposals could create perceived uncertainties or concerns as to our future operating environment, legislative environment, strategy direction, or leadership, and could (i) result in the loss of potential business opportunities; (ii) harm our ability to attract or retain investors, customers, and employees; (iii) harm or disrupt our business and financial relationships; (iv) result in consumer boycotts of our products; and (v) cause the trading price of our common stock to experience periods of decline, volatility, or stagnation. Stockholder activists have pressured and may continue to pressure us to adopt actions that are not in the best interests of our company or our stockholders, inconsistent with the legal operation of our business, or contrary to the beliefs of our core consumers, and our reputation could be damaged if our core consumers believe we have adopted the gun control agenda of certain activists. In February 2025, certain stockholder activists filed a stockholder derivative suit against our directors and certain of our officers. Responding to the stockholder activists’ claims has been, and may continue to be, costly and time-consuming. Finally, the actions of stockholder activists may strengthen our competitors, particularly those that are privately held and not subject to these types of gun control focused stockholder activism.</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actions of stockholder activists could materially and adversely impact our business, operating results, and financial condition.</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operate our business efficiently may be adversely impacted if service providers and other businesses that permit firearm-related activities refuse to work with us.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Gun control activists have sought to engineer boycotts of firearm products by service providers to our industry, certain of which discriminate against companies involved with the firearm industry. For example, some financial institutions and insurance companies no longer provide certain services to firearm manufacturers. Gun control activists have also targeted credit card companies, transportation companies, and social media companies, among others. Further, certain law firms refuse to provide services to firearm manufacturers. For example, in 2022, we were notified by a law firm with which we had maintained a long-term relationship that it would no longer provide legal services to us. If additional service providers refuse to work with us, we would need to engage alternative service providers, which may adversely impact the delivery of important services to us and increase our costs. Further, we may be unable to locate suitable alternative service providers. The refusal of service providers and other businesses that permit firearm-related activities to work with us could have a material adverse effect on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challenging market for talent and may fail to attract, motivate, train, and retain qualified personnel, including key personnel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employees with the skills necessary to understand and adapt to our customers’ continuously developing needs. The increasing demand for qualified personnel makes it more difficult for us to attract and retain employees with requisite skill sets, particularly employees with specialized technical and trade experience. Changing demographics and labor work force trends also may result in a loss of knowledge and skills as workers with more tenure and experience retire. The market for both hourly workers and professional workers has been particularly challenging in recent years, and we have incurred higher labor costs as a result. In addition to challenges associated with a competitive labor market, we may also struggle to identify qualified candidates who are comfortable or enthusiastic to work for a firearm business. If we fail to attract, motivate, train, and retain qualified personnel, or if we experience excessive turnover, we may experience declining sales, manufacturing delays or other operating inefficiencies, increased recruiting, training, and relocation costs, or other difficulties, and our business, financial condition, and results of operations may be materially and adversely impacted.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key executive and management personnel to manage our business efficiently and effectively. The loss of these employees, particularly during a challenging market for attracting and retaining employees, could materially and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law could make it more difficult for a third party to acquire us and discourage a takeover.</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in Nevada. Certain provisions of Nevada law and our articles of incorporation and bylaws make it more difficult for a third party to acquire us and make a takeover more difficult to complete, even if such a transaction were in our stockholders’ interest or might result in a premium over the trading price for the shares held by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or AI, may adversely impact our business.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use of AI technology may adversely impact our business (i) by potentially posing risks to our confidential or proprietary information; (ii) by potentially giving rise to legal actions or reputational damage; (iii) if employees misuse AI; or (iv) if we fail to timely and appropriately adopt AI to remain competitive. Our workforce may use AI technology, such as generative AI, which may result in the exposure of our confidential or proprietary information to unauthorized third parties, the misuse of our intellectual property, and claims against us alleging violation of third-party intellectual property rights. Our use of AI technology may also result in inaccurate results and biases that could cause mistakes in our decision-making or other business activities. Further, our training and enforcement of procedures governing the use of AI may not be adequate to safeguard against the unauthorized use of AI technology.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in the past and may identify material weaknesses in our internal control over financial reporting in the future that could result in material misstatements in our financial statements.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fiscal 2025, we identified a material weakness in our control over financial reporting that was remediated in fiscal 2026, and in fiscal 2020 we identified a material weakness in our control over financial reporting that was remediated in fiscal 2021. A material weakness is defined as a deficiency or combination of deficiencies in internal control over financial reporting such that there is a reasonable possibility that a material misstatement of a company's annual or interim financial statements might not be prevented or detected on a timely basis. If our remedial measures related to the material weaknesses that we identified in recent fiscal years are insufficient to address the material weaknesses we identified in recent years, or if additional material weaknesses in our internal control are discovered or occur in the future, our financial statements may contain material misstatements and we could be required to restate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We identify and assess risks from cybersecurity threats by monitoring and evaluating our threat environment and our risk profile using various methods, including conducting scans of the threat environment and conducting threat and vulnerability assessments. Depending on the environment, we implement and maintain various technical, physical, and organizational measures, processes, standards, and policies designed to manage and mitigate material risks from cybersecurity threats, including risk assessments, incident detection and response, end-point detection and response, network security controls, access controls, physical security, systems monitoring, a vendor risk management program, and penetration testing. We work with third parties (including professional services firms, threat intelligence service providers, and penetration testing firms) from time to time that assist us to identify, assess, and manage cybersecurity risks.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information security team reviews enterprise level cybersecurity risks at least annually, and key cybersecurity risks are identified, tracked, monitored, and addressed in alignment with our overall enterprise risk management program.</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third-party service providers to perform certain business functions. We seek to engage reliable and reputable service providers that maintain cybersecurity programs. Depending on the nature of the services provided, the sensitivity and quantity of information processed, and the identity of the service provider, we may review the cybersecurity practices of such provider, contractually impose obligations on the provider, conduct information security risk assessments, and conduct periodic reassessments during their engagement.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have materially affected or are reasonably likely to materially affect us, including our business strategy, results of operations, or financial condition, under the heading “We are subject to cybersecurity risks, including risks related to customer, employee, vendor, and other company data” included as part of our risk factor disclosures at Item 1A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overseeing risks from cybersecurity threats, in accordance with its charter. The Audit Committee holds quarterly meetings and receives periodic reports from our Vice President – Information Technology, who serves as our Chief Information Officer, concerning our significant cybersecurity threats and risks, and the processes we have implemented to address them.</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plays an important role in assessing and managing our material risks from cybersecurity threats. Our Chief Information Officer – which is the management position responsible for assessing and managing material risks from cybersecurity threats – is responsible for developing and implementing our information security program and reporting on cybersecurity matters to the Audit Committee. He has over a decade of experience leading cybersecurity oversight, and leads other members of our information security team, who have professional cybersecurity experience, training, or certifications.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maintain a cyber incident response plan that is designed to provide a framework that will allow us to respond effectively to a cybersecurity incident. A cyber emergency response team, which includes members of our executive leadership team, manages this plan. This team meets periodically to discuss cybersecurity threat trends and related information. Our incident response processes are designed to escalate certain cybersecurity incidents to our cyber emergency response team and include reporting to the Audit Committee for certain cybersecurity incidents.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view cybersecurity threats as a shared responsibility. All new employees with company email addresses receive cybersecurity training as part of their onboarding, as well as annual training. We also periodically publish a cybersecurity newsletter to these employees related to topics such as phishing, social engineering, and insider-threat awareness.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principal operating properties and other significant properties as of April 30, 2026. In general, our operating properties are well maintained, suitably equipped, and in good operating condition.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5"/>
                <w:szCs w:val="15"/>
                <w:color w:val="auto"/>
              </w:rPr>
            </w:pPr>
          </w:p>
        </w:tc>
        <w:tc>
          <w:tcPr>
            <w:tcW w:w="32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5"/>
                <w:szCs w:val="15"/>
                <w:color w:val="auto"/>
              </w:rPr>
            </w:pPr>
          </w:p>
        </w:tc>
        <w:tc>
          <w:tcPr>
            <w:tcW w:w="54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Ownership Status</w:t>
            </w:r>
          </w:p>
        </w:tc>
      </w:tr>
      <w:tr>
        <w:trPr>
          <w:trHeight w:val="20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Maine</w:t>
            </w:r>
          </w:p>
        </w:tc>
        <w:tc>
          <w:tcPr>
            <w:tcW w:w="14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40" w:type="dxa"/>
            <w:vAlign w:val="bottom"/>
            <w:shd w:val="clear" w:color="auto" w:fill="CFF0FC"/>
          </w:tcPr>
          <w:p>
            <w:pPr>
              <w:spacing w:after="0"/>
              <w:rPr>
                <w:sz w:val="18"/>
                <w:szCs w:val="18"/>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Houlton</w:t>
            </w:r>
          </w:p>
        </w:tc>
        <w:tc>
          <w:tcPr>
            <w:tcW w:w="1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Plant</w:t>
            </w:r>
          </w:p>
        </w:tc>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4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40" w:type="dxa"/>
            <w:vAlign w:val="bottom"/>
            <w:shd w:val="clear" w:color="auto" w:fill="CFF0FC"/>
          </w:tcPr>
          <w:p>
            <w:pPr>
              <w:spacing w:after="0"/>
              <w:rPr>
                <w:sz w:val="18"/>
                <w:szCs w:val="18"/>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Plant</w:t>
            </w:r>
          </w:p>
        </w:tc>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14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40" w:type="dxa"/>
            <w:vAlign w:val="bottom"/>
            <w:shd w:val="clear" w:color="auto" w:fill="CFF0FC"/>
          </w:tcPr>
          <w:p>
            <w:pPr>
              <w:spacing w:after="0"/>
              <w:rPr>
                <w:sz w:val="18"/>
                <w:szCs w:val="18"/>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Columbia</w:t>
            </w:r>
          </w:p>
        </w:tc>
        <w:tc>
          <w:tcPr>
            <w:tcW w:w="1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Office &amp; Warehouse</w:t>
            </w:r>
          </w:p>
        </w:tc>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 — Assigned to a third party</w:t>
            </w: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Tennessee</w:t>
            </w:r>
          </w:p>
        </w:tc>
        <w:tc>
          <w:tcPr>
            <w:tcW w:w="14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40" w:type="dxa"/>
            <w:vAlign w:val="bottom"/>
            <w:shd w:val="clear" w:color="auto" w:fill="CFF0FC"/>
          </w:tcPr>
          <w:p>
            <w:pPr>
              <w:spacing w:after="0"/>
              <w:rPr>
                <w:sz w:val="18"/>
                <w:szCs w:val="18"/>
                <w:color w:val="auto"/>
              </w:rPr>
            </w:pPr>
          </w:p>
        </w:tc>
      </w:tr>
      <w:tr>
        <w:trPr>
          <w:trHeight w:val="198"/>
        </w:trPr>
        <w:tc>
          <w:tcPr>
            <w:tcW w:w="2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Maryville</w:t>
            </w:r>
          </w:p>
        </w:tc>
        <w:tc>
          <w:tcPr>
            <w:tcW w:w="140" w:type="dxa"/>
            <w:vAlign w:val="bottom"/>
          </w:tcPr>
          <w:p>
            <w:pPr>
              <w:spacing w:after="0"/>
              <w:rPr>
                <w:sz w:val="17"/>
                <w:szCs w:val="17"/>
                <w:color w:val="auto"/>
              </w:rPr>
            </w:pPr>
          </w:p>
        </w:tc>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Executive Offices &amp; Plant</w:t>
            </w:r>
          </w:p>
        </w:tc>
        <w:tc>
          <w:tcPr>
            <w:tcW w:w="55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Owned — Subject to the terms of certain real property and tax incentive</w:t>
            </w: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agreements</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our material legal proceedings, including certain environmental matters, is discussed in Note 14 to our consolidated financial statements,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“SWBI.” Our common stock was previously traded on the Nasdaq Global Select Market under the symbol “AOBC” from January 1, 2017 to June 1, 2020 and under the symbol “SWHC” from July 20, 2006 to January 1, 2017. The holders of our common stock are entitled to one vote per share on any matter to be voted upon by our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June 15, 2026, there were 872 record holders of our common stock. A substantially greater number of holders of common stock are “street name” or beneficial holders, whose shares are held of record by banks, brokers, and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paid dividends on a quarterly basis since August 2020. Quarterly dividends, when declared, are paid approximately four weeks after earnings are announced. Payment of any cash dividends depends on our financial condition, operating results, and capital requirements as well as other factors deemed relevant by our Board of Directors. We paid dividends totaling $23.2 million and $23.1 million during fiscal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equity compensation plan information, refer to Item 12 (Security Ownership of Certain Beneficial Owners and Management and Related Stockholder Matters) in Part III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line graph compares cumulative total stockholder returns for the five years ended April 30, 2026 for (i) our common stock, (ii) the Russell 2000 Index, and (iii) the S&amp;P Composite 1500 Leisure Products Index (S&amp;P 1500 Leisure Products on the graph below). The graph assumes an investment of $100 on April 30, 2021, with dividends reinvested. The performance shown is not necessarily indicative of future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Among Smith &amp; Wesson Brands, Inc., The Russell 2000 Index,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171450</wp:posOffset>
            </wp:positionV>
            <wp:extent cx="4989195" cy="2820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8919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April 30, 2021 in stock or index — including reinvestment of dividends. Fiscal year ending April 30.</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April 30, 2026, there were no purchases of our common stock by us nor any affiliated purchasers within the meaning of Rule 10b-18(a)(3)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in conjunction with our consolidated financial statements and the related notes thereto contained elsewhere in this Annual Report on Form 10-K. This discussion contains forward-looking statements that involve risks, uncertainties, and assumptions. Our actual results may differ materially from those anticipated in these forward-looking statements as a result of a variety of factors, including those set forth under Item 1A, “Risk Factors” and elsewhere in this Annual Report on Form 10-K.</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generally discusses year-to-year comparisons between fiscal 2026 and fiscal 2025. A discussion of our results of operations, liquidity, and capital resources for fiscal 2025 compared with fiscal 2024 is not included in this Annual Report on Form 10-K and can be found in Part II, Item 7, "Management's Discussion and Analysis of Financial Condition and Results of Operations" of our Annual Report on Form 10-K for fiscal 2025, filed with the SEC on June 20,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Highlights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fiscal 2026 included the following:</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$523.8 million represented an increase of $49.2 million, or 10.4%, over the prior fiscal year.</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$13.9 million, or 10.9%, over the prior fiscal year, primarily because of higher sales volume. Gross margin increased by ten basis points from the prior fiscal year primarily due to lower promotional costs and lower federal firearms excise taxes, partially offset by unfavorable fixed-cost absorption and a 100-basis point impact from higher tariffs.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$18.5 million, or $0.41 per diluted share, compared with net income of $13.4 million, or $0.30 per diluted share, for the prior fiscal year.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2026, we paid $23.2 million in dividends compared with $23.1 million in fiscal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2026, we repaid $60.0 million on our revolving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evaluate the performance of our business based upon operating profit and net income, which includes net sales, cost of sales, selling and administrative expenses, and certain components of other income and expense. We also track our return on invested capital, and we use adjusted EBITDAS (earnings before interest, taxes, depreciation, amortization, and stock-based compensation expense, excluding certain non-operational items), which is a non-GAAP financial metric, as a supplemental measure of our performance in order to provide investors with an improved understanding of underlying performance trends. We evaluate the performance of our products using measurements such as gross margin per unit produced, units produced per day, revenue by trade channel, and incoming orders per day.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Factors that Impact the Firearm Industry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firearm industry has been subject to many external factors in the past that have significantly increased the volatility of revenue generated by companies within the industry. These factors include, among others, fears surrounding crime and terrorism; significant news events; potential restrictions on the sale or makeup of firearms; actual and potential legislative, judicial, and regulatory actions; economic changes; and changes in the social and political environment, including congressional and presidential elections.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further discussion of external factors that impact the firearm industry. Although these external factors have created demand surges and volatility in the firearm market, and often make it difficult to predict demand, we believe that those external factors have also likely contributed to a long-term increase in consumer interest in firearms. We estimate that the annual domestic non-military firearm market is approximately $2.7 billion for handguns and $1.7 billion for long guns, excluding shotguns, based on the latest data for industry shipments as calculated by the National Shooting Sports Foundation, or NSSF, utilizing Firearms and Ammunition Excise Tax data for calendar year 2024. According to calendar 2025 reports by the ATF, the U.S. firearm manufacturing industry grew at a 6.2% compound annual growth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rate in units from 2019 through 2024, although there has been wide variation among years (e.g., 2019 to 2020 grew 58.0%). We believe that this expanding base of consumers combined with our strong brand reputation and attractive price points lend support to our goal of continuing to increase our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fiscal years ended April 30, 2026, 2025, and 2024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394,404</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331,936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62,468</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381,898</w:t>
            </w:r>
          </w:p>
        </w:tc>
        <w:tc>
          <w:tcPr>
            <w:tcW w:w="18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(13,475)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116,491</w:t>
            </w:r>
          </w:p>
        </w:tc>
        <w:tc>
          <w:tcPr>
            <w:tcW w:w="180" w:type="dxa"/>
            <w:vAlign w:val="bottom"/>
          </w:tcPr>
          <w:p>
            <w:pPr>
              <w:spacing w:after="0"/>
              <w:rPr>
                <w:sz w:val="18"/>
                <w:szCs w:val="18"/>
                <w:color w:val="auto"/>
              </w:rPr>
            </w:pPr>
          </w:p>
        </w:tc>
      </w:tr>
      <w:tr>
        <w:trPr>
          <w:trHeight w:val="216"/>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38,960</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37,444</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523,845</w:t>
            </w:r>
          </w:p>
        </w:tc>
        <w:tc>
          <w:tcPr>
            <w:tcW w:w="2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474,661</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49,184</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535,833</w:t>
            </w:r>
          </w:p>
        </w:tc>
        <w:tc>
          <w:tcPr>
            <w:tcW w:w="180" w:type="dxa"/>
            <w:vAlign w:val="bottom"/>
          </w:tcPr>
          <w:p>
            <w:pPr>
              <w:spacing w:after="0"/>
              <w:rPr>
                <w:sz w:val="18"/>
                <w:szCs w:val="18"/>
                <w:color w:val="auto"/>
              </w:rPr>
            </w:pPr>
          </w:p>
        </w:tc>
      </w:tr>
      <w:tr>
        <w:trPr>
          <w:trHeight w:val="216"/>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382,742</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347,478</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35,264</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377,740</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141,103</w:t>
            </w:r>
          </w:p>
        </w:tc>
        <w:tc>
          <w:tcPr>
            <w:tcW w:w="2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127,183</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158,093</w:t>
            </w:r>
          </w:p>
        </w:tc>
        <w:tc>
          <w:tcPr>
            <w:tcW w:w="180" w:type="dxa"/>
            <w:vAlign w:val="bottom"/>
          </w:tcPr>
          <w:p>
            <w:pPr>
              <w:spacing w:after="0"/>
              <w:rPr>
                <w:sz w:val="18"/>
                <w:szCs w:val="18"/>
                <w:color w:val="auto"/>
              </w:rPr>
            </w:pPr>
          </w:p>
        </w:tc>
      </w:tr>
      <w:tr>
        <w:trPr>
          <w:trHeight w:val="216"/>
        </w:trPr>
        <w:tc>
          <w:tcPr>
            <w:tcW w:w="4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-565150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-565150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-565150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-565150</wp:posOffset>
            </wp:positionV>
            <wp:extent cx="1117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-282575</wp:posOffset>
            </wp:positionV>
            <wp:extent cx="111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-282575</wp:posOffset>
            </wp:positionV>
            <wp:extent cx="111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-282575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-282575</wp:posOffset>
            </wp:positionV>
            <wp:extent cx="111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units shipped by trade channel for the fiscal years ended April 30, 2026, 2025, and 2024 (units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980" w:type="dxa"/>
            <w:vAlign w:val="bottom"/>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1740" w:type="dxa"/>
            <w:vAlign w:val="bottom"/>
            <w:vMerge w:val="restart"/>
          </w:tcPr>
          <w:p>
            <w:pPr>
              <w:spacing w:after="0"/>
              <w:rPr>
                <w:sz w:val="15"/>
                <w:szCs w:val="15"/>
                <w:color w:val="auto"/>
              </w:rPr>
            </w:pPr>
          </w:p>
        </w:tc>
        <w:tc>
          <w:tcPr>
            <w:tcW w:w="11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vMerge w:val="restart"/>
          </w:tcPr>
          <w:p>
            <w:pPr>
              <w:spacing w:after="0"/>
              <w:rPr>
                <w:sz w:val="15"/>
                <w:szCs w:val="15"/>
                <w:color w:val="auto"/>
              </w:rPr>
            </w:pPr>
          </w:p>
        </w:tc>
        <w:tc>
          <w:tcPr>
            <w:tcW w:w="12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vMerge w:val="restart"/>
          </w:tcPr>
          <w:p>
            <w:pPr>
              <w:spacing w:after="0"/>
              <w:rPr>
                <w:sz w:val="15"/>
                <w:szCs w:val="15"/>
                <w:color w:val="auto"/>
              </w:rPr>
            </w:pPr>
          </w:p>
        </w:tc>
        <w:tc>
          <w:tcPr>
            <w:tcW w:w="122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2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740" w:type="dxa"/>
            <w:vAlign w:val="bottom"/>
            <w:vMerge w:val="continue"/>
          </w:tcPr>
          <w:p>
            <w:pPr>
              <w:spacing w:after="0"/>
              <w:rPr>
                <w:sz w:val="2"/>
                <w:szCs w:val="2"/>
                <w:color w:val="auto"/>
              </w:rPr>
            </w:pPr>
          </w:p>
        </w:tc>
        <w:tc>
          <w:tcPr>
            <w:tcW w:w="1180" w:type="dxa"/>
            <w:vAlign w:val="bottom"/>
            <w:tcBorders>
              <w:bottom w:val="single" w:sz="8" w:color="auto"/>
            </w:tcBorders>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180" w:type="dxa"/>
            <w:vAlign w:val="bottom"/>
            <w:tcBorders>
              <w:bottom w:val="single" w:sz="8" w:color="auto"/>
            </w:tcBorders>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2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1740" w:type="dxa"/>
            <w:vAlign w:val="bottom"/>
            <w:vMerge w:val="restart"/>
          </w:tcPr>
          <w:p>
            <w:pPr>
              <w:spacing w:after="0"/>
              <w:rPr>
                <w:sz w:val="24"/>
                <w:szCs w:val="24"/>
                <w:color w:val="auto"/>
              </w:rPr>
            </w:pPr>
          </w:p>
        </w:tc>
        <w:tc>
          <w:tcPr>
            <w:tcW w:w="11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vMerge w:val="restart"/>
          </w:tcPr>
          <w:p>
            <w:pPr>
              <w:spacing w:after="0"/>
              <w:rPr>
                <w:sz w:val="24"/>
                <w:szCs w:val="24"/>
                <w:color w:val="auto"/>
              </w:rPr>
            </w:pPr>
          </w:p>
        </w:tc>
        <w:tc>
          <w:tcPr>
            <w:tcW w:w="12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4"/>
                <w:szCs w:val="24"/>
                <w:color w:val="auto"/>
              </w:rPr>
            </w:pPr>
          </w:p>
        </w:tc>
        <w:tc>
          <w:tcPr>
            <w:tcW w:w="12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24"/>
                <w:szCs w:val="24"/>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vMerge w:val="restart"/>
          </w:tcPr>
          <w:p>
            <w:pPr>
              <w:spacing w:after="0"/>
              <w:rPr>
                <w:sz w:val="24"/>
                <w:szCs w:val="24"/>
                <w:color w:val="auto"/>
              </w:rPr>
            </w:pPr>
          </w:p>
        </w:tc>
        <w:tc>
          <w:tcPr>
            <w:tcW w:w="122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180" w:type="dxa"/>
            <w:vAlign w:val="bottom"/>
            <w:tcBorders>
              <w:bottom w:val="single" w:sz="8" w:color="auto"/>
            </w:tcBorders>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180" w:type="dxa"/>
            <w:vAlign w:val="bottom"/>
            <w:tcBorders>
              <w:bottom w:val="single" w:sz="8" w:color="auto"/>
            </w:tcBorders>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2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1960" w:type="dxa"/>
            <w:vAlign w:val="bottom"/>
            <w:gridSpan w:val="2"/>
            <w:vMerge w:val="restart"/>
          </w:tcPr>
          <w:p>
            <w:pPr>
              <w:spacing w:after="0"/>
              <w:rPr>
                <w:sz w:val="24"/>
                <w:szCs w:val="24"/>
                <w:color w:val="auto"/>
              </w:rPr>
            </w:pPr>
          </w:p>
        </w:tc>
        <w:tc>
          <w:tcPr>
            <w:tcW w:w="11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vMerge w:val="restart"/>
          </w:tcPr>
          <w:p>
            <w:pPr>
              <w:spacing w:after="0"/>
              <w:rPr>
                <w:sz w:val="24"/>
                <w:szCs w:val="24"/>
                <w:color w:val="auto"/>
              </w:rPr>
            </w:pPr>
          </w:p>
        </w:tc>
        <w:tc>
          <w:tcPr>
            <w:tcW w:w="12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4"/>
                <w:szCs w:val="24"/>
                <w:color w:val="auto"/>
              </w:rPr>
            </w:pPr>
          </w:p>
        </w:tc>
        <w:tc>
          <w:tcPr>
            <w:tcW w:w="12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24"/>
                <w:szCs w:val="24"/>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vMerge w:val="restart"/>
          </w:tcPr>
          <w:p>
            <w:pPr>
              <w:spacing w:after="0"/>
              <w:rPr>
                <w:sz w:val="24"/>
                <w:szCs w:val="24"/>
                <w:color w:val="auto"/>
              </w:rPr>
            </w:pPr>
          </w:p>
        </w:tc>
        <w:tc>
          <w:tcPr>
            <w:tcW w:w="122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220" w:type="dxa"/>
            <w:vAlign w:val="bottom"/>
            <w:gridSpan w:val="2"/>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180" w:type="dxa"/>
            <w:vAlign w:val="bottom"/>
            <w:tcBorders>
              <w:bottom w:val="single" w:sz="8" w:color="auto"/>
            </w:tcBorders>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180" w:type="dxa"/>
            <w:vAlign w:val="bottom"/>
            <w:tcBorders>
              <w:bottom w:val="single" w:sz="8" w:color="auto"/>
            </w:tcBorders>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2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handguns increased $62.5 million, or 18.8%, over fiscal 2025, primarily as a result of increased shipments of newly introduced products (defined as any new SKU not shipped in the prior year), higher consumer demand, and a 2% to 3% price increase on select products that became effective on January 1, 2026. Shipments of new products represented 43.6% of handgun sales in the period. Handgun unit shipments into the sporting goods channel increased 19.0% over fiscal 2025, while overall consumer demand decreased 0.2% (as indicated by adjusted background checks for handguns reported to the National Instant Criminal Background Check System, or NICS).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Sales of our long guns decreased $13.5 million, or 13.0%, from fiscal 2025, primarily as a result of the timing of new product launches in fiscal 2025, which were at higher selling prices, combined with lower consumer demand during fiscal 2026. Shipments of new products represented 30.6% of long gun sales in the period. Long gun unit shipments into the sporting goods channel decreased 5.7% from fiscal 2025, while overall consumer demand for long guns decreased 4.6% (as indicated by NICS).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sales increased $191,000, or 0.5%, over fiscal 2025, as higher e-commerce and suppressor sales offset lower business-to-business sales. Lower business-to-business sales resulted from the closure of our Deep River facility in fiscal 2025 as part of the Relocation.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New products represented 38.1% of net sales for the year ended April 30, 2026 and included four new pistols, four new long guns, and many new product line extensions.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Gross margin for fiscal 2026 was 26.9% compared with 26.8% for fiscal 2025, primarily due to lower promotional costs and lower federal firearms excise taxes as a result of the favorable completion of a recent audit, partially offset by unfavorable fixed-cost absorption from lower production volumes combined with higher tariffs on imported materials and components. We estimate that higher tariffs negatively impacted gross margin by approximately 100 basis points when compared to the comparable period last year.</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balances declined $33.6 million between April 30, 2025 and April 30, 2026 as a result of our proactive inventory management and production planning efforts intended to optimize inventory levels and cash flows.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to increase modestly during fiscal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fiscal years ended April 30, 2026, 2025, and 2024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18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6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63,133</w:t>
            </w:r>
          </w:p>
        </w:tc>
        <w:tc>
          <w:tcPr>
            <w:tcW w:w="1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111,892</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103,299</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6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110,991</w:t>
            </w:r>
          </w:p>
        </w:tc>
        <w:tc>
          <w:tcPr>
            <w:tcW w:w="180" w:type="dxa"/>
            <w:vAlign w:val="bottom"/>
            <w:shd w:val="clear" w:color="auto" w:fill="CFF0FC"/>
          </w:tcPr>
          <w:p>
            <w:pPr>
              <w:spacing w:after="0"/>
              <w:rPr>
                <w:sz w:val="18"/>
                <w:szCs w:val="18"/>
                <w:color w:val="auto"/>
              </w:rPr>
            </w:pPr>
          </w:p>
        </w:tc>
      </w:tr>
      <w:tr>
        <w:trPr>
          <w:trHeight w:val="234"/>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r>
    </w:tbl>
    <w:p>
      <w:pPr>
        <w:spacing w:after="0" w:line="20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$737,000 because of higher tooling-related costs, partially offset by materials and testing costs, which were elevated in the prior year. Selling, marketing, and distribution expenses increased $284,000, primarily as a result of higher profit-related compensation expenses and one-time costs related to the grand opening event for the Academy, partially offset by lower promotional costs. General and administrative expenses increased $5.1 million over the prior year, primarily as a result of higher profit-related and stock-based compensation expenses, and higher legal expenses. During fiscal 2025, we sold certain real estate located adjacent to our former distribution center located in Columbia, Missouri for $2.3 million, net of transaction costs, and recognized a $2.3 million pre-tax gain on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fiscal years ended April 30, 2026, 2025, and 2024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8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180" w:type="dxa"/>
            <w:vAlign w:val="bottom"/>
            <w:shd w:val="clear" w:color="auto" w:fill="CFF0FC"/>
          </w:tcPr>
          <w:p>
            <w:pPr>
              <w:spacing w:after="0"/>
              <w:rPr>
                <w:sz w:val="18"/>
                <w:szCs w:val="18"/>
                <w:color w:val="auto"/>
              </w:rPr>
            </w:pPr>
          </w:p>
        </w:tc>
      </w:tr>
      <w:tr>
        <w:trPr>
          <w:trHeight w:val="234"/>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Operating income for fiscal 2026 increased $5.3 million, or 22.3%, over the prior fiscal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 net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other income for the fiscal years ended April 30, 2026, 2025, and 2024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NM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for fiscal 2026 increased $686,000, primarily as a result of investment income on our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fiscal years ended April 30, 2026, 2025, and 2024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(4,810)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(4,622)</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(2,055)</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increased by $188,000, primarily as a result of lower average cash balances, partially offset by lower average interest rates on debt and lower average debt balances during fiscal 2026 compared with fiscal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fiscal years ended April 30, 2026, 2025, and 2024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5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shd w:val="clear" w:color="auto" w:fill="CFF0FC"/>
          </w:tcPr>
          <w:p>
            <w:pPr>
              <w:spacing w:after="0"/>
              <w:rPr>
                <w:sz w:val="18"/>
                <w:szCs w:val="18"/>
                <w:color w:val="auto"/>
              </w:rPr>
            </w:pPr>
          </w:p>
        </w:tc>
      </w:tr>
      <w:tr>
        <w:trPr>
          <w:trHeight w:val="198"/>
        </w:trPr>
        <w:tc>
          <w:tcPr>
            <w:tcW w:w="39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of income from operations (effective tax</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$6.6 million for fiscal 2026, $769,000 higher than the prior fiscal year, primarily because of increased profitability. Our effective tax rates were 26.3% and 30.2% for fiscal 2026 and 2025, respectively. The 2026 rate was impacted favorably as a result of a decrease in state taxable income from the prior year and favorable return to provision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fiscal years ended April 30, 2026, 2025, and 2024 (dollars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FF0FC"/>
          </w:tcPr>
          <w:p>
            <w:pPr>
              <w:spacing w:after="0"/>
              <w:rPr>
                <w:sz w:val="18"/>
                <w:szCs w:val="18"/>
                <w:color w:val="auto"/>
              </w:rPr>
            </w:pPr>
          </w:p>
        </w:tc>
      </w:tr>
      <w:tr>
        <w:trPr>
          <w:trHeight w:val="234"/>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income increased $5.1 million, or $0.11 per diluted share, over fiscal 2025 primarily for reasons outlined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principal cash requirements are to finance the growth of our operations, including working capital and capital expenditures, and return capital to our stockholders. Capital expenditures for new product development and repair and replacement of equipment represent important cash needs.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fiscal years ended April 30, 2026, 2025, and 2024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114,195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(7,223)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121,418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106,739</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(9,067)</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(81,490)</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(82,996)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(73,784)</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(17,966)</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flow</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(35,608)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38,567</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activities generally represent the principal source of our cash flow.</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was $114.2 million in fiscal 2026 compared with $7.2 million of cash used in fiscal 2025. Cash provided by operating activities in fiscal 2026 was favorably impacted by a $33.6 million decrease in inventory compared with a $29.3 million increase in inventory in fiscal 2025, a $5.4 million increase in accounts payable compared with a $14.8 million decrease in accounts payable in fiscal 2025, a $6.1 million increase in accrued payroll and incentives compared with an $8.1 million decrease in accrued payroll and incentives in fiscal 2025, a $15.8 million decrease in accounts receivable compared with a $3.2 million decrease in accounts receivable in fiscal 2025, a $519,000 increase in accrued profit sharing compared with a $4.5 million decrease in accrued profit sharing in fiscal 2025, and higher net income. Cash provided by operating activities in fiscal 2026 was unfavorably impacted by a $3.0 million decrease in accrued expenses and deferred revenue compared with a $268,000 decrease in accrued expenses and deferred revenue in fiscal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$9.1 million for the fiscal 2026 compared with fiscal 2025, primarily as a result of $4.6 million of purchases of marketable securities during fiscal 2026, a $2.1 million increase in capital expenditures related to the Academy, and $2.3 million of proceeds included in fiscal 2025 related to the sale of certain real estate located adjacent to our former distribution center located in Columbia, Missouri.</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expect to spend $40.0 to $45.0 million on capital expenditures in fiscal 2027.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used by financing activities was $83.0 million for fiscal 2026 compared with $9.2 million for fiscal 2025. Cash used by financing activities during fiscal 2026 was primarily the result of $60.0 million in net repayments under our revolving line of credit and $23.2 million in dividend distributions. Cash used in financing activities for fiscal 2025 was primarily the result of $40.0 million of net borrowings, $25.5 million of stock repurchases, and $23.1 million in dividend distributions. We had no stock repurchases during fiscal 2026.</w:t>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We entered into the Second Amended and Restated Credit Agreement on October 3, 2024. The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provides for a revolving line of credit of $175.0 million at any one time, or the Revolving Line. The Revolving Line bears interest at either the Base Rate (as defined in the Second Amended and Restated Credit Agreement) or the Adjusted Term SOFR rate (as defined in the Second Amended and Restated Credit Agreement),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Adjusted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April 30, 2026, we had $20.0 million of borrowings outstanding on the Revolving Line, bearing interest at an average rate of 5.72%, which was equal to the Adjusted Term SOFR rate plus an applicable margin.</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for the Revolving Line contains financial covenants relating to maintaining a maximum leverage ratio and a minimum debt service coverage ratio. We were in compliance with all debt covenants as of April 30, 2026.</w:t>
      </w:r>
    </w:p>
    <w:p>
      <w:pPr>
        <w:spacing w:after="0" w:line="16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Programs – </w:t>
      </w:r>
      <w:r>
        <w:rPr>
          <w:rFonts w:ascii="Times New Roman" w:cs="Times New Roman" w:eastAsia="Times New Roman" w:hAnsi="Times New Roman"/>
          <w:sz w:val="18"/>
          <w:szCs w:val="18"/>
          <w:color w:val="auto"/>
        </w:rPr>
        <w:t>On September 19, 2023, our Board of Directors authorized the repurchase of up to $50.0 million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certain conditions, in the open market or in privately negotiated transactions through September 19, 2024, or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April 30, 2026, we had repurchased 312,310 shares of our common stock for $4.1 million under the 2024 Authorization. On September 15, 2025, our Board of Directors authorized the repurchase of up to $50.0 million of our common stock, subject to certain conditions, in the open market or in privately negotiated transactions from September 21, 2025 through September 21, 2026, or the 2025 Authorization. As of April 30, 2026, we had not repurchased any shares of our common stock under the 2025 Authorization.</w:t>
      </w:r>
    </w:p>
    <w:p>
      <w:pPr>
        <w:spacing w:after="0" w:line="18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Finance Lease – </w:t>
      </w:r>
      <w:r>
        <w:rPr>
          <w:rFonts w:ascii="Times New Roman" w:cs="Times New Roman" w:eastAsia="Times New Roman" w:hAnsi="Times New Roman"/>
          <w:sz w:val="18"/>
          <w:szCs w:val="18"/>
          <w:color w:val="auto"/>
        </w:rPr>
        <w:t>We are a party to a material finance lease, which is a $46.2 million lease that has an effective interest rate of approximately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is payable in 240 monthly installments through fiscal 2039, as well as a related payment and performance guaranty, dated October 26, 2017, in favor of the Original Missouri Landlord. The building is pledged to secure the amounts outstanding. As part of the Relocation, on January 31, 2023, we entered into the Assignment and Assumption Agreement and the Amended and Restated Guaranty. Because of the Amended and Restated Guaranty, we continue to account for this lease as we have since prior to the Relocation. During fiscal 2025 and 2026, AOUT made payments pursuant to this lease directly to the landlord and we neither received nor paid any cash related to this arrangement. See Note 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2026, we had $28.2 million in cash and cash equivalents on hand.</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upon our current working capital position, current operating plans, and expected business conditions, we believe that our existing capital resources and credit facilities will be adequate to fund our operations for at least the next 12 months.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and the costs to ensure access to adequate manufacturing capacity. Future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2026, 2025 and 2024 inflationary pressures resulted in increases in the cost of certain of the components, parts, raw materials, and other supplies necessary for the production of our products, as well as labor costs. We expect that inflation will continue to impact us during fiscal 2027.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is based upon our consolidated financial statements, which have been prepared in accordance with U.S. generally accepted accounting principles. The preparation of these financial statements requires that we make accounting estimates, judgments, and assumptions that can have a meaningful effect on the reporting of consolidated financial statements. See Note 2 —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additional information.</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Critical accounting estimates are defined as those reflective of significant judgments, estimates, and uncertainties, which may result in materially different results under different assumptions and conditions. We believe the following are our critical accounting estimates: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r>
        <w:rPr>
          <w:rFonts w:ascii="Times New Roman" w:cs="Times New Roman" w:eastAsia="Times New Roman" w:hAnsi="Times New Roman"/>
          <w:sz w:val="18"/>
          <w:szCs w:val="18"/>
          <w:color w:val="auto"/>
        </w:rPr>
        <w:t>: We value inventories at the lower of cost, using the first-in, first-out, or FIFO, method, or net realizable value.</w:t>
      </w:r>
    </w:p>
    <w:p>
      <w:pPr>
        <w:spacing w:after="0" w:line="2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Judgments and Uncertainties</w:t>
      </w:r>
      <w:r>
        <w:rPr>
          <w:rFonts w:ascii="Times New Roman" w:cs="Times New Roman" w:eastAsia="Times New Roman" w:hAnsi="Times New Roman"/>
          <w:sz w:val="18"/>
          <w:szCs w:val="18"/>
          <w:color w:val="auto"/>
        </w:rPr>
        <w:t>: An allowance for potential non-saleable inventory as a result of excess stock or obsolescence is based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detailed review of inventory, past history, and expected future usage.</w:t>
      </w:r>
    </w:p>
    <w:p>
      <w:pPr>
        <w:spacing w:after="0" w:line="15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Sensitivity of Estimate to Change</w:t>
      </w:r>
      <w:r>
        <w:rPr>
          <w:rFonts w:ascii="Times New Roman" w:cs="Times New Roman" w:eastAsia="Times New Roman" w:hAnsi="Times New Roman"/>
          <w:sz w:val="18"/>
          <w:szCs w:val="18"/>
          <w:color w:val="auto"/>
        </w:rPr>
        <w:t>: The assumptions used to assess inventory valuation consider historical activity. Changes in these estimates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significant impact on the assessment of excess and obsolete inventory, which could result in material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is discussed in Note 2 —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to our consolidated financial statements,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transactions, arrangements, or other relationships with unconsolidated entities that are reasonably likely to affect our liquidity or capital resources. We have no special purpose or limited purpose entities that provide off-balance sheet financing, liquidity, or market or credit risk support or that engage in leasing, hedging, research and development services, or other relationships that expose us to liability that is not reflected in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do not enter into any market risk sensitive instruments for trading purposes. Our principal market risk relates to the variable interest rate associated with our credit agreement, which consists of a $175.0 million revolving line of credit that bears interest at either the Base Rate or Adjusted Term SOFR rate, plus an applicable margin based on our consolidated leverage ratio. For more information regarding our financing arrangements, see Note 4 — </w:t>
      </w:r>
      <w:r>
        <w:rPr>
          <w:rFonts w:ascii="Times New Roman" w:cs="Times New Roman" w:eastAsia="Times New Roman" w:hAnsi="Times New Roman"/>
          <w:sz w:val="18"/>
          <w:szCs w:val="18"/>
          <w:i w:val="1"/>
          <w:iCs w:val="1"/>
          <w:color w:val="auto"/>
        </w:rPr>
        <w:t>Notes and Loans Payable</w:t>
      </w:r>
      <w:r>
        <w:rPr>
          <w:rFonts w:ascii="Times New Roman" w:cs="Times New Roman" w:eastAsia="Times New Roman" w:hAnsi="Times New Roman"/>
          <w:sz w:val="18"/>
          <w:szCs w:val="18"/>
          <w:color w:val="auto"/>
        </w:rPr>
        <w:t>. As of April 30, 2026, we had $20.0 million of borrowings outstanding on the Revolving Line, which bore an interest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5.72%, which is equal to Adjusted Term SOFR rate plus an applicable margin.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Reference is made to our consolidated financial statements, the notes thereto, and the report thereon, commencing on page F-1 of this Annual Report on Form 10-K, which financial statements, notes, and report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as of April 30, 2026,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under the Exchange Act.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may deteriorate.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with participation of the CEO and CFO, under the oversight of our Audit Committee of our Board of Directors, conducted an evaluation of the effectiveness of our internal control over financial reporting as of April 30, 2026, using the framework established in Internal Control-Integrated Framework (2013), issued by the Committee of Sponsoring Organizations of the Treadway Commission (the COSO Framework). Based on that evaluation, management believes that our internal control over financial reporting was effective as of April 30, 2026.</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April 30, 2026 has been audited by KPMG LLP, an independent registered public accounting firm, which also audited our consolidated financial statements for fiscal 2026. KPMG LLP's report on our internal control over financial reporting is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fiscal quarter ended April 30, 2026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portion of our directors’ and officers’ compensation is in the form of equity awards and, from time to time, they may engage in open-market transactions with respect to our securities for diversification or other personal reasons. All such transactions in our securities by directors and officers must comply with our Policy on Inside Information and Insider Trading, which requires that transactions be in accordance with applicable U.S. federal securities laws that prohibit trading while in possession of material nonpublic information.</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that enables directors and officers to prearrange transactions in the Company’s securities in a manner that avoids concerns about initiating transactions while in possession of material nonpublic information. The following table describes the contracts, instructions or written plans for the purchase or sale of securities adopted by our directors or officers (as defined in Rule 16a-1(f) under the Exchange Act) during the three months ended April 30, 2026, that are intended to satisfy the affirmative defense conditions of Rule 10b5-1(c). No other Rule 10b5-1 trading arrangements or “non-Rule 10b5–1 trading arrangements” (as defined by S-K Item 408(c)) were entered into or terminated by our directors or officers during such period.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28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8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6"/>
        </w:trPr>
        <w:tc>
          <w:tcPr>
            <w:tcW w:w="192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Mark P. Smith</w:t>
            </w:r>
          </w:p>
        </w:tc>
        <w:tc>
          <w:tcPr>
            <w:tcW w:w="120" w:type="dxa"/>
            <w:vAlign w:val="bottom"/>
            <w:shd w:val="clear" w:color="auto" w:fill="CCECFF"/>
          </w:tcPr>
          <w:p>
            <w:pPr>
              <w:spacing w:after="0"/>
              <w:rPr>
                <w:sz w:val="17"/>
                <w:szCs w:val="17"/>
                <w:color w:val="auto"/>
              </w:rPr>
            </w:pPr>
          </w:p>
        </w:tc>
        <w:tc>
          <w:tcPr>
            <w:tcW w:w="28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President, CEO, and Director</w:t>
            </w:r>
          </w:p>
        </w:tc>
        <w:tc>
          <w:tcPr>
            <w:tcW w:w="100" w:type="dxa"/>
            <w:vAlign w:val="bottom"/>
            <w:shd w:val="clear" w:color="auto" w:fill="CCECFF"/>
          </w:tcPr>
          <w:p>
            <w:pPr>
              <w:spacing w:after="0"/>
              <w:rPr>
                <w:sz w:val="17"/>
                <w:szCs w:val="17"/>
                <w:color w:val="auto"/>
              </w:rPr>
            </w:pPr>
          </w:p>
        </w:tc>
        <w:tc>
          <w:tcPr>
            <w:tcW w:w="28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Adoption of Rule 10b5-1 Plan</w:t>
            </w:r>
          </w:p>
        </w:tc>
        <w:tc>
          <w:tcPr>
            <w:tcW w:w="120" w:type="dxa"/>
            <w:vAlign w:val="bottom"/>
            <w:shd w:val="clear" w:color="auto" w:fill="CCECFF"/>
          </w:tcPr>
          <w:p>
            <w:pPr>
              <w:spacing w:after="0"/>
              <w:rPr>
                <w:sz w:val="17"/>
                <w:szCs w:val="17"/>
                <w:color w:val="auto"/>
              </w:rPr>
            </w:pP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March 24, 2026</w:t>
            </w:r>
          </w:p>
        </w:tc>
        <w:tc>
          <w:tcPr>
            <w:tcW w:w="100" w:type="dxa"/>
            <w:vAlign w:val="bottom"/>
            <w:shd w:val="clear" w:color="auto" w:fill="CCECFF"/>
          </w:tcPr>
          <w:p>
            <w:pPr>
              <w:spacing w:after="0"/>
              <w:rPr>
                <w:sz w:val="17"/>
                <w:szCs w:val="17"/>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March 24, 2027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relating to our directors and corporate governance is incorporated herein by reference to the definitive Proxy Statement to be filed pursuant to Regulation 14A of the Exchange Act for our 2026 Annual Meeting of Stockholders. The information required by this Item relating to our executive officers is included in Item 1, “Business — Information about our Executive Officers” of this Annual Report on Form 10-K.</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adopted our Policy on Inside Information and Insider Trading governing the purchase, sale, and/or other disposition of our securities by our directors, officers, employees, and other covered persons. We believe this policy is reasonably designed to promote compliance with insider trading laws, rules and regulations, and the exchange listing standards applicable to us. A copy of this policy is filed as Exhibit 19.1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2026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2026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2026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2026 Annual Meeting of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Financial Statement Schedules</w:t>
      </w:r>
    </w:p>
    <w:p>
      <w:pPr>
        <w:spacing w:after="0" w:line="121"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are listed in the Index to Consolidated Financial Statements on page F-1 of this Annual Report on Form 10-K.</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for which provision is made in the applicable accounting regulations of the SEC have been omitted because of the absence of the conditions under which they are required or because the information required is shown in the financial statements or notes above.</w:t>
      </w:r>
    </w:p>
    <w:p>
      <w:pPr>
        <w:spacing w:after="0" w:line="15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4"/>
                <w:szCs w:val="24"/>
                <w:color w:val="auto"/>
              </w:rPr>
            </w:pPr>
          </w:p>
        </w:tc>
        <w:tc>
          <w:tcPr>
            <w:tcW w:w="956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Separation and Distribution Agreement, dated as of August 21, 2020, by and between the Registrant and American Outdoor Brands,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9"/>
          </w:tcPr>
          <w:p>
            <w:pPr>
              <w:spacing w:after="0" w:line="196" w:lineRule="exact"/>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Inc. (1)</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Amended and Restated Bylaws (2)</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Second Amended and Restated Articles of Incorporation (3)</w:t>
              </w:r>
            </w:hyperlink>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4320" w:type="dxa"/>
            <w:vAlign w:val="bottom"/>
            <w:tcBorders>
              <w:top w:val="single" w:sz="8" w:color="0000EE"/>
            </w:tcBorders>
            <w:gridSpan w:val="11"/>
          </w:tcPr>
          <w:p>
            <w:pPr>
              <w:spacing w:after="0"/>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Certificate of Withdrawal of Certificate of Designation (4)</w:t>
              </w:r>
            </w:hyperlink>
          </w:p>
        </w:tc>
        <w:tc>
          <w:tcPr>
            <w:tcW w:w="5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200" w:type="dxa"/>
            <w:vAlign w:val="bottom"/>
            <w:tcBorders>
              <w:top w:val="single" w:sz="8" w:color="0000EE"/>
            </w:tcBorders>
            <w:gridSpan w:val="10"/>
          </w:tcPr>
          <w:p>
            <w:pPr>
              <w:spacing w:after="0"/>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Form of Common Stock Certificate (5)</w:t>
              </w:r>
            </w:hyperlink>
          </w:p>
        </w:tc>
        <w:tc>
          <w:tcPr>
            <w:tcW w:w="5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auto"/>
                <w:w w:val="98"/>
              </w:rPr>
            </w:pPr>
            <w:hyperlink r:id="rId84">
              <w:r>
                <w:rPr>
                  <w:rFonts w:ascii="Times New Roman" w:cs="Times New Roman" w:eastAsia="Times New Roman" w:hAnsi="Times New Roman"/>
                  <w:sz w:val="18"/>
                  <w:szCs w:val="18"/>
                  <w:color w:val="auto"/>
                  <w:w w:val="98"/>
                </w:rPr>
                <w:t>Description of Securities (6)</w:t>
              </w:r>
            </w:hyperlink>
          </w:p>
        </w:tc>
        <w:tc>
          <w:tcPr>
            <w:tcW w:w="760" w:type="dxa"/>
            <w:vAlign w:val="bottom"/>
            <w:tcBorders>
              <w:top w:val="single" w:sz="8" w:color="0000EE"/>
            </w:tcBorders>
            <w:gridSpan w:val="3"/>
          </w:tcPr>
          <w:p>
            <w:pPr>
              <w:spacing w:after="0"/>
              <w:rPr>
                <w:sz w:val="24"/>
                <w:szCs w:val="24"/>
                <w:color w:val="auto"/>
              </w:rPr>
            </w:pPr>
          </w:p>
        </w:tc>
        <w:tc>
          <w:tcPr>
            <w:tcW w:w="67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4"/>
                <w:szCs w:val="24"/>
                <w:color w:val="auto"/>
              </w:rPr>
            </w:pPr>
          </w:p>
        </w:tc>
        <w:tc>
          <w:tcPr>
            <w:tcW w:w="8160" w:type="dxa"/>
            <w:vAlign w:val="bottom"/>
            <w:tcBorders>
              <w:bottom w:val="single" w:sz="8" w:color="0000EE"/>
            </w:tcBorders>
            <w:gridSpan w:val="15"/>
          </w:tcPr>
          <w:p>
            <w:pPr>
              <w:spacing w:after="0"/>
              <w:rPr>
                <w:rFonts w:ascii="Times New Roman" w:cs="Times New Roman" w:eastAsia="Times New Roman" w:hAnsi="Times New Roman"/>
                <w:sz w:val="18"/>
                <w:szCs w:val="18"/>
                <w:color w:val="auto"/>
                <w:w w:val="99"/>
              </w:rPr>
            </w:pPr>
            <w:hyperlink r:id="rId85">
              <w:r>
                <w:rPr>
                  <w:rFonts w:ascii="Times New Roman" w:cs="Times New Roman" w:eastAsia="Times New Roman" w:hAnsi="Times New Roman"/>
                  <w:sz w:val="18"/>
                  <w:szCs w:val="18"/>
                  <w:color w:val="auto"/>
                  <w:w w:val="99"/>
                </w:rPr>
                <w:t>Agreement with Respect to Defense of Smith &amp; Wesson: Firearms Litigation, dated as of November 11, 2004 (7)</w:t>
              </w:r>
            </w:hyperlink>
          </w:p>
        </w:tc>
        <w:tc>
          <w:tcPr>
            <w:tcW w:w="1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10.107*</w:t>
            </w:r>
          </w:p>
        </w:tc>
        <w:tc>
          <w:tcPr>
            <w:tcW w:w="12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Smith &amp; Wesson Brands, Inc. Executive Severance Pay Plan (8)</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10.108*</w:t>
            </w:r>
          </w:p>
        </w:tc>
        <w:tc>
          <w:tcPr>
            <w:tcW w:w="12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Adoption Agreement to the Smith &amp; Wesson Nonqualified Supplemental Deferred Compensation Plan (9)</w:t>
              </w:r>
            </w:hyperlink>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10.109*</w:t>
            </w:r>
          </w:p>
        </w:tc>
        <w:tc>
          <w:tcPr>
            <w:tcW w:w="120" w:type="dxa"/>
            <w:vAlign w:val="bottom"/>
          </w:tcPr>
          <w:p>
            <w:pPr>
              <w:spacing w:after="0"/>
              <w:rPr>
                <w:sz w:val="24"/>
                <w:szCs w:val="24"/>
                <w:color w:val="auto"/>
              </w:rPr>
            </w:pPr>
          </w:p>
        </w:tc>
        <w:tc>
          <w:tcPr>
            <w:tcW w:w="64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auto"/>
                <w:w w:val="99"/>
              </w:rPr>
            </w:pPr>
            <w:hyperlink r:id="rId87">
              <w:r>
                <w:rPr>
                  <w:rFonts w:ascii="Times New Roman" w:cs="Times New Roman" w:eastAsia="Times New Roman" w:hAnsi="Times New Roman"/>
                  <w:sz w:val="18"/>
                  <w:szCs w:val="18"/>
                  <w:color w:val="auto"/>
                  <w:w w:val="99"/>
                </w:rPr>
                <w:t>Smith &amp; Wesson Nonqualified Supplemental Deferred Compensation Plan Document (9)</w:t>
              </w:r>
            </w:hyperlink>
          </w:p>
        </w:tc>
        <w:tc>
          <w:tcPr>
            <w:tcW w:w="1220" w:type="dxa"/>
            <w:vAlign w:val="bottom"/>
            <w:tcBorders>
              <w:top w:val="single" w:sz="8" w:color="0000EE"/>
            </w:tcBorders>
          </w:tcPr>
          <w:p>
            <w:pPr>
              <w:spacing w:after="0"/>
              <w:rPr>
                <w:sz w:val="24"/>
                <w:szCs w:val="24"/>
                <w:color w:val="auto"/>
              </w:rPr>
            </w:pPr>
          </w:p>
        </w:tc>
        <w:tc>
          <w:tcPr>
            <w:tcW w:w="19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10.110(a)*</w:t>
            </w:r>
          </w:p>
        </w:tc>
        <w:tc>
          <w:tcPr>
            <w:tcW w:w="12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rFonts w:ascii="Times New Roman" w:cs="Times New Roman" w:eastAsia="Times New Roman" w:hAnsi="Times New Roman"/>
                <w:sz w:val="18"/>
                <w:szCs w:val="18"/>
                <w:color w:val="auto"/>
                <w:w w:val="99"/>
              </w:rPr>
            </w:pPr>
            <w:hyperlink r:id="rId88">
              <w:r>
                <w:rPr>
                  <w:rFonts w:ascii="Times New Roman" w:cs="Times New Roman" w:eastAsia="Times New Roman" w:hAnsi="Times New Roman"/>
                  <w:sz w:val="18"/>
                  <w:szCs w:val="18"/>
                  <w:color w:val="auto"/>
                  <w:w w:val="99"/>
                </w:rPr>
                <w:t>2013 Incentive Stock Plan (10)</w:t>
              </w:r>
            </w:hyperlink>
          </w:p>
        </w:tc>
        <w:tc>
          <w:tcPr>
            <w:tcW w:w="7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10.110(b)*</w:t>
            </w:r>
          </w:p>
        </w:tc>
        <w:tc>
          <w:tcPr>
            <w:tcW w:w="12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rFonts w:ascii="Times New Roman" w:cs="Times New Roman" w:eastAsia="Times New Roman" w:hAnsi="Times New Roman"/>
                <w:sz w:val="18"/>
                <w:szCs w:val="18"/>
                <w:color w:val="auto"/>
                <w:w w:val="99"/>
              </w:rPr>
            </w:pPr>
            <w:hyperlink r:id="rId89">
              <w:r>
                <w:rPr>
                  <w:rFonts w:ascii="Times New Roman" w:cs="Times New Roman" w:eastAsia="Times New Roman" w:hAnsi="Times New Roman"/>
                  <w:sz w:val="18"/>
                  <w:szCs w:val="18"/>
                  <w:color w:val="auto"/>
                  <w:w w:val="99"/>
                </w:rPr>
                <w:t>2022 Incentive Stock Plan (11)</w:t>
              </w:r>
            </w:hyperlink>
          </w:p>
        </w:tc>
        <w:tc>
          <w:tcPr>
            <w:tcW w:w="7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10.111(a)*</w:t>
            </w:r>
          </w:p>
        </w:tc>
        <w:tc>
          <w:tcPr>
            <w:tcW w:w="1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Form of Restricted Stock Unit Award Grant Notice and Agreement to the 2013 Incentive Stock Plan for awards made beginning in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9"/>
          </w:tcPr>
          <w:p>
            <w:pPr>
              <w:spacing w:after="0" w:line="196" w:lineRule="exact"/>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April 2015 (12)</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3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10.111(b)*</w:t>
            </w:r>
          </w:p>
        </w:tc>
        <w:tc>
          <w:tcPr>
            <w:tcW w:w="1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Form of Restricted Stock Unit Award Grant Notice and Agreement to the 2013 Incentive Stock Plan for awards made beginning in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91">
              <w:r>
                <w:rPr>
                  <w:rFonts w:ascii="Times New Roman" w:cs="Times New Roman" w:eastAsia="Times New Roman" w:hAnsi="Times New Roman"/>
                  <w:sz w:val="18"/>
                  <w:szCs w:val="18"/>
                  <w:color w:val="auto"/>
                  <w:w w:val="98"/>
                </w:rPr>
                <w:t>April 2020 (6)</w:t>
              </w:r>
            </w:hyperlink>
          </w:p>
        </w:tc>
        <w:tc>
          <w:tcPr>
            <w:tcW w:w="8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10.111(c)*</w:t>
            </w:r>
          </w:p>
        </w:tc>
        <w:tc>
          <w:tcPr>
            <w:tcW w:w="1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Form of Restricted Stock Unit Award Grant Notice and Agreement to the 2022 Incentive Stock Plan for awards made beginning in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9"/>
          </w:tcPr>
          <w:p>
            <w:pPr>
              <w:spacing w:after="0" w:line="196" w:lineRule="exact"/>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April 2023 (13)</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3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10.112(a)*</w:t>
            </w:r>
          </w:p>
        </w:tc>
        <w:tc>
          <w:tcPr>
            <w:tcW w:w="12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Form of Performance Stock Unit Award Grant Notice and Agreement to the 2013 Incentive Stock Plan for awards made in 2020 (6)</w:t>
              </w:r>
            </w:hyperlink>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10.112(b)*</w:t>
            </w:r>
          </w:p>
        </w:tc>
        <w:tc>
          <w:tcPr>
            <w:tcW w:w="120" w:type="dxa"/>
            <w:vAlign w:val="bottom"/>
          </w:tcPr>
          <w:p>
            <w:pPr>
              <w:spacing w:after="0"/>
              <w:rPr>
                <w:sz w:val="24"/>
                <w:szCs w:val="24"/>
                <w:color w:val="auto"/>
              </w:rPr>
            </w:pPr>
          </w:p>
        </w:tc>
        <w:tc>
          <w:tcPr>
            <w:tcW w:w="946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Form of Performance Stock Unit Award Grant Notice and Agreement to the 2013 Incentive Stock Plan for awards made beginning</w:t>
              </w:r>
            </w:hyperlink>
          </w:p>
        </w:tc>
        <w:tc>
          <w:tcPr>
            <w:tcW w:w="40" w:type="dxa"/>
            <w:vAlign w:val="bottom"/>
            <w:tcBorders>
              <w:top w:val="single" w:sz="8" w:color="0000EE"/>
            </w:tcBorders>
          </w:tcPr>
          <w:p>
            <w:pPr>
              <w:spacing w:after="0"/>
              <w:rPr>
                <w:sz w:val="24"/>
                <w:szCs w:val="24"/>
                <w:color w:val="auto"/>
              </w:rPr>
            </w:pP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94">
              <w:r>
                <w:rPr>
                  <w:rFonts w:ascii="Times New Roman" w:cs="Times New Roman" w:eastAsia="Times New Roman" w:hAnsi="Times New Roman"/>
                  <w:sz w:val="18"/>
                  <w:szCs w:val="18"/>
                  <w:color w:val="auto"/>
                  <w:w w:val="97"/>
                </w:rPr>
                <w:t>in 2021 (6)</w:t>
              </w:r>
            </w:hyperlink>
          </w:p>
        </w:tc>
        <w:tc>
          <w:tcPr>
            <w:tcW w:w="8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10.112(c)*</w:t>
            </w:r>
          </w:p>
        </w:tc>
        <w:tc>
          <w:tcPr>
            <w:tcW w:w="1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Form of Performance Stock Unit Award Grant Notice and Agreement to the 2022 Incentive Stock Plan for awards made beginning</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9"/>
          </w:tcPr>
          <w:p>
            <w:pPr>
              <w:spacing w:after="0" w:line="196" w:lineRule="exact"/>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in 2023 (13)</w:t>
              </w:r>
            </w:hyperlink>
          </w:p>
        </w:tc>
        <w:tc>
          <w:tcPr>
            <w:tcW w:w="0" w:type="dxa"/>
            <w:vAlign w:val="bottom"/>
          </w:tcPr>
          <w:p>
            <w:pPr>
              <w:spacing w:after="0"/>
              <w:rPr>
                <w:sz w:val="1"/>
                <w:szCs w:val="1"/>
                <w:color w:val="auto"/>
              </w:rPr>
            </w:pPr>
          </w:p>
        </w:tc>
      </w:tr>
      <w:tr>
        <w:trPr>
          <w:trHeight w:val="669"/>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0000EE"/>
            </w:tcBorders>
            <w:gridSpan w:val="3"/>
          </w:tcPr>
          <w:p>
            <w:pPr>
              <w:spacing w:after="0"/>
              <w:rPr>
                <w:sz w:val="24"/>
                <w:szCs w:val="24"/>
                <w:color w:val="auto"/>
              </w:rPr>
            </w:pPr>
          </w:p>
        </w:tc>
        <w:tc>
          <w:tcPr>
            <w:tcW w:w="33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10.113(a)</w:t>
            </w:r>
          </w:p>
        </w:tc>
        <w:tc>
          <w:tcPr>
            <w:tcW w:w="85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w w:val="99"/>
              </w:rPr>
            </w:pPr>
            <w:hyperlink r:id="rId98">
              <w:r>
                <w:rPr>
                  <w:rFonts w:ascii="Times New Roman" w:cs="Times New Roman" w:eastAsia="Times New Roman" w:hAnsi="Times New Roman"/>
                  <w:sz w:val="18"/>
                  <w:szCs w:val="18"/>
                  <w:color w:val="auto"/>
                  <w:w w:val="99"/>
                </w:rPr>
                <w:t>Lease Agreement, dated October 26, 2017, by and between Ryan Boone County, LLC and Smith &amp; Wesson Corp. (14)</w:t>
              </w:r>
            </w:hyperlink>
          </w:p>
        </w:tc>
        <w:tc>
          <w:tcPr>
            <w:tcW w:w="1000" w:type="dxa"/>
            <w:vAlign w:val="bottom"/>
            <w:gridSpan w:val="11"/>
          </w:tcPr>
          <w:p>
            <w:pPr>
              <w:spacing w:after="0"/>
              <w:rPr>
                <w:sz w:val="17"/>
                <w:szCs w:val="17"/>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10.113(b)</w:t>
            </w:r>
          </w:p>
        </w:tc>
        <w:tc>
          <w:tcPr>
            <w:tcW w:w="958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Assignment and Assumption of Lease Agreement, dated January 31, 2023, between Smith &amp; Wesson Sales Company and American</w:t>
              </w:r>
            </w:hyperlink>
          </w:p>
        </w:tc>
      </w:tr>
      <w:tr>
        <w:trPr>
          <w:trHeight w:val="196"/>
        </w:trPr>
        <w:tc>
          <w:tcPr>
            <w:tcW w:w="1660" w:type="dxa"/>
            <w:vAlign w:val="bottom"/>
          </w:tcPr>
          <w:p>
            <w:pPr>
              <w:spacing w:after="0"/>
              <w:rPr>
                <w:sz w:val="17"/>
                <w:szCs w:val="17"/>
                <w:color w:val="auto"/>
              </w:rPr>
            </w:pPr>
          </w:p>
        </w:tc>
        <w:tc>
          <w:tcPr>
            <w:tcW w:w="1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99">
              <w:r>
                <w:rPr>
                  <w:rFonts w:ascii="Times New Roman" w:cs="Times New Roman" w:eastAsia="Times New Roman" w:hAnsi="Times New Roman"/>
                  <w:sz w:val="18"/>
                  <w:szCs w:val="18"/>
                  <w:color w:val="auto"/>
                  <w:w w:val="98"/>
                </w:rPr>
                <w:t>Outdoor Brands, Inc. (15)</w:t>
              </w:r>
            </w:hyperlink>
          </w:p>
        </w:tc>
        <w:tc>
          <w:tcPr>
            <w:tcW w:w="7720" w:type="dxa"/>
            <w:vAlign w:val="bottom"/>
            <w:gridSpan w:val="20"/>
          </w:tcPr>
          <w:p>
            <w:pPr>
              <w:spacing w:after="0"/>
              <w:rPr>
                <w:sz w:val="17"/>
                <w:szCs w:val="17"/>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10.114(a)</w:t>
            </w:r>
          </w:p>
        </w:tc>
        <w:tc>
          <w:tcPr>
            <w:tcW w:w="9580" w:type="dxa"/>
            <w:vAlign w:val="bottom"/>
            <w:gridSpan w:val="24"/>
          </w:tcPr>
          <w:p>
            <w:pPr>
              <w:spacing w:after="0"/>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Guaranty, dated October 26, 2017, entered into by the Registrant (14)</w:t>
              </w:r>
            </w:hyperlink>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10.114(b)</w:t>
            </w:r>
          </w:p>
        </w:tc>
        <w:tc>
          <w:tcPr>
            <w:tcW w:w="5000" w:type="dxa"/>
            <w:vAlign w:val="bottom"/>
            <w:tcBorders>
              <w:top w:val="single" w:sz="8" w:color="0000EE"/>
            </w:tcBorders>
            <w:gridSpan w:val="8"/>
          </w:tcPr>
          <w:p>
            <w:pPr>
              <w:spacing w:after="0"/>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Amended and Restated Guaranty, dated January 31, 2023 (15)</w:t>
              </w:r>
            </w:hyperlink>
          </w:p>
        </w:tc>
        <w:tc>
          <w:tcPr>
            <w:tcW w:w="4580" w:type="dxa"/>
            <w:vAlign w:val="bottom"/>
            <w:gridSpan w:val="16"/>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10.115(a)*</w:t>
            </w:r>
          </w:p>
        </w:tc>
        <w:tc>
          <w:tcPr>
            <w:tcW w:w="908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02">
              <w:r>
                <w:rPr>
                  <w:rFonts w:ascii="Times New Roman" w:cs="Times New Roman" w:eastAsia="Times New Roman" w:hAnsi="Times New Roman"/>
                  <w:sz w:val="18"/>
                  <w:szCs w:val="18"/>
                  <w:color w:val="auto"/>
                </w:rPr>
                <w:t>Employment Agreement, executed April 4, 2020 and effective as of January 15, 2020, by and between Mark P. Smith and the</w:t>
              </w:r>
            </w:hyperlink>
          </w:p>
        </w:tc>
        <w:tc>
          <w:tcPr>
            <w:tcW w:w="500" w:type="dxa"/>
            <w:vAlign w:val="bottom"/>
            <w:gridSpan w:val="8"/>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7"/>
              </w:rPr>
            </w:pPr>
            <w:hyperlink r:id="rId102">
              <w:r>
                <w:rPr>
                  <w:rFonts w:ascii="Times New Roman" w:cs="Times New Roman" w:eastAsia="Times New Roman" w:hAnsi="Times New Roman"/>
                  <w:sz w:val="18"/>
                  <w:szCs w:val="18"/>
                  <w:color w:val="auto"/>
                  <w:w w:val="97"/>
                </w:rPr>
                <w:t>Registrant (16)</w:t>
              </w:r>
            </w:hyperlink>
          </w:p>
        </w:tc>
        <w:tc>
          <w:tcPr>
            <w:tcW w:w="8500" w:type="dxa"/>
            <w:vAlign w:val="bottom"/>
            <w:gridSpan w:val="23"/>
          </w:tcPr>
          <w:p>
            <w:pPr>
              <w:spacing w:after="0"/>
              <w:rPr>
                <w:sz w:val="17"/>
                <w:szCs w:val="17"/>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10.115(b)*</w:t>
            </w:r>
          </w:p>
        </w:tc>
        <w:tc>
          <w:tcPr>
            <w:tcW w:w="95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auto"/>
              </w:rPr>
              <w:t>Amended and Restated Employment Agreement, executed June 18, 2025 and effective as of June 18, 2025, by and between Mark P.</w:t>
            </w:r>
          </w:p>
        </w:tc>
      </w:tr>
      <w:tr>
        <w:trPr>
          <w:trHeight w:val="196"/>
        </w:trPr>
        <w:tc>
          <w:tcPr>
            <w:tcW w:w="1660" w:type="dxa"/>
            <w:vAlign w:val="bottom"/>
          </w:tcPr>
          <w:p>
            <w:pPr>
              <w:spacing w:after="0"/>
              <w:rPr>
                <w:sz w:val="17"/>
                <w:szCs w:val="17"/>
                <w:color w:val="auto"/>
              </w:rPr>
            </w:pPr>
          </w:p>
        </w:tc>
        <w:tc>
          <w:tcPr>
            <w:tcW w:w="9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Smith and the Registrant (17)</w:t>
            </w:r>
          </w:p>
        </w:tc>
      </w:tr>
      <w:tr>
        <w:trPr>
          <w:trHeight w:val="20"/>
        </w:trPr>
        <w:tc>
          <w:tcPr>
            <w:tcW w:w="16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10.116</w:t>
            </w:r>
          </w:p>
        </w:tc>
        <w:tc>
          <w:tcPr>
            <w:tcW w:w="9400" w:type="dxa"/>
            <w:vAlign w:val="bottom"/>
            <w:tcBorders>
              <w:bottom w:val="single" w:sz="8" w:color="0000EE"/>
            </w:tcBorders>
            <w:gridSpan w:val="18"/>
          </w:tcPr>
          <w:p>
            <w:pPr>
              <w:spacing w:after="0"/>
              <w:rPr>
                <w:rFonts w:ascii="Times New Roman" w:cs="Times New Roman" w:eastAsia="Times New Roman" w:hAnsi="Times New Roman"/>
                <w:sz w:val="18"/>
                <w:szCs w:val="18"/>
                <w:color w:val="auto"/>
                <w:w w:val="99"/>
              </w:rPr>
            </w:pPr>
            <w:hyperlink r:id="rId103">
              <w:r>
                <w:rPr>
                  <w:rFonts w:ascii="Times New Roman" w:cs="Times New Roman" w:eastAsia="Times New Roman" w:hAnsi="Times New Roman"/>
                  <w:sz w:val="18"/>
                  <w:szCs w:val="18"/>
                  <w:color w:val="auto"/>
                  <w:w w:val="99"/>
                </w:rPr>
                <w:t>Transition Services Agreement dated as of August 21, 2020, by and between the Registrant and American Outdoor Brands, Inc (1)</w:t>
              </w:r>
            </w:hyperlink>
          </w:p>
        </w:tc>
        <w:tc>
          <w:tcPr>
            <w:tcW w:w="180" w:type="dxa"/>
            <w:vAlign w:val="bottom"/>
            <w:gridSpan w:val="6"/>
          </w:tcPr>
          <w:p>
            <w:pPr>
              <w:spacing w:after="0"/>
              <w:rPr>
                <w:sz w:val="24"/>
                <w:szCs w:val="24"/>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10.117</w:t>
            </w:r>
          </w:p>
        </w:tc>
        <w:tc>
          <w:tcPr>
            <w:tcW w:w="9580" w:type="dxa"/>
            <w:vAlign w:val="bottom"/>
            <w:gridSpan w:val="24"/>
          </w:tcPr>
          <w:p>
            <w:pPr>
              <w:spacing w:after="0"/>
              <w:rPr>
                <w:rFonts w:ascii="Times New Roman" w:cs="Times New Roman" w:eastAsia="Times New Roman" w:hAnsi="Times New Roman"/>
                <w:sz w:val="18"/>
                <w:szCs w:val="18"/>
                <w:color w:val="auto"/>
              </w:rPr>
            </w:pPr>
            <w:hyperlink r:id="rId104">
              <w:r>
                <w:rPr>
                  <w:rFonts w:ascii="Times New Roman" w:cs="Times New Roman" w:eastAsia="Times New Roman" w:hAnsi="Times New Roman"/>
                  <w:sz w:val="18"/>
                  <w:szCs w:val="18"/>
                  <w:color w:val="auto"/>
                </w:rPr>
                <w:t>Tax Matters Agreement, dated as of August 21, 2020, by and between the Registrant and American Outdoor Brands, Inc. (1)</w:t>
              </w:r>
            </w:hyperlink>
          </w:p>
        </w:tc>
      </w:tr>
      <w:tr>
        <w:trPr>
          <w:trHeight w:val="20"/>
        </w:trPr>
        <w:tc>
          <w:tcPr>
            <w:tcW w:w="16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10.118</w:t>
            </w:r>
          </w:p>
        </w:tc>
        <w:tc>
          <w:tcPr>
            <w:tcW w:w="94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w w:val="99"/>
              </w:rPr>
            </w:pPr>
            <w:hyperlink r:id="rId105">
              <w:r>
                <w:rPr>
                  <w:rFonts w:ascii="Times New Roman" w:cs="Times New Roman" w:eastAsia="Times New Roman" w:hAnsi="Times New Roman"/>
                  <w:sz w:val="18"/>
                  <w:szCs w:val="18"/>
                  <w:color w:val="auto"/>
                  <w:w w:val="99"/>
                </w:rPr>
                <w:t>Employee Matters Agreement, dated as of August 21, 2020, by and between the Registrant and American Outdoor Brands, Inc. (1)</w:t>
              </w:r>
            </w:hyperlink>
          </w:p>
        </w:tc>
        <w:tc>
          <w:tcPr>
            <w:tcW w:w="160" w:type="dxa"/>
            <w:vAlign w:val="bottom"/>
            <w:gridSpan w:val="5"/>
          </w:tcPr>
          <w:p>
            <w:pPr>
              <w:spacing w:after="0"/>
              <w:rPr>
                <w:sz w:val="24"/>
                <w:szCs w:val="24"/>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10.119(a)***</w:t>
            </w:r>
          </w:p>
        </w:tc>
        <w:tc>
          <w:tcPr>
            <w:tcW w:w="95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auto"/>
                <w:w w:val="99"/>
              </w:rPr>
              <w:t>Trademark License Agreement, dated as of August 24, 2020, by and between Smith &amp; Wesson Inc. and AOB Products Company (1)</w:t>
            </w:r>
          </w:p>
        </w:tc>
        <w:tc>
          <w:tcPr>
            <w:tcW w:w="20" w:type="dxa"/>
            <w:vAlign w:val="bottom"/>
          </w:tcPr>
          <w:p>
            <w:pPr>
              <w:spacing w:after="0"/>
              <w:rPr>
                <w:sz w:val="24"/>
                <w:szCs w:val="24"/>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10.119(b)***</w:t>
            </w:r>
          </w:p>
        </w:tc>
        <w:tc>
          <w:tcPr>
            <w:tcW w:w="95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Amended and Restated Trademark License Agreement, dated as of April 11, 2024, by and between Smith &amp; Wesson Inc. and AOB</w:t>
              </w:r>
            </w:hyperlink>
          </w:p>
        </w:tc>
        <w:tc>
          <w:tcPr>
            <w:tcW w:w="80" w:type="dxa"/>
            <w:vAlign w:val="bottom"/>
            <w:gridSpan w:val="4"/>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Products Company (18)</w:t>
              </w:r>
            </w:hyperlink>
          </w:p>
        </w:tc>
      </w:tr>
      <w:tr>
        <w:trPr>
          <w:trHeight w:val="20"/>
        </w:trPr>
        <w:tc>
          <w:tcPr>
            <w:tcW w:w="16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10.120***</w:t>
            </w:r>
          </w:p>
        </w:tc>
        <w:tc>
          <w:tcPr>
            <w:tcW w:w="9580" w:type="dxa"/>
            <w:vAlign w:val="bottom"/>
            <w:gridSpan w:val="24"/>
          </w:tcPr>
          <w:p>
            <w:pPr>
              <w:spacing w:after="0"/>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Sublease, dated as of August 24, 2020, by and between the Smith &amp; Wesson Sales Company and American Outdoor Brands, Inc. (1)</w:t>
              </w:r>
            </w:hyperlink>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10.121(a)***</w:t>
            </w:r>
          </w:p>
        </w:tc>
        <w:tc>
          <w:tcPr>
            <w:tcW w:w="906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Amended and Restated Credit Agreement, dated as of August 24, 2020, by and among the Registrant, Smith &amp; Wesson Sales</w:t>
              </w:r>
            </w:hyperlink>
          </w:p>
        </w:tc>
        <w:tc>
          <w:tcPr>
            <w:tcW w:w="480" w:type="dxa"/>
            <w:vAlign w:val="bottom"/>
            <w:tcBorders>
              <w:top w:val="single" w:sz="8" w:color="0000EE"/>
            </w:tcBorders>
            <w:gridSpan w:val="7"/>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Company, Smith &amp; Wesson, Inc., the Guarantors, the Lenders, and TD Bank, N.A. (1)</w:t>
              </w:r>
            </w:hyperlink>
          </w:p>
        </w:tc>
      </w:tr>
      <w:tr>
        <w:trPr>
          <w:trHeight w:val="20"/>
        </w:trPr>
        <w:tc>
          <w:tcPr>
            <w:tcW w:w="16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10.121(b)***</w:t>
            </w:r>
          </w:p>
        </w:tc>
        <w:tc>
          <w:tcPr>
            <w:tcW w:w="93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First Amendment to Amended and Restated Credit Agreement, dated as of April 28, 2023, by and among the Registrant, Smith &amp;</w:t>
              </w:r>
            </w:hyperlink>
          </w:p>
        </w:tc>
        <w:tc>
          <w:tcPr>
            <w:tcW w:w="200" w:type="dxa"/>
            <w:vAlign w:val="bottom"/>
            <w:gridSpan w:val="7"/>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Wesson Sales Company, Smith &amp; Wesson, Inc., the Guarantors, the Lenders, and TD Bank, N.A. (9)</w:t>
              </w:r>
            </w:hyperlink>
          </w:p>
        </w:tc>
      </w:tr>
      <w:tr>
        <w:trPr>
          <w:trHeight w:val="20"/>
        </w:trPr>
        <w:tc>
          <w:tcPr>
            <w:tcW w:w="16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10.121(c)***</w:t>
            </w:r>
          </w:p>
        </w:tc>
        <w:tc>
          <w:tcPr>
            <w:tcW w:w="958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110">
              <w:r>
                <w:rPr>
                  <w:rFonts w:ascii="Times New Roman" w:cs="Times New Roman" w:eastAsia="Times New Roman" w:hAnsi="Times New Roman"/>
                  <w:sz w:val="18"/>
                  <w:szCs w:val="18"/>
                  <w:color w:val="auto"/>
                  <w:w w:val="99"/>
                </w:rPr>
                <w:t>Second Amended and Restated Credit Agreement, dated as of October 3, 2024, by and among the Registrant, Smith &amp; Wesson Sales</w:t>
              </w:r>
            </w:hyperlink>
          </w:p>
        </w:tc>
      </w:tr>
      <w:tr>
        <w:trPr>
          <w:trHeight w:val="196"/>
        </w:trPr>
        <w:tc>
          <w:tcPr>
            <w:tcW w:w="1660" w:type="dxa"/>
            <w:vAlign w:val="bottom"/>
          </w:tcPr>
          <w:p>
            <w:pPr>
              <w:spacing w:after="0"/>
              <w:rPr>
                <w:sz w:val="17"/>
                <w:szCs w:val="17"/>
                <w:color w:val="auto"/>
              </w:rPr>
            </w:pPr>
          </w:p>
        </w:tc>
        <w:tc>
          <w:tcPr>
            <w:tcW w:w="6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110">
              <w:r>
                <w:rPr>
                  <w:rFonts w:ascii="Times New Roman" w:cs="Times New Roman" w:eastAsia="Times New Roman" w:hAnsi="Times New Roman"/>
                  <w:sz w:val="18"/>
                  <w:szCs w:val="18"/>
                  <w:color w:val="auto"/>
                  <w:w w:val="99"/>
                </w:rPr>
                <w:t>Company, Smith &amp; Wesson, Inc., the Guarantors, the Lenders, and TD Bank, N.A. (20)</w:t>
              </w:r>
            </w:hyperlink>
          </w:p>
        </w:tc>
        <w:tc>
          <w:tcPr>
            <w:tcW w:w="3260" w:type="dxa"/>
            <w:vAlign w:val="bottom"/>
            <w:gridSpan w:val="14"/>
          </w:tcPr>
          <w:p>
            <w:pPr>
              <w:spacing w:after="0"/>
              <w:rPr>
                <w:sz w:val="17"/>
                <w:szCs w:val="17"/>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10.121(d)***</w:t>
            </w:r>
          </w:p>
        </w:tc>
        <w:tc>
          <w:tcPr>
            <w:tcW w:w="952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First Amendment to Second Amended and Restated Credit Agreement, dated August 15, 2025, by and among the Registrant, Smith</w:t>
              </w:r>
            </w:hyperlink>
          </w:p>
        </w:tc>
        <w:tc>
          <w:tcPr>
            <w:tcW w:w="60" w:type="dxa"/>
            <w:vAlign w:val="bottom"/>
            <w:gridSpan w:val="3"/>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7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111">
              <w:r>
                <w:rPr>
                  <w:rFonts w:ascii="Times New Roman" w:cs="Times New Roman" w:eastAsia="Times New Roman" w:hAnsi="Times New Roman"/>
                  <w:sz w:val="18"/>
                  <w:szCs w:val="18"/>
                  <w:color w:val="auto"/>
                  <w:w w:val="99"/>
                </w:rPr>
                <w:t>&amp; Wesson Sales Company, Smith &amp; Wesson, Inc., the Guarantors, the Lenders, and TD Bank, N.A. (21)</w:t>
              </w:r>
            </w:hyperlink>
          </w:p>
        </w:tc>
        <w:tc>
          <w:tcPr>
            <w:tcW w:w="2040" w:type="dxa"/>
            <w:vAlign w:val="bottom"/>
            <w:gridSpan w:val="12"/>
          </w:tcPr>
          <w:p>
            <w:pPr>
              <w:spacing w:after="0"/>
              <w:rPr>
                <w:sz w:val="17"/>
                <w:szCs w:val="17"/>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10.122</w:t>
            </w:r>
          </w:p>
        </w:tc>
        <w:tc>
          <w:tcPr>
            <w:tcW w:w="9580" w:type="dxa"/>
            <w:vAlign w:val="bottom"/>
            <w:gridSpan w:val="24"/>
          </w:tcPr>
          <w:p>
            <w:pPr>
              <w:spacing w:after="0"/>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Project Agreement, dated September 30, 2021, by and among The Industrial Development Board of Blount County and the cities of</w:t>
              </w:r>
            </w:hyperlink>
          </w:p>
        </w:tc>
      </w:tr>
      <w:tr>
        <w:trPr>
          <w:trHeight w:val="20"/>
        </w:trPr>
        <w:tc>
          <w:tcPr>
            <w:tcW w:w="16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560" w:type="dxa"/>
            <w:vAlign w:val="bottom"/>
            <w:gridSpan w:val="1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Alcoa and Maryville, Tennessee, a public, nonprofit corporation organized and existing under the laws of the State of Tennessee and</w:t>
              </w:r>
            </w:hyperlink>
          </w:p>
        </w:tc>
      </w:tr>
      <w:tr>
        <w:trPr>
          <w:trHeight w:val="196"/>
        </w:trPr>
        <w:tc>
          <w:tcPr>
            <w:tcW w:w="1660" w:type="dxa"/>
            <w:vAlign w:val="bottom"/>
          </w:tcPr>
          <w:p>
            <w:pPr>
              <w:spacing w:after="0"/>
              <w:rPr>
                <w:sz w:val="17"/>
                <w:szCs w:val="17"/>
                <w:color w:val="auto"/>
              </w:rPr>
            </w:pPr>
          </w:p>
        </w:tc>
        <w:tc>
          <w:tcPr>
            <w:tcW w:w="95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the Registrant (22)</w:t>
              </w:r>
            </w:hyperlink>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56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10.123*</w:t>
            </w:r>
          </w:p>
        </w:tc>
        <w:tc>
          <w:tcPr>
            <w:tcW w:w="9580" w:type="dxa"/>
            <w:vAlign w:val="bottom"/>
            <w:gridSpan w:val="24"/>
          </w:tcPr>
          <w:p>
            <w:pPr>
              <w:spacing w:after="0"/>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2021 Employee Stock Purchase Plan (23)</w:t>
              </w:r>
            </w:hyperlink>
          </w:p>
        </w:tc>
      </w:tr>
      <w:tr>
        <w:trPr>
          <w:trHeight w:val="20"/>
        </w:trPr>
        <w:tc>
          <w:tcPr>
            <w:tcW w:w="166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56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10.124***</w:t>
            </w:r>
          </w:p>
        </w:tc>
        <w:tc>
          <w:tcPr>
            <w:tcW w:w="952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Standard Design-Build Agreement and General Conditions, dated February 2, 2023, between Smith &amp; Wesson Brands, Inc and The</w:t>
              </w:r>
            </w:hyperlink>
          </w:p>
        </w:tc>
        <w:tc>
          <w:tcPr>
            <w:tcW w:w="60" w:type="dxa"/>
            <w:vAlign w:val="bottom"/>
            <w:gridSpan w:val="3"/>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Christman Company (portions of the exhibit have been omitted) (15)</w:t>
              </w:r>
            </w:hyperlink>
          </w:p>
        </w:tc>
      </w:tr>
      <w:tr>
        <w:trPr>
          <w:trHeight w:val="790"/>
        </w:trPr>
        <w:tc>
          <w:tcPr>
            <w:tcW w:w="1660" w:type="dxa"/>
            <w:vAlign w:val="bottom"/>
          </w:tcPr>
          <w:p>
            <w:pPr>
              <w:spacing w:after="0"/>
              <w:rPr>
                <w:sz w:val="24"/>
                <w:szCs w:val="24"/>
                <w:color w:val="auto"/>
              </w:rPr>
            </w:pPr>
          </w:p>
        </w:tc>
        <w:tc>
          <w:tcPr>
            <w:tcW w:w="4480" w:type="dxa"/>
            <w:vAlign w:val="bottom"/>
            <w:tcBorders>
              <w:top w:val="single" w:sz="8" w:color="0000EE"/>
            </w:tcBorders>
            <w:gridSpan w:val="6"/>
          </w:tcPr>
          <w:p>
            <w:pPr>
              <w:ind w:left="388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6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tbl>
      <w:tblPr>
        <w:tblLayout w:type="fixed"/>
        <w:tblInd w:w="10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10.125</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Accountability Agreement, dated June 2, 2022, by and among Tennessee Department of Economic and Community Development, a</w:t>
            </w:r>
          </w:p>
        </w:tc>
      </w:tr>
      <w:tr>
        <w:trPr>
          <w:trHeight w:val="234"/>
        </w:trPr>
        <w:tc>
          <w:tcPr>
            <w:tcW w:w="1560" w:type="dxa"/>
            <w:vAlign w:val="bottom"/>
          </w:tcPr>
          <w:p>
            <w:pPr>
              <w:spacing w:after="0"/>
              <w:rPr>
                <w:sz w:val="20"/>
                <w:szCs w:val="20"/>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department of the State of Tennessee, Blount Partnership, and Smith &amp; Wesson Brands, Inc.</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10.126*</w:t>
            </w:r>
          </w:p>
        </w:tc>
        <w:tc>
          <w:tcPr>
            <w:tcW w:w="956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Form of Indemnity Agreement entered into with the following directors and executive officers: as of August 9, 2022 with Anita D.</w:t>
              </w:r>
            </w:hyperlink>
          </w:p>
        </w:tc>
      </w:tr>
      <w:tr>
        <w:trPr>
          <w:trHeight w:val="196"/>
        </w:trPr>
        <w:tc>
          <w:tcPr>
            <w:tcW w:w="1560" w:type="dxa"/>
            <w:vAlign w:val="bottom"/>
          </w:tcPr>
          <w:p>
            <w:pPr>
              <w:spacing w:after="0"/>
              <w:rPr>
                <w:sz w:val="17"/>
                <w:szCs w:val="17"/>
                <w:color w:val="auto"/>
              </w:rPr>
            </w:pPr>
          </w:p>
        </w:tc>
        <w:tc>
          <w:tcPr>
            <w:tcW w:w="9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Britt, Fred M. Diaz, Kevin A. Maxwell, Deana L. McPherson, Barry M. Monheit, and Robert L. Scott; as of August 24, 2022 with</w:t>
              </w:r>
            </w:hyperlink>
          </w:p>
        </w:tc>
      </w:tr>
      <w:tr>
        <w:trPr>
          <w:trHeight w:val="196"/>
        </w:trPr>
        <w:tc>
          <w:tcPr>
            <w:tcW w:w="1560" w:type="dxa"/>
            <w:vAlign w:val="bottom"/>
          </w:tcPr>
          <w:p>
            <w:pPr>
              <w:spacing w:after="0"/>
              <w:rPr>
                <w:sz w:val="17"/>
                <w:szCs w:val="17"/>
                <w:color w:val="auto"/>
              </w:rPr>
            </w:pPr>
          </w:p>
        </w:tc>
        <w:tc>
          <w:tcPr>
            <w:tcW w:w="9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Susan J. Cupero; as of August 25, 2022 with Denis G. Suggs and Mark P. Smith; and as of July 17, 2023 with Michelle J. Lohmeier</w:t>
              </w:r>
            </w:hyperlink>
          </w:p>
        </w:tc>
      </w:tr>
      <w:tr>
        <w:trPr>
          <w:trHeight w:val="196"/>
        </w:trPr>
        <w:tc>
          <w:tcPr>
            <w:tcW w:w="156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3"/>
              </w:rPr>
            </w:pPr>
            <w:hyperlink r:id="rId117">
              <w:r>
                <w:rPr>
                  <w:rFonts w:ascii="Times New Roman" w:cs="Times New Roman" w:eastAsia="Times New Roman" w:hAnsi="Times New Roman"/>
                  <w:sz w:val="18"/>
                  <w:szCs w:val="18"/>
                  <w:color w:val="auto"/>
                  <w:w w:val="93"/>
                </w:rPr>
                <w:t>(11)</w:t>
              </w:r>
            </w:hyperlink>
          </w:p>
        </w:tc>
        <w:tc>
          <w:tcPr>
            <w:tcW w:w="1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10.127(a)</w:t>
            </w:r>
          </w:p>
        </w:tc>
        <w:tc>
          <w:tcPr>
            <w:tcW w:w="9560" w:type="dxa"/>
            <w:vAlign w:val="bottom"/>
            <w:gridSpan w:val="14"/>
          </w:tcPr>
          <w:p>
            <w:pPr>
              <w:spacing w:after="0"/>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Form of Dividend Equivalent Award Agreement (24)</w:t>
              </w:r>
            </w:hyperlink>
          </w:p>
        </w:tc>
      </w:tr>
      <w:tr>
        <w:trPr>
          <w:trHeight w:val="20"/>
        </w:trPr>
        <w:tc>
          <w:tcPr>
            <w:tcW w:w="1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10.127(b)</w:t>
            </w:r>
          </w:p>
        </w:tc>
        <w:tc>
          <w:tcPr>
            <w:tcW w:w="5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w w:val="99"/>
              </w:rPr>
              <w:t>Form of Amended and Restated Dividend Equivalent Award Agreement</w:t>
            </w:r>
          </w:p>
        </w:tc>
        <w:tc>
          <w:tcPr>
            <w:tcW w:w="4340" w:type="dxa"/>
            <w:vAlign w:val="bottom"/>
            <w:gridSpan w:val="3"/>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10.128*</w:t>
            </w:r>
          </w:p>
        </w:tc>
        <w:tc>
          <w:tcPr>
            <w:tcW w:w="9560" w:type="dxa"/>
            <w:vAlign w:val="bottom"/>
            <w:gridSpan w:val="14"/>
          </w:tcPr>
          <w:p>
            <w:pPr>
              <w:spacing w:after="0"/>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 xml:space="preserve">Agreement and Release, dated April 28, 2025 </w:t>
              </w:r>
            </w:hyperlink>
            <w:r>
              <w:rPr>
                <w:rFonts w:ascii="Times New Roman" w:cs="Times New Roman" w:eastAsia="Times New Roman" w:hAnsi="Times New Roman"/>
                <w:sz w:val="18"/>
                <w:szCs w:val="18"/>
                <w:color w:val="auto"/>
              </w:rPr>
              <w:t>(25)</w:t>
            </w:r>
          </w:p>
        </w:tc>
      </w:tr>
      <w:tr>
        <w:trPr>
          <w:trHeight w:val="20"/>
        </w:trPr>
        <w:tc>
          <w:tcPr>
            <w:tcW w:w="1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Policy on Inside Information and Insider Trading</w:t>
            </w:r>
          </w:p>
        </w:tc>
        <w:tc>
          <w:tcPr>
            <w:tcW w:w="6020" w:type="dxa"/>
            <w:vAlign w:val="bottom"/>
            <w:gridSpan w:val="9"/>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8"/>
              </w:rPr>
              <w:t>Subsidiaries of the Registrant</w:t>
            </w:r>
          </w:p>
        </w:tc>
        <w:tc>
          <w:tcPr>
            <w:tcW w:w="7440" w:type="dxa"/>
            <w:vAlign w:val="bottom"/>
            <w:gridSpan w:val="12"/>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Consent of KPMG LLP, an Independent Registered Public Accounting Firm</w:t>
            </w:r>
          </w:p>
        </w:tc>
      </w:tr>
      <w:tr>
        <w:trPr>
          <w:trHeight w:val="20"/>
        </w:trPr>
        <w:tc>
          <w:tcPr>
            <w:tcW w:w="15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w w:val="99"/>
              </w:rPr>
              <w:t>Consent of Deloitte &amp; Touche LLP, an Independent Registered Public Accounting Firm</w:t>
            </w:r>
          </w:p>
        </w:tc>
        <w:tc>
          <w:tcPr>
            <w:tcW w:w="3220" w:type="dxa"/>
            <w:vAlign w:val="bottom"/>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Rule 13a-14(a)/15d-14(a) Certification of Principal Executive Officer</w:t>
            </w:r>
          </w:p>
        </w:tc>
        <w:tc>
          <w:tcPr>
            <w:tcW w:w="4540" w:type="dxa"/>
            <w:vAlign w:val="bottom"/>
            <w:gridSpan w:val="4"/>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Rule 13a-14(a)/15d-14(a) Certification of Principal Financial Officer</w:t>
            </w:r>
          </w:p>
        </w:tc>
        <w:tc>
          <w:tcPr>
            <w:tcW w:w="4560" w:type="dxa"/>
            <w:vAlign w:val="bottom"/>
            <w:gridSpan w:val="5"/>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1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Section 1350 Certification of Principal Executive Officer</w:t>
            </w:r>
          </w:p>
        </w:tc>
        <w:tc>
          <w:tcPr>
            <w:tcW w:w="5400" w:type="dxa"/>
            <w:vAlign w:val="bottom"/>
            <w:gridSpan w:val="6"/>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Section 1350 Certification of Principal Financial Officer</w:t>
            </w:r>
          </w:p>
        </w:tc>
        <w:tc>
          <w:tcPr>
            <w:tcW w:w="5460" w:type="dxa"/>
            <w:vAlign w:val="bottom"/>
            <w:gridSpan w:val="7"/>
          </w:tcPr>
          <w:p>
            <w:pPr>
              <w:spacing w:after="0"/>
              <w:rPr>
                <w:sz w:val="24"/>
                <w:szCs w:val="24"/>
                <w:color w:val="auto"/>
              </w:rPr>
            </w:pPr>
          </w:p>
        </w:tc>
      </w:tr>
      <w:tr>
        <w:trPr>
          <w:trHeight w:val="31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Executive Officer Clawback Policy</w:t>
            </w:r>
          </w:p>
        </w:tc>
      </w:tr>
      <w:tr>
        <w:trPr>
          <w:trHeight w:val="20"/>
        </w:trPr>
        <w:tc>
          <w:tcPr>
            <w:tcW w:w="15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7020" w:type="dxa"/>
            <w:vAlign w:val="bottom"/>
            <w:gridSpan w:val="11"/>
          </w:tcPr>
          <w:p>
            <w:pPr>
              <w:spacing w:after="0" w:line="20" w:lineRule="exact"/>
              <w:rPr>
                <w:sz w:val="1"/>
                <w:szCs w:val="1"/>
                <w:color w:val="auto"/>
              </w:rPr>
            </w:pPr>
          </w:p>
        </w:tc>
      </w:tr>
      <w:tr>
        <w:trPr>
          <w:trHeight w:val="34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560" w:type="dxa"/>
            <w:vAlign w:val="bottom"/>
          </w:tcPr>
          <w:p>
            <w:pPr>
              <w:spacing w:after="0"/>
              <w:rPr>
                <w:sz w:val="20"/>
                <w:szCs w:val="20"/>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03" w:lineRule="exact"/>
        <w:rPr>
          <w:sz w:val="20"/>
          <w:szCs w:val="20"/>
          <w:color w:val="auto"/>
        </w:rPr>
      </w:pPr>
    </w:p>
    <w:p>
      <w:pPr>
        <w:ind w:right="3800" w:firstLine="98"/>
        <w:spacing w:after="0" w:line="370" w:lineRule="auto"/>
        <w:tabs>
          <w:tab w:leader="none" w:pos="16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Management contract or compensatory arrangement.</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2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has been submitted to the SEC for confidential treatment, pursuant to Rule 24b-2 of the Exchange Act, of portions of this exhibit. These portions have been omitted from this exhibit.</w:t>
      </w:r>
    </w:p>
    <w:p>
      <w:pPr>
        <w:ind w:firstLine="8"/>
        <w:spacing w:after="0" w:line="260" w:lineRule="auto"/>
        <w:tabs>
          <w:tab w:leader="none" w:pos="3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from this filing pursuant to Item 601(a) (5) of the Regulation S-K. We agree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-729615</wp:posOffset>
            </wp:positionV>
            <wp:extent cx="19030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1"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August 26, 2020.</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March 22,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March 2, 2017.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1, 2013.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19,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17,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March 10, 2005.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June 9,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December 20, 2013.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S-8 filed with the SEC on December 20, 2013.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September 8, 2022.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22, 2015.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22,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 w:name="page55"/>
    <w:bookmarkEnd w:id="54"/>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31, 2017.</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February 3,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April 9,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20,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20,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May 2,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4,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August 18,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Registrant’s Form 8-K filed with the SEC on September 30, 2021.</w:t>
      </w:r>
    </w:p>
    <w:p>
      <w:pPr>
        <w:spacing w:after="0" w:line="20"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S-8 filed with the SEC on March 30, 2022.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December 7,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May 2,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SMITH &amp; WESSON BRANDS, INC.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Mark P. Smith</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Mark P. Smith</w:t>
            </w:r>
          </w:p>
        </w:tc>
        <w:tc>
          <w:tcPr>
            <w:tcW w:w="140" w:type="dxa"/>
            <w:vAlign w:val="bottom"/>
          </w:tcPr>
          <w:p>
            <w:pPr>
              <w:spacing w:after="0"/>
              <w:rPr>
                <w:sz w:val="24"/>
                <w:szCs w:val="24"/>
                <w:color w:val="auto"/>
              </w:rPr>
            </w:pPr>
          </w:p>
        </w:tc>
        <w:tc>
          <w:tcPr>
            <w:tcW w:w="53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c>
          <w:tcPr>
            <w:tcW w:w="0" w:type="dxa"/>
            <w:vAlign w:val="bottom"/>
          </w:tcPr>
          <w:p>
            <w:pPr>
              <w:spacing w:after="0"/>
              <w:rPr>
                <w:sz w:val="1"/>
                <w:szCs w:val="1"/>
                <w:color w:val="auto"/>
              </w:rPr>
            </w:pPr>
          </w:p>
        </w:tc>
      </w:tr>
      <w:tr>
        <w:trPr>
          <w:trHeight w:val="126"/>
        </w:trPr>
        <w:tc>
          <w:tcPr>
            <w:tcW w:w="3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Mark P. Smith</w:t>
            </w:r>
          </w:p>
        </w:tc>
        <w:tc>
          <w:tcPr>
            <w:tcW w:w="140" w:type="dxa"/>
            <w:vAlign w:val="bottom"/>
          </w:tcPr>
          <w:p>
            <w:pPr>
              <w:spacing w:after="0"/>
              <w:rPr>
                <w:sz w:val="7"/>
                <w:szCs w:val="7"/>
                <w:color w:val="auto"/>
              </w:rPr>
            </w:pPr>
          </w:p>
        </w:tc>
        <w:tc>
          <w:tcPr>
            <w:tcW w:w="5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Deana L. McPherson</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c>
          <w:tcPr>
            <w:tcW w:w="0" w:type="dxa"/>
            <w:vAlign w:val="bottom"/>
          </w:tcPr>
          <w:p>
            <w:pPr>
              <w:spacing w:after="0"/>
              <w:rPr>
                <w:sz w:val="1"/>
                <w:szCs w:val="1"/>
                <w:color w:val="auto"/>
              </w:rPr>
            </w:pPr>
          </w:p>
        </w:tc>
      </w:tr>
      <w:tr>
        <w:trPr>
          <w:trHeight w:val="140"/>
        </w:trPr>
        <w:tc>
          <w:tcPr>
            <w:tcW w:w="3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Assistant Secretary</w:t>
            </w: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Deana L. McPherson</w:t>
            </w:r>
          </w:p>
        </w:tc>
        <w:tc>
          <w:tcPr>
            <w:tcW w:w="140" w:type="dxa"/>
            <w:vAlign w:val="bottom"/>
          </w:tcPr>
          <w:p>
            <w:pPr>
              <w:spacing w:after="0"/>
              <w:rPr>
                <w:sz w:val="6"/>
                <w:szCs w:val="6"/>
                <w:color w:val="auto"/>
              </w:rPr>
            </w:pPr>
          </w:p>
        </w:tc>
        <w:tc>
          <w:tcPr>
            <w:tcW w:w="5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3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Robert L. Scott</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L. Scott</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Anita D. Britt</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Anita D. Britt</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Fred M. Diaz</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 M. Diaz</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Michelle J. Lohmeier</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Michelle J. Lohmeier</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Barry M. Monheit</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Barry M. Monheit</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Denis G. Suggs</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Denis G. Suggs</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3380" w:type="dxa"/>
            <w:vAlign w:val="bottom"/>
          </w:tcPr>
          <w:p>
            <w:pPr>
              <w:spacing w:after="0"/>
              <w:rPr>
                <w:sz w:val="24"/>
                <w:szCs w:val="24"/>
                <w:color w:val="auto"/>
              </w:rPr>
            </w:pPr>
          </w:p>
        </w:tc>
        <w:tc>
          <w:tcPr>
            <w:tcW w:w="5520" w:type="dxa"/>
            <w:vAlign w:val="bottom"/>
            <w:gridSpan w:val="2"/>
          </w:tcPr>
          <w:p>
            <w:pPr>
              <w:jc w:val="right"/>
              <w:ind w:right="309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ind w:left="32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 (PCAOB ID No. 185)</w:t>
            </w:r>
          </w:p>
        </w:tc>
        <w:tc>
          <w:tcPr>
            <w:tcW w:w="4260" w:type="dxa"/>
            <w:vAlign w:val="bottom"/>
            <w:gridSpan w:val="4"/>
            <w:vMerge w:val="restart"/>
          </w:tcPr>
          <w:p>
            <w:pPr>
              <w:spacing w:after="0"/>
              <w:rPr>
                <w:sz w:val="15"/>
                <w:szCs w:val="15"/>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920" w:type="dxa"/>
            <w:vAlign w:val="bottom"/>
            <w:tcBorders>
              <w:bottom w:val="single" w:sz="8" w:color="0000FF"/>
            </w:tcBorders>
            <w:gridSpan w:val="5"/>
            <w:vMerge w:val="continue"/>
          </w:tcPr>
          <w:p>
            <w:pPr>
              <w:spacing w:after="0"/>
              <w:rPr>
                <w:sz w:val="14"/>
                <w:szCs w:val="14"/>
                <w:color w:val="auto"/>
              </w:rPr>
            </w:pPr>
          </w:p>
        </w:tc>
        <w:tc>
          <w:tcPr>
            <w:tcW w:w="4260" w:type="dxa"/>
            <w:vAlign w:val="bottom"/>
            <w:gridSpan w:val="4"/>
            <w:vMerge w:val="continue"/>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34)</w:t>
            </w:r>
          </w:p>
        </w:tc>
        <w:tc>
          <w:tcPr>
            <w:tcW w:w="4420" w:type="dxa"/>
            <w:vAlign w:val="bottom"/>
            <w:gridSpan w:val="5"/>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April 30, 2026 and 2025</w:t>
            </w:r>
          </w:p>
        </w:tc>
        <w:tc>
          <w:tcPr>
            <w:tcW w:w="20" w:type="dxa"/>
            <w:vAlign w:val="bottom"/>
            <w:tcBorders>
              <w:bottom w:val="single" w:sz="8" w:color="0000EE"/>
            </w:tcBorders>
          </w:tcPr>
          <w:p>
            <w:pPr>
              <w:spacing w:after="0"/>
              <w:rPr>
                <w:sz w:val="17"/>
                <w:szCs w:val="17"/>
                <w:color w:val="auto"/>
              </w:rPr>
            </w:pPr>
          </w:p>
        </w:tc>
        <w:tc>
          <w:tcPr>
            <w:tcW w:w="5860" w:type="dxa"/>
            <w:vAlign w:val="bottom"/>
            <w:gridSpan w:val="6"/>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 for the years ended April 30, 2026, 2025, and 2024</w:t>
            </w:r>
          </w:p>
        </w:tc>
        <w:tc>
          <w:tcPr>
            <w:tcW w:w="3880" w:type="dxa"/>
            <w:vAlign w:val="bottom"/>
            <w:gridSpan w:val="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April 30, 2026, 2025, and 2024</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660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April 30, 2026, 2025, and 2024</w:t>
            </w:r>
          </w:p>
        </w:tc>
        <w:tc>
          <w:tcPr>
            <w:tcW w:w="1520" w:type="dxa"/>
            <w:vAlign w:val="bottom"/>
            <w:tcBorders>
              <w:top w:val="single" w:sz="8" w:color="0000FF"/>
            </w:tcBorders>
          </w:tcPr>
          <w:p>
            <w:pPr>
              <w:spacing w:after="0"/>
              <w:rPr>
                <w:sz w:val="17"/>
                <w:szCs w:val="17"/>
                <w:color w:val="auto"/>
              </w:rPr>
            </w:pPr>
          </w:p>
        </w:tc>
        <w:tc>
          <w:tcPr>
            <w:tcW w:w="20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884"/>
        </w:trPr>
        <w:tc>
          <w:tcPr>
            <w:tcW w:w="316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rPr>
              <w:t>F-1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&amp; Wesson Brands,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Smith &amp; Wesson Brands, Inc. and subsidiaries (the Company) as of April 30, 2026 and 2025, the related consolidated statements of income, changes in stockholders’ equity, and cash flows for each of the years in the two-year period ended April 30, 2026, and the related notes (collectively, the consolidated financial statements). We also have audited the Company’s internal control over financial reporting as of April 30, 2026, based on criteria established in Internal Control – Integrated Framework (2013) issued by the Committee of Sponsoring Organizations of the Treadway Commission.</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April 30, 2026 and 2025, and the results of its operations and its cash flows for each of the years in the two-year period ended April 30, 2026, in conformity with U.S. generally accepted accounting principles. Also in our opinion, the Company maintained, in all material respects, effective internal control over financial reporting as of April 30, 2026 based on criteria established in Internal Control – Integrated Framework (2013)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3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Smith &amp; Wesson Brands,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income, changes in stockholders' equity, and cash flows, for the year ended April 30, 2024, and the related notes (collectively referred to as the "financial statements") of Smith &amp; Wesson Brands, Inc. (the “Company”). In our opinion, the financial statements present fairly, in all material respects, the results of the Company’s operations and its cash flows for the year ended April 30, 2024,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June 20, 2024 (June 20, 2025, as to the retrospective application of ASU 2023-07, Segment Reporting (Topic 280): Improvements to Reportable Segment Disclosures, as presented in Note 16)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began serving as the Company's auditor in 2014. In 2024 we became the predecessor auditor.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20" w:type="dxa"/>
            <w:vAlign w:val="bottom"/>
            <w:gridSpan w:val="6"/>
          </w:tcPr>
          <w:p>
            <w:pPr>
              <w:jc w:val="right"/>
              <w:ind w:right="620"/>
              <w:spacing w:after="0" w:line="155" w:lineRule="exact"/>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5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28,190</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744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allowances for credit losses of $5 on</w:t>
            </w:r>
          </w:p>
        </w:tc>
        <w:tc>
          <w:tcPr>
            <w:tcW w:w="2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April 30, 2026 and April 30, 2025</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7,170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receivable</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241,403</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277,265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and</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$397,668 on April 30, 2026 and $368,811 on April 30, 2025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Intangibles, net</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4,347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512,766</w:t>
            </w:r>
          </w:p>
        </w:tc>
        <w:tc>
          <w:tcPr>
            <w:tcW w:w="2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559,612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440" w:type="dxa"/>
            <w:vAlign w:val="bottom"/>
            <w:tcBorders>
              <w:top w:val="single" w:sz="8" w:color="CFF0FC"/>
            </w:tcBorders>
          </w:tcPr>
          <w:p>
            <w:pPr>
              <w:ind w:left="370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34,570</w:t>
            </w:r>
          </w:p>
        </w:tc>
        <w:tc>
          <w:tcPr>
            <w:tcW w:w="20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19,146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profit sharing</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5,155</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warranty</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75,367</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66,640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Notes and loans payable (Note 4)</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Finance lease payable, net of current portion</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32,163</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33,703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136,207</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187,158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14)</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$0.001 par value, 20,000,000 shares authorized, no shares</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or outstanding</w:t>
            </w:r>
          </w:p>
        </w:tc>
        <w:tc>
          <w:tcPr>
            <w:tcW w:w="28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44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Common stock, $0.001 par value, 100,000,000 shares authorized,</w:t>
            </w:r>
          </w:p>
        </w:tc>
        <w:tc>
          <w:tcPr>
            <w:tcW w:w="2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44,605,993 shares issued and outstanding on April 30,</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2026 and 75,789,455 shares issued and 44,111,461 shares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outstanding on April 30, 2025</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373,738</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532,615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Treasury stock, at cost (no shares on April 30, 2026 and 31,677,994 shares</w:t>
            </w:r>
          </w:p>
        </w:tc>
        <w:tc>
          <w:tcPr>
            <w:tcW w:w="280" w:type="dxa"/>
            <w:vAlign w:val="bottom"/>
          </w:tcPr>
          <w:p>
            <w:pPr>
              <w:spacing w:after="0"/>
              <w:rPr>
                <w:sz w:val="15"/>
                <w:szCs w:val="15"/>
                <w:color w:val="auto"/>
              </w:rPr>
            </w:pPr>
          </w:p>
        </w:tc>
        <w:tc>
          <w:tcPr>
            <w:tcW w:w="1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(458,312)</w:t>
            </w:r>
          </w:p>
        </w:tc>
        <w:tc>
          <w:tcPr>
            <w:tcW w:w="0" w:type="dxa"/>
            <w:vAlign w:val="bottom"/>
          </w:tcPr>
          <w:p>
            <w:pPr>
              <w:spacing w:after="0"/>
              <w:rPr>
                <w:sz w:val="1"/>
                <w:szCs w:val="1"/>
                <w:color w:val="auto"/>
              </w:rPr>
            </w:pPr>
          </w:p>
        </w:tc>
      </w:tr>
      <w:tr>
        <w:trPr>
          <w:trHeight w:val="21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on April 30, 2025)</w:t>
            </w:r>
          </w:p>
        </w:tc>
        <w:tc>
          <w:tcPr>
            <w:tcW w:w="2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376,559</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372,454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512,766</w:t>
            </w:r>
          </w:p>
        </w:tc>
        <w:tc>
          <w:tcPr>
            <w:tcW w:w="20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-4354195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-3436620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-3419475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-2373630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-1842135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5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gridSpan w:val="7"/>
          </w:tcPr>
          <w:p>
            <w:pPr>
              <w:jc w:val="right"/>
              <w:ind w:right="116"/>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523,845</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474,661</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535,833</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347,478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377,740</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141,103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127,183</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54,933</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63,133</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(2,515)</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3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111,892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103,299</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100" w:type="dxa"/>
            <w:vAlign w:val="bottom"/>
          </w:tcPr>
          <w:p>
            <w:pPr>
              <w:spacing w:after="0"/>
              <w:rPr>
                <w:sz w:val="18"/>
                <w:szCs w:val="18"/>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income/(expense), net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(4,622)</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(2,055)</w:t>
            </w:r>
          </w:p>
        </w:tc>
      </w:tr>
      <w:tr>
        <w:trPr>
          <w:trHeight w:val="20"/>
        </w:trPr>
        <w:tc>
          <w:tcPr>
            <w:tcW w:w="538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19,245</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51,719</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Pr>
          <w:p>
            <w:pPr>
              <w:spacing w:after="0"/>
              <w:rPr>
                <w:sz w:val="18"/>
                <w:szCs w:val="18"/>
                <w:color w:val="auto"/>
              </w:rPr>
            </w:pPr>
          </w:p>
        </w:tc>
      </w:tr>
      <w:tr>
        <w:trPr>
          <w:trHeight w:val="24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1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260" w:type="dxa"/>
            <w:vAlign w:val="bottom"/>
            <w:tcBorders>
              <w:right w:val="single" w:sz="8" w:color="CFF0FC"/>
            </w:tcBorders>
            <w:shd w:val="clear" w:color="auto" w:fill="CFF0FC"/>
          </w:tcPr>
          <w:p>
            <w:pPr>
              <w:spacing w:after="0"/>
              <w:rPr>
                <w:sz w:val="21"/>
                <w:szCs w:val="21"/>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100" w:type="dxa"/>
            <w:vAlign w:val="bottom"/>
            <w:shd w:val="clear" w:color="auto" w:fill="CFF0FC"/>
          </w:tcPr>
          <w:p>
            <w:pPr>
              <w:spacing w:after="0"/>
              <w:rPr>
                <w:sz w:val="21"/>
                <w:szCs w:val="21"/>
                <w:color w:val="auto"/>
              </w:rPr>
            </w:pPr>
          </w:p>
        </w:tc>
      </w:tr>
      <w:tr>
        <w:trPr>
          <w:trHeight w:val="197"/>
        </w:trPr>
        <w:tc>
          <w:tcPr>
            <w:tcW w:w="5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1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 net income</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FF0FC"/>
          </w:tcPr>
          <w:p>
            <w:pPr>
              <w:spacing w:after="0"/>
              <w:rPr>
                <w:sz w:val="20"/>
                <w:szCs w:val="20"/>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3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 net income</w:t>
            </w:r>
          </w:p>
        </w:tc>
        <w:tc>
          <w:tcPr>
            <w:tcW w:w="14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17"/>
                <w:szCs w:val="17"/>
                <w:color w:val="auto"/>
              </w:rPr>
            </w:pPr>
          </w:p>
        </w:tc>
        <w:tc>
          <w:tcPr>
            <w:tcW w:w="4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44,932</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-2879725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-2879725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-2039620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-2039620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-1473835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-899795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-882650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-899795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-882650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-599440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-582295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-582295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500" w:type="dxa"/>
            <w:vAlign w:val="bottom"/>
          </w:tcPr>
          <w:p>
            <w:pPr>
              <w:spacing w:after="0"/>
              <w:rPr>
                <w:sz w:val="11"/>
                <w:szCs w:val="11"/>
                <w:color w:val="auto"/>
              </w:rPr>
            </w:pPr>
          </w:p>
        </w:tc>
        <w:tc>
          <w:tcPr>
            <w:tcW w:w="10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5"/>
        </w:trPr>
        <w:tc>
          <w:tcPr>
            <w:tcW w:w="35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5"/>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840" w:type="dxa"/>
            <w:vAlign w:val="bottom"/>
            <w:gridSpan w:val="6"/>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r>
      <w:tr>
        <w:trPr>
          <w:trHeight w:val="128"/>
        </w:trPr>
        <w:tc>
          <w:tcPr>
            <w:tcW w:w="35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(In thousands, except per share data)</w:t>
            </w:r>
          </w:p>
        </w:tc>
        <w:tc>
          <w:tcPr>
            <w:tcW w:w="700" w:type="dxa"/>
            <w:vAlign w:val="bottom"/>
            <w:tcBorders>
              <w:top w:val="single" w:sz="8" w:color="auto"/>
              <w:bottom w:val="single" w:sz="8" w:color="auto"/>
            </w:tcBorders>
          </w:tcPr>
          <w:p>
            <w:pPr>
              <w:jc w:val="right"/>
              <w:ind w:right="138"/>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2"/>
                <w:szCs w:val="12"/>
                <w:b w:val="1"/>
                <w:bCs w:val="1"/>
                <w:color w:val="auto"/>
                <w:w w:val="94"/>
              </w:rPr>
              <w:t>Earnings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2"/>
                <w:szCs w:val="12"/>
                <w:b w:val="1"/>
                <w:bCs w:val="1"/>
                <w:color w:val="auto"/>
                <w:w w:val="99"/>
              </w:rPr>
              <w:t>Income</w:t>
            </w:r>
          </w:p>
        </w:tc>
        <w:tc>
          <w:tcPr>
            <w:tcW w:w="2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78"/>
              <w:spacing w:after="0" w:line="129"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1"/>
                <w:szCs w:val="11"/>
                <w:color w:val="auto"/>
              </w:rPr>
            </w:pPr>
          </w:p>
        </w:tc>
      </w:tr>
      <w:tr>
        <w:trPr>
          <w:trHeight w:val="128"/>
        </w:trPr>
        <w:tc>
          <w:tcPr>
            <w:tcW w:w="3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April 30, 2023</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75,029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283,666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523,184</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29,040</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(422,375)</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384,623</w:t>
            </w:r>
          </w:p>
        </w:tc>
        <w:tc>
          <w:tcPr>
            <w:tcW w:w="120" w:type="dxa"/>
            <w:vAlign w:val="bottom"/>
            <w:shd w:val="clear" w:color="auto" w:fill="CFF0FC"/>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5,683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5,683</w:t>
            </w:r>
          </w:p>
        </w:tc>
        <w:tc>
          <w:tcPr>
            <w:tcW w:w="120" w:type="dxa"/>
            <w:vAlign w:val="bottom"/>
          </w:tcPr>
          <w:p>
            <w:pPr>
              <w:spacing w:after="0"/>
              <w:rPr>
                <w:sz w:val="11"/>
                <w:szCs w:val="11"/>
                <w:color w:val="auto"/>
              </w:rPr>
            </w:pPr>
          </w:p>
        </w:tc>
      </w:tr>
      <w:tr>
        <w:trPr>
          <w:trHeight w:val="117"/>
        </w:trPr>
        <w:tc>
          <w:tcPr>
            <w:tcW w:w="35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Shares issued under employee stock purchase</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plan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120" w:type="dxa"/>
            <w:vAlign w:val="bottom"/>
            <w:shd w:val="clear" w:color="auto" w:fill="CFF0FC"/>
          </w:tcPr>
          <w:p>
            <w:pPr>
              <w:spacing w:after="0"/>
              <w:rPr>
                <w:sz w:val="13"/>
                <w:szCs w:val="13"/>
                <w:color w:val="auto"/>
              </w:rPr>
            </w:pPr>
          </w:p>
        </w:tc>
      </w:tr>
      <w:tr>
        <w:trPr>
          <w:trHeight w:val="117"/>
        </w:trPr>
        <w:tc>
          <w:tcPr>
            <w:tcW w:w="3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restricted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 unit awards, net of shares surrendered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(839)</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(839)</w:t>
            </w:r>
          </w:p>
        </w:tc>
      </w:tr>
      <w:tr>
        <w:trPr>
          <w:trHeight w:val="117"/>
        </w:trPr>
        <w:tc>
          <w:tcPr>
            <w:tcW w:w="35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Repurchase of treasury stock, including</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excise tax</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(10,267)</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(10,267)</w:t>
            </w:r>
          </w:p>
        </w:tc>
      </w:tr>
      <w:tr>
        <w:trPr>
          <w:trHeight w:val="117"/>
        </w:trPr>
        <w:tc>
          <w:tcPr>
            <w:tcW w:w="3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Dividends issued, including accruals ($0.48</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per common share)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(22,133)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(22,133)</w:t>
            </w:r>
          </w:p>
        </w:tc>
      </w:tr>
      <w:tr>
        <w:trPr>
          <w:trHeight w:val="135"/>
        </w:trPr>
        <w:tc>
          <w:tcPr>
            <w:tcW w:w="35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41,363</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41,363</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35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April 30, 2024</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75,395</w:t>
            </w:r>
          </w:p>
        </w:tc>
        <w:tc>
          <w:tcPr>
            <w:tcW w:w="2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289,994</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542,414</w:t>
            </w:r>
          </w:p>
        </w:tc>
        <w:tc>
          <w:tcPr>
            <w:tcW w:w="120" w:type="dxa"/>
            <w:vAlign w:val="bottom"/>
          </w:tcPr>
          <w:p>
            <w:pPr>
              <w:spacing w:after="0"/>
              <w:rPr>
                <w:sz w:val="11"/>
                <w:szCs w:val="11"/>
                <w:color w:val="auto"/>
              </w:rPr>
            </w:pP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2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29,834</w:t>
            </w:r>
          </w:p>
        </w:tc>
        <w:tc>
          <w:tcPr>
            <w:tcW w:w="12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(432,642)</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399,914</w:t>
            </w:r>
          </w:p>
        </w:tc>
        <w:tc>
          <w:tcPr>
            <w:tcW w:w="120" w:type="dxa"/>
            <w:vAlign w:val="bottom"/>
          </w:tcPr>
          <w:p>
            <w:pPr>
              <w:spacing w:after="0"/>
              <w:rPr>
                <w:sz w:val="11"/>
                <w:szCs w:val="11"/>
                <w:color w:val="auto"/>
              </w:rPr>
            </w:pPr>
          </w:p>
        </w:tc>
      </w:tr>
      <w:tr>
        <w:trPr>
          <w:trHeight w:val="135"/>
        </w:trPr>
        <w:tc>
          <w:tcPr>
            <w:tcW w:w="3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7,609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7,609</w:t>
            </w:r>
          </w:p>
        </w:tc>
        <w:tc>
          <w:tcPr>
            <w:tcW w:w="120" w:type="dxa"/>
            <w:vAlign w:val="bottom"/>
            <w:shd w:val="clear" w:color="auto" w:fill="CFF0FC"/>
          </w:tcPr>
          <w:p>
            <w:pPr>
              <w:spacing w:after="0"/>
              <w:rPr>
                <w:sz w:val="11"/>
                <w:szCs w:val="11"/>
                <w:color w:val="auto"/>
              </w:rPr>
            </w:pPr>
          </w:p>
        </w:tc>
      </w:tr>
      <w:tr>
        <w:trPr>
          <w:trHeight w:val="117"/>
        </w:trPr>
        <w:tc>
          <w:tcPr>
            <w:tcW w:w="3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Shares issued under employee stock purchase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120" w:type="dxa"/>
            <w:vAlign w:val="bottom"/>
          </w:tcPr>
          <w:p>
            <w:pPr>
              <w:spacing w:after="0"/>
              <w:rPr>
                <w:sz w:val="13"/>
                <w:szCs w:val="13"/>
                <w:color w:val="auto"/>
              </w:rPr>
            </w:pPr>
          </w:p>
        </w:tc>
      </w:tr>
      <w:tr>
        <w:trPr>
          <w:trHeight w:val="117"/>
        </w:trPr>
        <w:tc>
          <w:tcPr>
            <w:tcW w:w="35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restricted</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stock unit awards, net of shares surrendered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(1,126)</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(1,125)</w:t>
            </w:r>
          </w:p>
        </w:tc>
      </w:tr>
      <w:tr>
        <w:trPr>
          <w:trHeight w:val="117"/>
        </w:trPr>
        <w:tc>
          <w:tcPr>
            <w:tcW w:w="3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Repurchase of treasury stock, including</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excise tax</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(25,670)</w:t>
            </w:r>
          </w:p>
        </w:tc>
        <w:tc>
          <w:tcPr>
            <w:tcW w:w="12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(25,670)</w:t>
            </w:r>
          </w:p>
        </w:tc>
      </w:tr>
      <w:tr>
        <w:trPr>
          <w:trHeight w:val="117"/>
        </w:trPr>
        <w:tc>
          <w:tcPr>
            <w:tcW w:w="35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Dividends issued, including accruals ($0.52</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per common share)</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(23,224)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(23,224)</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13,425</w:t>
            </w:r>
          </w:p>
        </w:tc>
        <w:tc>
          <w:tcPr>
            <w:tcW w:w="120" w:type="dxa"/>
            <w:vAlign w:val="bottom"/>
          </w:tcPr>
          <w:p>
            <w:pPr>
              <w:spacing w:after="0"/>
              <w:rPr>
                <w:sz w:val="11"/>
                <w:szCs w:val="11"/>
                <w:color w:val="auto"/>
              </w:rPr>
            </w:pPr>
          </w:p>
        </w:tc>
      </w:tr>
      <w:tr>
        <w:trPr>
          <w:trHeight w:val="135"/>
        </w:trPr>
        <w:tc>
          <w:tcPr>
            <w:tcW w:w="3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8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(73)</w:t>
            </w:r>
          </w:p>
        </w:tc>
      </w:tr>
      <w:tr>
        <w:trPr>
          <w:trHeight w:val="20"/>
        </w:trPr>
        <w:tc>
          <w:tcPr>
            <w:tcW w:w="35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35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April 30, 2025</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75,789</w:t>
            </w:r>
          </w:p>
        </w:tc>
        <w:tc>
          <w:tcPr>
            <w:tcW w:w="2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298,075</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532,615</w:t>
            </w:r>
          </w:p>
        </w:tc>
        <w:tc>
          <w:tcPr>
            <w:tcW w:w="120" w:type="dxa"/>
            <w:vAlign w:val="bottom"/>
          </w:tcPr>
          <w:p>
            <w:pPr>
              <w:spacing w:after="0"/>
              <w:rPr>
                <w:sz w:val="11"/>
                <w:szCs w:val="11"/>
                <w:color w:val="auto"/>
              </w:rPr>
            </w:pP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31,678</w:t>
            </w:r>
          </w:p>
        </w:tc>
        <w:tc>
          <w:tcPr>
            <w:tcW w:w="12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(458,312)</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372,454</w:t>
            </w:r>
          </w:p>
        </w:tc>
        <w:tc>
          <w:tcPr>
            <w:tcW w:w="120" w:type="dxa"/>
            <w:vAlign w:val="bottom"/>
          </w:tcPr>
          <w:p>
            <w:pPr>
              <w:spacing w:after="0"/>
              <w:rPr>
                <w:sz w:val="11"/>
                <w:szCs w:val="11"/>
                <w:color w:val="auto"/>
              </w:rPr>
            </w:pPr>
          </w:p>
        </w:tc>
      </w:tr>
      <w:tr>
        <w:trPr>
          <w:trHeight w:val="135"/>
        </w:trPr>
        <w:tc>
          <w:tcPr>
            <w:tcW w:w="3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8,350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8,350</w:t>
            </w:r>
          </w:p>
        </w:tc>
        <w:tc>
          <w:tcPr>
            <w:tcW w:w="120" w:type="dxa"/>
            <w:vAlign w:val="bottom"/>
            <w:shd w:val="clear" w:color="auto" w:fill="CFF0FC"/>
          </w:tcPr>
          <w:p>
            <w:pPr>
              <w:spacing w:after="0"/>
              <w:rPr>
                <w:sz w:val="11"/>
                <w:szCs w:val="11"/>
                <w:color w:val="auto"/>
              </w:rPr>
            </w:pPr>
          </w:p>
        </w:tc>
      </w:tr>
      <w:tr>
        <w:trPr>
          <w:trHeight w:val="117"/>
        </w:trPr>
        <w:tc>
          <w:tcPr>
            <w:tcW w:w="3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Shares issued under employee stock purchase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120" w:type="dxa"/>
            <w:vAlign w:val="bottom"/>
          </w:tcPr>
          <w:p>
            <w:pPr>
              <w:spacing w:after="0"/>
              <w:rPr>
                <w:sz w:val="13"/>
                <w:szCs w:val="13"/>
                <w:color w:val="auto"/>
              </w:rPr>
            </w:pPr>
          </w:p>
        </w:tc>
      </w:tr>
      <w:tr>
        <w:trPr>
          <w:trHeight w:val="117"/>
        </w:trPr>
        <w:tc>
          <w:tcPr>
            <w:tcW w:w="35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restricted</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stock unit awards, net of shares surrendered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(930)</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(929)</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Retirement of common stock held in treasury</w:t>
            </w: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(31,678)</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(304,296)</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(153,984)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(31,678)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458,312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5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Dividends issued, including accruals ($0.52</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per common share)</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(23,374)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(23,374)</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18,481</w:t>
            </w:r>
          </w:p>
        </w:tc>
        <w:tc>
          <w:tcPr>
            <w:tcW w:w="120" w:type="dxa"/>
            <w:vAlign w:val="bottom"/>
          </w:tcPr>
          <w:p>
            <w:pPr>
              <w:spacing w:after="0"/>
              <w:rPr>
                <w:sz w:val="11"/>
                <w:szCs w:val="11"/>
                <w:color w:val="auto"/>
              </w:rPr>
            </w:pPr>
          </w:p>
        </w:tc>
      </w:tr>
      <w:tr>
        <w:trPr>
          <w:trHeight w:val="168"/>
        </w:trPr>
        <w:tc>
          <w:tcPr>
            <w:tcW w:w="35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April 30, 2026</w:t>
            </w: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44,606</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45</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2,776</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373,738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376,559</w:t>
            </w: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-2022475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-2022475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-2022475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-2022475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-2022475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-2022475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-2022475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-985520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-985520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-985520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-985520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-985520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-985520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-985520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18,481</w:t>
            </w:r>
          </w:p>
        </w:tc>
        <w:tc>
          <w:tcPr>
            <w:tcW w:w="140" w:type="dxa"/>
            <w:vAlign w:val="bottom"/>
          </w:tcPr>
          <w:p>
            <w:pPr>
              <w:spacing w:after="0"/>
              <w:rPr>
                <w:sz w:val="12"/>
                <w:szCs w:val="12"/>
                <w:color w:val="auto"/>
              </w:rPr>
            </w:pPr>
          </w:p>
        </w:tc>
        <w:tc>
          <w:tcPr>
            <w:tcW w:w="2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13,425</w:t>
            </w:r>
          </w:p>
        </w:tc>
        <w:tc>
          <w:tcPr>
            <w:tcW w:w="24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41,363</w:t>
            </w:r>
          </w:p>
        </w:tc>
        <w:tc>
          <w:tcPr>
            <w:tcW w:w="100" w:type="dxa"/>
            <w:vAlign w:val="bottom"/>
          </w:tcPr>
          <w:p>
            <w:pPr>
              <w:spacing w:after="0"/>
              <w:rPr>
                <w:sz w:val="12"/>
                <w:szCs w:val="12"/>
                <w:color w:val="auto"/>
              </w:rPr>
            </w:pPr>
          </w:p>
        </w:tc>
      </w:tr>
      <w:tr>
        <w:trPr>
          <w:trHeight w:val="126"/>
        </w:trPr>
        <w:tc>
          <w:tcPr>
            <w:tcW w:w="64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by/(used in)</w:t>
            </w:r>
          </w:p>
        </w:tc>
        <w:tc>
          <w:tcPr>
            <w:tcW w:w="8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6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operating activities:</w:t>
            </w: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6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31,845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32,558</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Gain on sale/disposition of assets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(2,515)</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(5,595)</w:t>
            </w:r>
          </w:p>
        </w:tc>
      </w:tr>
      <w:tr>
        <w:trPr>
          <w:trHeight w:val="148"/>
        </w:trPr>
        <w:tc>
          <w:tcPr>
            <w:tcW w:w="6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Recoveries on notes and accounts receivable</w:t>
            </w:r>
          </w:p>
        </w:tc>
        <w:tc>
          <w:tcPr>
            <w:tcW w:w="88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r>
      <w:tr>
        <w:trPr>
          <w:trHeight w:val="148"/>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5,913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(3,032)</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5,683</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Non-cash sublease income</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(1,797)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(3,896)</w:t>
            </w:r>
          </w:p>
        </w:tc>
      </w:tr>
      <w:tr>
        <w:trPr>
          <w:trHeight w:val="149"/>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(29,340)</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16,618</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w:t>
            </w:r>
          </w:p>
        </w:tc>
      </w:tr>
      <w:tr>
        <w:trPr>
          <w:trHeight w:val="148"/>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(4,551)</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(2,602)</w:t>
            </w: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(14,771)</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18,341</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payroll and incentives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(8,087)</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(1,418)</w:t>
            </w: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profit sharing</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(4,462)</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2"/>
                <w:szCs w:val="12"/>
                <w:color w:val="auto"/>
              </w:rPr>
            </w:pPr>
          </w:p>
        </w:tc>
      </w:tr>
      <w:tr>
        <w:trPr>
          <w:trHeight w:val="149"/>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expenses and deferred revenue</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(3,008)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warranty</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(267)</w:t>
            </w: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2"/>
                <w:szCs w:val="12"/>
                <w:color w:val="auto"/>
              </w:rPr>
            </w:pPr>
          </w:p>
        </w:tc>
      </w:tr>
      <w:tr>
        <w:trPr>
          <w:trHeight w:val="20"/>
        </w:trPr>
        <w:tc>
          <w:tcPr>
            <w:tcW w:w="6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6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provided by/(used in) operating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114,195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(7,223)</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106,739</w:t>
            </w:r>
          </w:p>
        </w:tc>
        <w:tc>
          <w:tcPr>
            <w:tcW w:w="100" w:type="dxa"/>
            <w:vAlign w:val="bottom"/>
            <w:shd w:val="clear" w:color="auto" w:fill="CFF0FC"/>
          </w:tcPr>
          <w:p>
            <w:pPr>
              <w:spacing w:after="0"/>
              <w:rPr>
                <w:sz w:val="12"/>
                <w:szCs w:val="12"/>
                <w:color w:val="auto"/>
              </w:rPr>
            </w:pPr>
          </w:p>
        </w:tc>
      </w:tr>
      <w:tr>
        <w:trPr>
          <w:trHeight w:val="142"/>
        </w:trPr>
        <w:tc>
          <w:tcPr>
            <w:tcW w:w="64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(4,634)</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to acquire patents and software</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w:t>
            </w:r>
          </w:p>
        </w:tc>
      </w:tr>
      <w:tr>
        <w:trPr>
          <w:trHeight w:val="148"/>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intangible assets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2,955</w:t>
            </w:r>
          </w:p>
        </w:tc>
        <w:tc>
          <w:tcPr>
            <w:tcW w:w="100" w:type="dxa"/>
            <w:vAlign w:val="bottom"/>
          </w:tcPr>
          <w:p>
            <w:pPr>
              <w:spacing w:after="0"/>
              <w:rPr>
                <w:sz w:val="12"/>
                <w:szCs w:val="12"/>
                <w:color w:val="auto"/>
              </w:rPr>
            </w:pPr>
          </w:p>
        </w:tc>
      </w:tr>
      <w:tr>
        <w:trPr>
          <w:trHeight w:val="149"/>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to acquire property and equipment</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(23,748)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(21,605)</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(90,759)</w:t>
            </w:r>
          </w:p>
        </w:tc>
      </w:tr>
      <w:tr>
        <w:trPr>
          <w:trHeight w:val="20"/>
        </w:trPr>
        <w:tc>
          <w:tcPr>
            <w:tcW w:w="6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4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(28,240)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(19,173)</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(81,490)</w:t>
            </w:r>
          </w:p>
        </w:tc>
      </w:tr>
      <w:tr>
        <w:trPr>
          <w:trHeight w:val="142"/>
        </w:trPr>
        <w:tc>
          <w:tcPr>
            <w:tcW w:w="6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loans and notes payable</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loans and notes payable</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(85,000)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(35,000)</w:t>
            </w: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debt issuance costs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3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finance lease obligation</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(1,378)</w:t>
            </w: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to acquire treasury stock</w:t>
            </w:r>
          </w:p>
        </w:tc>
        <w:tc>
          <w:tcPr>
            <w:tcW w:w="88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(25,468)</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(10,213)</w:t>
            </w:r>
          </w:p>
        </w:tc>
      </w:tr>
      <w:tr>
        <w:trPr>
          <w:trHeight w:val="149"/>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 distribution</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(23,229)</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(23,096)</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(22,020)</w:t>
            </w: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to acquire common stock from employee stock purchase plan</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employee withholding tax related to restricted stock units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(839)</w:t>
            </w:r>
          </w:p>
        </w:tc>
      </w:tr>
      <w:tr>
        <w:trPr>
          <w:trHeight w:val="20"/>
        </w:trPr>
        <w:tc>
          <w:tcPr>
            <w:tcW w:w="6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4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(82,996)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(9,212)</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(17,966)</w:t>
            </w:r>
          </w:p>
        </w:tc>
      </w:tr>
      <w:tr>
        <w:trPr>
          <w:trHeight w:val="20"/>
        </w:trPr>
        <w:tc>
          <w:tcPr>
            <w:tcW w:w="6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increase/(decrease) in cash and cash equivalents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2,959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(35,608)</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7,283</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60,839</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53,556</w:t>
            </w:r>
          </w:p>
        </w:tc>
        <w:tc>
          <w:tcPr>
            <w:tcW w:w="100" w:type="dxa"/>
            <w:vAlign w:val="bottom"/>
          </w:tcPr>
          <w:p>
            <w:pPr>
              <w:spacing w:after="0"/>
              <w:rPr>
                <w:sz w:val="12"/>
                <w:szCs w:val="12"/>
                <w:color w:val="auto"/>
              </w:rPr>
            </w:pPr>
          </w:p>
        </w:tc>
      </w:tr>
      <w:tr>
        <w:trPr>
          <w:trHeight w:val="182"/>
        </w:trPr>
        <w:tc>
          <w:tcPr>
            <w:tcW w:w="64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auto"/>
            </w:tcBorders>
            <w:shd w:val="clear" w:color="auto" w:fill="CFF0FC"/>
          </w:tcPr>
          <w:p>
            <w:pPr>
              <w:jc w:val="right"/>
              <w:ind w:right="7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28,190</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25,231</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60,839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64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paid for:</w:t>
            </w: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8"/>
        </w:trPr>
        <w:tc>
          <w:tcPr>
            <w:tcW w:w="6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net of amounts capitalized</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w:t>
            </w:r>
          </w:p>
        </w:tc>
        <w:tc>
          <w:tcPr>
            <w:tcW w:w="140" w:type="dxa"/>
            <w:vAlign w:val="bottom"/>
          </w:tcPr>
          <w:p>
            <w:pPr>
              <w:spacing w:after="0"/>
              <w:rPr>
                <w:sz w:val="16"/>
                <w:szCs w:val="16"/>
                <w:color w:val="auto"/>
              </w:rPr>
            </w:pPr>
          </w:p>
        </w:tc>
        <w:tc>
          <w:tcPr>
            <w:tcW w:w="28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-2287905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-2287905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-1713230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-1713230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-1713230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-753110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-753110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-350520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-333375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-350520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-333375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property and equipment included in accounts payable</w:t>
            </w:r>
          </w:p>
        </w:tc>
        <w:tc>
          <w:tcPr>
            <w:tcW w:w="18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2,462</w:t>
            </w:r>
          </w:p>
        </w:tc>
        <w:tc>
          <w:tcPr>
            <w:tcW w:w="120" w:type="dxa"/>
            <w:vAlign w:val="bottom"/>
            <w:shd w:val="clear" w:color="auto" w:fill="CFF0FC"/>
          </w:tcPr>
          <w:p>
            <w:pPr>
              <w:spacing w:after="0"/>
              <w:rPr>
                <w:sz w:val="18"/>
                <w:szCs w:val="18"/>
                <w:color w:val="auto"/>
              </w:rPr>
            </w:pPr>
          </w:p>
        </w:tc>
      </w:tr>
      <w:tr>
        <w:trPr>
          <w:trHeight w:val="181"/>
        </w:trPr>
        <w:tc>
          <w:tcPr>
            <w:tcW w:w="55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Capital lease included in accrued expenses and finance lease</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2"/>
        </w:trPr>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payable</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one of the world’s leading manufacturers and designers of firearms. We manufacture a wide array of handguns (including revolvers and pistols), long guns (including modern sporting rifles, pistol caliber carbines, and lever-action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Maryville, Tennessee; Springfield, Massachusetts; and Houlton, Maine. We also sell our manufacturing services under our Smith &amp; Wesson and Smith &amp; Wesson Precision Components brands to other businesses to attempt to level-load our factories. During the fiscal year ended April 30, 2025, or fiscal 2025, we discontinued operations at our Deep River, Connecticut facility and vacated the premises.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more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accounting principles generally accepted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requires us to make estimates and assumptions that affect the reported amounts of assets and liabilities and the disclosure of contingent assets and liabilities at the financial statement dates and the reported amounts of revenue and expenses during the reporting periods. Our significant estimates include the accrual for warranty, reserves for excess and obsolete inventory, rebates and other promotions, valuation of intangible assets, and costs associated with the Relocation. Actual results could differ from those estimates.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accompanying consolidated financial statements include the accounts of Smith &amp; Wesson Brands, Inc.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 owned subsidiaries, including Smith &amp; Wesson Inc., Smith &amp; Wesson Sales Company, and Smith &amp; Wesson Online, LLC. In our opinion, all adjustments, which include only normal recurring adjustments necessary to fairly present the financial position, results of operations, changes in stockholders’ equity, and cash flows at April 30, 2026 and 2025 and for the periods presented, have been included. All intercompany accounts and transactions have been eliminated in consolidation.</w:t>
      </w:r>
    </w:p>
    <w:p>
      <w:pPr>
        <w:spacing w:after="0" w:line="18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We have reclassified certain amounts relating to prior period results to conform to current period presentation.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have not changed the results of operations of prior periods.</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Unless otherwise indicated, the fair values of all reported assets and liabilities, which represent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not held for trading purposes, approximate the carrying values of such amounts because of their short-term nature or market rates of interest.</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consider all highly liquid investments purchased with original maturities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 be cash equivalents. We maintain our cash in bank deposit accounts that, at times, may exceed federally insured limits. We have not experienced any losses in such accounts. As of April 30, 2026, all of our accounts exceeded federally insured limits.</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Receivables </w:t>
      </w:r>
      <w:r>
        <w:rPr>
          <w:rFonts w:ascii="Times New Roman" w:cs="Times New Roman" w:eastAsia="Times New Roman" w:hAnsi="Times New Roman"/>
          <w:sz w:val="18"/>
          <w:szCs w:val="18"/>
          <w:color w:val="auto"/>
        </w:rPr>
        <w:t>— We extend credit to our domestic customers and some foreign distributors based on their financial condition. We sometimes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discounts for early payment on invoices. When we believe the extension of credit is not advisable, we rely on either a prepayment or a letter of credit. We write off balances deemed uncollectible by us against our allowance for credit losses. We estimate our allowance for credit losses through current past due balances, knowledge of our customers’ financial situations, and past payment history.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 Financial instruments that potentially subject us to concentration of credit risk consist principally of cash,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trade receivables. We place our cash and cash equivalents in overnight U.S. government securities or money market mutual funds. Concentrations of credit risk with respect to trade receivables are limited by the large number of customers comprising our customer base and their geographic and business dispersion. We perform ongoing credit evaluations of our customers’ financial condition and generally do not require collateral.</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fiscal 2026, sales to two of our customers represented 24.7% of our total net sales, and, as of April 30, 2026, two customers accounted for 30.2% of our total accounts receivable. No other customer represented more than 10% of our fiscal 2026 net sales or accounted for more than 10% of our accounts receivable as of April 30, 2026. For fiscal 2025, sales to one of our customers represented 14.6% of our total net sales, and, as of April 30, 2025, this customer accounted for 36.1% of our total accounts receivable. No other customer represented more than 10% of our fiscal 2025 net sales or accounted for more than 10% of our accounts receivable as of April 30, 2025.</w:t>
      </w:r>
    </w:p>
    <w:p>
      <w:pPr>
        <w:spacing w:after="0" w:line="18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We value inventories at the lower of cost, using the first-in, first-out, or FIFO, method or net realizable value. An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non-saleable inventory due to excess stock or obsolescence is based upon a detailed review of inventory, past history, and expected future usage.</w:t>
      </w:r>
    </w:p>
    <w:p>
      <w:pPr>
        <w:spacing w:after="0" w:line="15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We record property, plant, and equipment, consisting of land, building, improvements, machinery,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hardware, furniture, and fixtures, at cost and depreciate them using the straight-line method over their estimated useful lives. We charge expenditures for maintenance and repairs to earnings as incurred, and we capitalize additions, renewals, and betterments. Upon the retirement or other disposition of property and equipment, we remove the related cost and accumulated depreciation from the respective accounts and include any gain or loss in operations. We lease certain of our real estate, machinery, and photocopiers under non-cancelable operating and finance lease agreements, and we recognize expenses under our operating lease assets and liabilities at the commencement date based on the present value of lease payments over the lease term. The depreciable life of assets and leasehold improvements are based on the expected life of the lease. A summary of the estimated useful lives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1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5"/>
                <w:szCs w:val="15"/>
                <w:color w:val="auto"/>
              </w:rPr>
            </w:pPr>
          </w:p>
        </w:tc>
      </w:tr>
      <w:tr>
        <w:trPr>
          <w:trHeight w:val="21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4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to 40 years</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14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to 7 years</w:t>
            </w:r>
          </w:p>
        </w:tc>
      </w:tr>
      <w:tr>
        <w:trPr>
          <w:trHeight w:val="216"/>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to 10 years</w:t>
            </w: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40" w:type="dxa"/>
            <w:vAlign w:val="bottom"/>
          </w:tcPr>
          <w:p>
            <w:pPr>
              <w:spacing w:after="0"/>
              <w:rPr>
                <w:sz w:val="20"/>
                <w:szCs w:val="20"/>
                <w:color w:val="auto"/>
              </w:rPr>
            </w:pP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include tooling, dies, and fixtures as part of machinery and equipment and depreciate them over a period generally not exceeding ten years.</w:t>
      </w:r>
    </w:p>
    <w:p>
      <w:pPr>
        <w:spacing w:after="0" w:line="22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We record intangible assets at cost or based on the fair value of the assets acquired. Intangible assets consist of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customer relationships, trademarks, trade names, and patents. We amortize intangible assets over their estimated useful lives or in proportion to expected yearly revenue generated from the intangibles that were acquired.</w:t>
      </w:r>
    </w:p>
    <w:p>
      <w:pPr>
        <w:spacing w:after="0" w:line="17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in accordance with the provisions of Accounting Standards Codification, or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Generally, all performance obligations are satisfied and revenue is recognized when the risks and rewards of ownership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to the customer, which is generally upon shipment but could be delayed until the receipt of customer acceptance.</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which we have identified as a material right. The fulfillment of these free goods is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revenue related to the material right proportionally as each performance obligation is satisfied. The net change in contract liabilities for a given period is reported as an increase or decrease to sales.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generally sell our products free on board, or FOB, shipping point and provide payment terms to most commercial customers ranging from 20 to 60 days of product shipment with a discount available to some customers for early payment. Generally, framework contracts define the general terms of sales, including payment terms, freight terms, insurance requirements, and cancelation provisions. Purchase orders define the terms for specific sales, including description, quantity, and price of each product purchased. We estimate variable consideration relative to the amount of cash discounts to which customers are likely to be entitled. As a result of utilizing practical expedients in accordance with ASC 606,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8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We engage in both internal and external research and development, or R&amp;D, in order to remain competitive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exploit possible untapped market opportunities. We approve prospective R&amp;D projects after analysis of the cost and benefits associated with the potential product. Costs in R&amp;D expense include, among other items, salaries, materials, utilities, and administrative costs.</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We calculate basic and diluted earnings per common share in accordance with the provisions of ASC 260-10,</w:t>
      </w:r>
      <w:r>
        <w:rPr>
          <w:rFonts w:ascii="Times New Roman" w:cs="Times New Roman" w:eastAsia="Times New Roman" w:hAnsi="Times New Roman"/>
          <w:sz w:val="18"/>
          <w:szCs w:val="18"/>
          <w:i w:val="1"/>
          <w:iCs w:val="1"/>
          <w:color w:val="auto"/>
        </w:rPr>
        <w:t xml:space="preserve"> Earnings Per Share</w:t>
      </w:r>
      <w:r>
        <w:rPr>
          <w:rFonts w:ascii="Times New Roman" w:cs="Times New Roman" w:eastAsia="Times New Roman" w:hAnsi="Times New Roman"/>
          <w:sz w:val="18"/>
          <w:szCs w:val="18"/>
          <w:color w:val="auto"/>
        </w:rPr>
        <w:t>. Basic earnings per common share equals net income divided by the weighted average number of common shares outstanding during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earnings per common share equals net income divided by the weighted average number of common shares outstanding during the period, including the effect of outstanding stock-based instruments if their effect is dilutive.</w:t>
      </w:r>
    </w:p>
    <w:p>
      <w:pPr>
        <w:spacing w:after="0" w:line="1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common share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4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18,481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2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100" w:type="dxa"/>
            <w:vAlign w:val="bottom"/>
            <w:shd w:val="clear" w:color="auto" w:fill="CFF0FC"/>
          </w:tcPr>
          <w:p>
            <w:pPr>
              <w:spacing w:after="0"/>
              <w:rPr>
                <w:sz w:val="21"/>
                <w:szCs w:val="21"/>
                <w:color w:val="auto"/>
              </w:rPr>
            </w:pPr>
          </w:p>
        </w:tc>
      </w:tr>
      <w:tr>
        <w:trPr>
          <w:trHeight w:val="197"/>
        </w:trPr>
        <w:tc>
          <w:tcPr>
            <w:tcW w:w="50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58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44,420</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44,484</w:t>
            </w:r>
          </w:p>
        </w:tc>
        <w:tc>
          <w:tcPr>
            <w:tcW w:w="2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45,813</w:t>
            </w:r>
          </w:p>
        </w:tc>
        <w:tc>
          <w:tcPr>
            <w:tcW w:w="100" w:type="dxa"/>
            <w:vAlign w:val="bottom"/>
            <w:tcBorders>
              <w:top w:val="single" w:sz="8" w:color="CFF0FC"/>
            </w:tcBorders>
          </w:tcPr>
          <w:p>
            <w:pPr>
              <w:spacing w:after="0"/>
              <w:rPr>
                <w:sz w:val="17"/>
                <w:szCs w:val="17"/>
                <w:color w:val="auto"/>
              </w:rPr>
            </w:pPr>
          </w:p>
        </w:tc>
      </w:tr>
      <w:tr>
        <w:trPr>
          <w:trHeight w:val="21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stock awards</w:t>
            </w:r>
          </w:p>
        </w:tc>
        <w:tc>
          <w:tcPr>
            <w:tcW w:w="15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5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44,933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 Basic</w:t>
            </w:r>
          </w:p>
        </w:tc>
        <w:tc>
          <w:tcPr>
            <w:tcW w:w="2400" w:type="dxa"/>
            <w:vAlign w:val="bottom"/>
            <w:gridSpan w:val="2"/>
            <w:shd w:val="clear" w:color="auto" w:fill="CFF0FC"/>
          </w:tcPr>
          <w:p>
            <w:pPr>
              <w:jc w:val="right"/>
              <w:ind w:right="6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5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FF0FC"/>
          </w:tcPr>
          <w:p>
            <w:pPr>
              <w:spacing w:after="0"/>
              <w:rPr>
                <w:sz w:val="17"/>
                <w:szCs w:val="17"/>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-756920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-739775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-756920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-739775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-756920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-456565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-456565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fiscal 2026, 2025, and 2024, the number of shares excluded from the computation of diluted earnings per share was 24,041, 29,935, and 18,009, respectively, because the effect would be antidilutive.</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Tangible and Intangible Assets </w:t>
      </w:r>
      <w:r>
        <w:rPr>
          <w:rFonts w:ascii="Times New Roman" w:cs="Times New Roman" w:eastAsia="Times New Roman" w:hAnsi="Times New Roman"/>
          <w:sz w:val="18"/>
          <w:szCs w:val="18"/>
          <w:color w:val="auto"/>
        </w:rPr>
        <w:t>— We evaluate the recoverability of long-lived assets, or asset groups,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right of use assets,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that the carrying values may not be recoverable and at least annually. Factors we consider important, which could trigger an impairment of such assets, include the following: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or use of the assets or the strategy for our overall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decline in our stock price for a sustained period;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market capitalization below net book value.</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6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w:t>
      </w:r>
      <w:r>
        <w:rPr>
          <w:rFonts w:ascii="Times New Roman" w:cs="Times New Roman" w:eastAsia="Times New Roman" w:hAnsi="Times New Roman"/>
          <w:sz w:val="18"/>
          <w:szCs w:val="18"/>
          <w:color w:val="auto"/>
        </w:rPr>
        <w:t>r, we evaluate goodwill for potential impairment on an annual basis, as of February 1, and whenever events or changes in circumstances indicate that the fair value of a reporting unit may be below its carrying value. Under the guidance, we may assess qualitative factors to determine whether it is more likely than not that the fair value of a reporting unit is less than its carrying amount. If this assessment indicates it is more likely than not that the fair value of a reporting unit is less than its carrying amount, a quantitative test for goodwill impairment would be performed. If the fair value of our single reporting unit exceeds the carrying value of our net assets, including goodwill, goodwill is not impaired. If the carrying value of our net assets, including goodwill, exceeds the fair value of the reporting unit, then we would determine the implied fair value of the reporting unit’s goodwill. If the carrying value of our goodwill exceeds its implied fair value, then we would record an impairment loss equal to the difference. We did not record any goodwill impairments during the fiscal years ended April 30, 2026 or 2025.</w:t>
      </w:r>
    </w:p>
    <w:p>
      <w:pPr>
        <w:spacing w:after="0" w:line="185"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re-measurement of goodwill is classified as a Level 3 fair value assessment as described in Note 9 -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the significance of unobservable inputs developed using company-specific information.</w:t>
      </w:r>
    </w:p>
    <w:p>
      <w:pPr>
        <w:spacing w:after="0" w:line="15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We use the asset and liability approach for financial accounting and reporting income taxes. The provision for income taxes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income reported in the accompanying consolidated financial statements as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We determine our deferred tax assets and liabilities based on temporary differences between financial reporting and tax bases in assets and liabilities, which are measured using the enacted tax rates and laws that will be in effect when the differences are expected to reverse. We recognize the effect on deferred taxes of a change in tax rates in the period that includes the enactment date. In assessing the realization of our deferred tax assets, we consider whether it is more likely than not that the deferred tax assets will be realized. The ultimate realization of our deferred tax assets depends upon generating future taxable income during the periods in which our temporary differences become deductible and before our net operating loss carryforwards expire. We evaluate the recoverability of our deferred tax assets by assessing the need for a valuation allowance on a quarterly basis. If we determine that it is more likely than not that our deferred tax assets will not be recovered, we establish a valuation allowance against some or all of our deferred tax assets. Recording or reversing a valuation allowance could have a significant effect on our future results of operations and financial position.</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 We generally provide a limited one-year warranty and a lifetime service policy to the original purchaser of our new firearm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will also repair or replace certain products or parts found to be defective under normal use and service with an item of equivalent value, at our option, without charge during the warranty period. In addition, we sometimes experience certain manufacturing and design issues with respect to our firearms and initiate product recalls and safety alerts.</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quantify and record an estimate for warranty-related costs based on our actual historical claims experience and current repair costs. We adjust accruals as warranty claims data and historical experience warrant. Should we experience actual claims and repair costs that are higher than the estimated claims and repair costs used to calculate the provision, our operating results for the period or periods in which such claims or additional costs materialize would be adversely impacted. Warranty expense for the fiscal years ended April 30, 2026, 2025, and 2024 amounted to $2.1 million, $2.4 million, and $2.6 million,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change in accrued warranties, a portion of which is recorded as a non-current liability, in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 and 2025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35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Warranties issued and adjustments to provisions</w:t>
            </w:r>
          </w:p>
        </w:tc>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Warranty claims</w:t>
            </w:r>
          </w:p>
        </w:tc>
        <w:tc>
          <w:tcPr>
            <w:tcW w:w="2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(2,998)</w:t>
            </w:r>
          </w:p>
        </w:tc>
      </w:tr>
      <w:tr>
        <w:trPr>
          <w:trHeight w:val="209"/>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April 30, 2025</w:t>
            </w:r>
          </w:p>
        </w:tc>
        <w:tc>
          <w:tcPr>
            <w:tcW w:w="282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top w:val="single" w:sz="8" w:color="CFF0FC"/>
            </w:tcBorders>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Warranties issued and adjustments to provisions</w:t>
            </w:r>
          </w:p>
        </w:tc>
        <w:tc>
          <w:tcPr>
            <w:tcW w:w="2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claims</w:t>
            </w:r>
          </w:p>
        </w:tc>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(2,607)</w:t>
            </w: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2026</w:t>
            </w:r>
          </w:p>
        </w:tc>
        <w:tc>
          <w:tcPr>
            <w:tcW w:w="28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Costs </w:t>
      </w:r>
      <w:r>
        <w:rPr>
          <w:rFonts w:ascii="Times New Roman" w:cs="Times New Roman" w:eastAsia="Times New Roman" w:hAnsi="Times New Roman"/>
          <w:sz w:val="18"/>
          <w:szCs w:val="18"/>
          <w:color w:val="auto"/>
        </w:rPr>
        <w:t>— We expense advertising costs, primarily consisting of magazine advertisements, printed materials, television advertisements,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advertisements, radio advertisements, and billboards, either as incurred or upon the first occurrence of the advertising. Advertising expense, included in selling, marketing, and distribution expenses, for the fiscal years ended April 30, 2026, 2025, and 2024, amounted to $13.7 million, $15.2 million, and $14.7 million, respectively.</w:t>
      </w:r>
    </w:p>
    <w:p>
      <w:pPr>
        <w:spacing w:after="0" w:line="18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w:t>
      </w:r>
      <w:r>
        <w:rPr>
          <w:rFonts w:ascii="Times New Roman" w:cs="Times New Roman" w:eastAsia="Times New Roman" w:hAnsi="Times New Roman"/>
          <w:sz w:val="18"/>
          <w:szCs w:val="18"/>
          <w:color w:val="auto"/>
        </w:rPr>
        <w:t>— In the accompanying consolidated financial statements, we included amounts billed to customers for shipping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handling in net sales. Inbound freight charges and internal transfer costs are included in cost of goods sold; however, costs incurred to distribute products to customers are included in selling, marketing, and distribution expenses.</w:t>
      </w:r>
    </w:p>
    <w:p>
      <w:pPr>
        <w:spacing w:after="0" w:line="1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Insurance Reserves </w:t>
      </w:r>
      <w:r>
        <w:rPr>
          <w:rFonts w:ascii="Times New Roman" w:cs="Times New Roman" w:eastAsia="Times New Roman" w:hAnsi="Times New Roman"/>
          <w:sz w:val="18"/>
          <w:szCs w:val="18"/>
          <w:color w:val="auto"/>
        </w:rPr>
        <w:t>— In January 2020, we formed a wholly owned captive insurance company, which provides product liability insurance to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subsidiaries. We are self-insured through retentions or deductibles for the majority of our workers’ compensation, automobile, general liability, product liability, and group health insurance programs. Self-insurance amounts vary up to $10.0 million per occurrence; however, we believe the likelihood of reaching the maximum per occurrence limit is remote. We record our liability for estimated premiums and incurred losses in the accompanying consolidated financial statements on an undiscounted basis.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Improvements to Income Tax Disclosures</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requires entities to disclose in their rate reconciliation table additional categories of information about federal, state, and foreign income taxes and provide more details about the reconciling items in some categories if items meet a quantitative threshold. Entities will have to provide qualitative disclosures about the new categories. The guidance will require all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Entities are required to apply the guidance prospectively, with the option to apply it retrospectively. The guidance is effective for annual periods beginning after December 15, 2024, or the fiscal year ending April 30, 2026 for us. We adopted ASU 2023-09 in the fourth quarter of fiscal 2026. The adoption of this guidance resulted in additional financial statement disclosures and had no impact to our consolidated financial condition, results of operations, or cash flows. See Note 13 -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includes the disclosures resulting from our adoption of this guidance.</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entities to disclose, in the notes to financial statements, specified information about certain costs and expenses included in each relevant expense caption presented on the face of the income statement. Entities will also be required to disclose qualitative descriptions of the amounts remaining in relevant expense captions that are not separately disaggregated quantitatively. Entities will need to disclose the total amount of selling expenses and, in annual reporting periods, an entity’s definition of selling expenses. Entities are generally required to apply the guidance prospectively. The guidance is effective for annual periods beginning after December 15, 2026, or the fiscal year ending April 30, 2028 for us. We are currently evaluating the impact that the adoption of this standard will have on financial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lease certain of our real estate, machinery, equipment, and photocopiers under non-cancelable operating and finance lease agreements.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recognize expenses for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or residual value guarantees, nor do they include restrictive covenants. For operating leases, we recognize expense on a straight-line basis over the lease term. Tenant improvement allowances are recorded as an offsetting adjustment included in our calculation of the respective right-of-use asset.</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Many of our leases include renewal options that enable us to extend the lease term. The execution of those renewal options is at our sole discretion and renewals are reflected in the lease term when they are reasonably certain to be exercised. The depreciable life of assets and leasehold improvements are limited by the expected lease term.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of assets and liabilities related to our operating and financing leases as of April 30, 2026 and 2025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416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0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1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4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(1,211)</w:t>
            </w:r>
          </w:p>
        </w:tc>
      </w:tr>
      <w:tr>
        <w:trPr>
          <w:trHeight w:val="20"/>
        </w:trPr>
        <w:tc>
          <w:tcPr>
            <w:tcW w:w="3380" w:type="dxa"/>
            <w:vAlign w:val="bottom"/>
            <w:shd w:val="clear" w:color="auto" w:fill="CFF0FC"/>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 net</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380" w:type="dxa"/>
            <w:vAlign w:val="bottom"/>
            <w:shd w:val="clear" w:color="auto" w:fill="CFF0FC"/>
          </w:tcPr>
          <w:p>
            <w:pPr>
              <w:spacing w:after="0"/>
              <w:rPr>
                <w:sz w:val="17"/>
                <w:szCs w:val="17"/>
                <w:color w:val="auto"/>
              </w:rPr>
            </w:pPr>
          </w:p>
        </w:tc>
        <w:tc>
          <w:tcPr>
            <w:tcW w:w="4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r>
      <w:tr>
        <w:trPr>
          <w:trHeight w:val="216"/>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4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41,437</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2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(14,726)</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(12,973)</w:t>
            </w:r>
          </w:p>
        </w:tc>
      </w:tr>
      <w:tr>
        <w:trPr>
          <w:trHeight w:val="20"/>
        </w:trPr>
        <w:tc>
          <w:tcPr>
            <w:tcW w:w="3380" w:type="dxa"/>
            <w:vAlign w:val="bottom"/>
            <w:shd w:val="clear" w:color="auto" w:fill="CFF0FC"/>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 net</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28,658</w:t>
            </w:r>
          </w:p>
        </w:tc>
        <w:tc>
          <w:tcPr>
            <w:tcW w:w="12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380" w:type="dxa"/>
            <w:vAlign w:val="bottom"/>
            <w:shd w:val="clear" w:color="auto" w:fill="CFF0FC"/>
          </w:tcPr>
          <w:p>
            <w:pPr>
              <w:spacing w:after="0"/>
              <w:rPr>
                <w:sz w:val="17"/>
                <w:szCs w:val="17"/>
                <w:color w:val="auto"/>
              </w:rPr>
            </w:pPr>
          </w:p>
        </w:tc>
        <w:tc>
          <w:tcPr>
            <w:tcW w:w="4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Pr>
          <w:p>
            <w:pPr>
              <w:spacing w:after="0"/>
              <w:rPr>
                <w:sz w:val="18"/>
                <w:szCs w:val="18"/>
                <w:color w:val="auto"/>
              </w:rPr>
            </w:pPr>
          </w:p>
        </w:tc>
      </w:tr>
      <w:tr>
        <w:trPr>
          <w:trHeight w:val="216"/>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34,021</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12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-1919605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-1336675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-753745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fiscal 2026, we recorded $143,000 of operating lease costs. We recorded $2.3 million of finance lease amortization and $1.7 million of finance lease interest expense during fiscal 2026. As of April 30, 2026, our weighted average lease term and weighted average discount rate for our financing leases was 12.3 years and 5.0%, respectively, and consisted primarily of our former Missouri distribution center. The building is pledged to secure the amounts outstanding. The depreciable lives of right-of-use assets are limited by the lease term and are amortized on a straight-line basis over the life of the lease.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October 26, 2017, we entered into a lease agreement with Ryan Boone County, LLC, or the Original Missouri Landlord, concerning certain real property located in Boone County, Missouri on which we had been operating our distribution center, or the Missouri Lease, as well as a related payment and performance guaranty, dated October 26, 2017, in favor of the Original Missouri Landlord. As part of the Relocation, on January 31, 2023, we entered into (i) an assignment and assumption agreement with American Outdoor Brands, Inc., our former wholly owned subsidiary, or AOUT (which became effective on January 1, 2024), pursuant to which AOUT assumed all of our rights, entitlement, and obligations in, to, and under the Missouri Lease, or the Assignment and Assumption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Agreement, and (ii) an amended and restated guaranty in favor of RCS-S&amp;W Facility, LLC, as successor in interest to the Original Missouri Landlord, pursuant to which Smith &amp; Wesson Sales Company was added as a guarantor, or the Amended and Restated Guaranty. Because of the Amended and Restated Guaranty, we continue to account for this lease as we have since prior to the Relocation. During fiscal 2026, AOUT made payments pursuant to this lease directly to the landlord and we neither received nor paid any cash payments related to this arrangement. For the fiscal year ended April 30, 2026, noncash sublease income was $1.8 million and was recorded in general and administrative expense in our consolidated statements of income. During the fiscal year ended April 30, 2026 we recognized $2.1 million of depreciation expense associated with the related right-of-use asset.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future expected undiscounted cash flows, based on the Assignment and Assumption Agreement with AOUT, to be received by the landlord directly from AOUT on an annual basis for the next five years and thereafter, as of April 30, 2026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3,292</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3,408</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w:t>
            </w: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3,529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100" w:type="dxa"/>
            <w:vAlign w:val="bottom"/>
          </w:tcPr>
          <w:p>
            <w:pPr>
              <w:spacing w:after="0"/>
              <w:rPr>
                <w:sz w:val="18"/>
                <w:szCs w:val="18"/>
                <w:color w:val="auto"/>
              </w:rPr>
            </w:pPr>
          </w:p>
        </w:tc>
      </w:tr>
      <w:tr>
        <w:trPr>
          <w:trHeight w:val="210"/>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receipts</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45,548</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(12,107)</w:t>
            </w:r>
          </w:p>
        </w:tc>
      </w:tr>
      <w:tr>
        <w:trPr>
          <w:trHeight w:val="249"/>
        </w:trPr>
        <w:tc>
          <w:tcPr>
            <w:tcW w:w="9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receipts</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40"/>
        </w:trPr>
        <w:tc>
          <w:tcPr>
            <w:tcW w:w="9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lease payments for all our finance leases for succeeding fiscal years are as follows (in thousands):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9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24"/>
                <w:szCs w:val="24"/>
                <w:color w:val="auto"/>
              </w:rPr>
            </w:pPr>
          </w:p>
        </w:tc>
      </w:tr>
      <w:tr>
        <w:trPr>
          <w:trHeight w:val="210"/>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100" w:type="dxa"/>
            <w:vAlign w:val="bottom"/>
          </w:tcPr>
          <w:p>
            <w:pPr>
              <w:spacing w:after="0"/>
              <w:rPr>
                <w:sz w:val="18"/>
                <w:szCs w:val="18"/>
                <w:color w:val="auto"/>
              </w:rPr>
            </w:pPr>
          </w:p>
        </w:tc>
      </w:tr>
      <w:tr>
        <w:trPr>
          <w:trHeight w:val="210"/>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46,173</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(12,152)</w:t>
            </w:r>
          </w:p>
        </w:tc>
      </w:tr>
      <w:tr>
        <w:trPr>
          <w:trHeight w:val="210"/>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34,021</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lease liabilities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w:t>
            </w:r>
          </w:p>
        </w:tc>
      </w:tr>
      <w:tr>
        <w:trPr>
          <w:trHeight w:val="250"/>
        </w:trPr>
        <w:tc>
          <w:tcPr>
            <w:tcW w:w="9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maturities of lease liabilities</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2026, the cash paid for amounts included in the measurement of liabilities and operating cash flows was $581,000.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and Loans Payable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subsidiaries entered into an amended and restated credit agreement, or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provided for a revolving line of credit of $100.0 million at any one time. On April 28, 2023, we entered into an amendment to the Amended and Restated Credit Agreement to, among other things, replace LIBOR with SOFR as the interest rate benchmark and amend the definition of “Consolidated Fixed Charge Coverage Ratio” to exclude unfinanced capital expenditures in connection with our plan to move our headquarters and significant elements of our operations to Maryville, Tennessee in 2023, or the Relocation. The revolving line bore interest at either the Base Rate (as defined in the Amended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Credit Agreement) or the Adjusted Term SOFR rate, plus an applicable margin based on our consolidated leverage ratio.</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3, 2024, we entered into an amended and restated credit agreement, or the Second Amended and Restated Credit Agreement. The Second Amended and Restated Credit Agreement is currently unsecured; however, should any Springing Lien Trigger Event (as defined in the Second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Second Amended and Restated Credit Agreement provides for a revolving line of credit of $175.0 million at any one time, or the Revolving Line. The Revolving Line bears interest at either the Base Rate (as defined in the Second Amended and Restated Credit Agreement) or 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15, 2025, we entered into a first amendment to the Second Amended and Restated Credit Agreement, or the First Amendment. The First Amendment provides for (a) in connection with the calculation of Consolidated Funded Indebtedness (as defined in the Second Amended and Restated Credit Agreement), the exclusion of any Indebtedness (as defined in the Second Amended and Restated Credit Agreement) of the guarantors relating to a particular guaranty; (b) in connection with the calculation of Consolidated Fixed Charge Coverage Ratio (as defined in the Second Amended and Restated Credit Agreement), a one-time exclusion of cash taxes paid by the loan parties during fiscal 2026 in connection with the filing of amended tax returns in fiscal 2026 covering particular periods; and (c) an amendment to the minimum Consolidated Fixed Charge Coverage Ratio for particular measurement periods.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April 30, 2026, we had $20.0 million of borrowings outstanding on the Revolving Line, bearing interest at a weighted average rate of 5.72%, which is equal to the Adjusted Term SOFR rate plus an applicable margin.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Second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As of April 30, 2026, we were compliant with all required financial covenants.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April 30, 2026, we had outstanding letters of credit aggregating $1.5 million.</w:t>
      </w:r>
    </w:p>
    <w:p>
      <w:pPr>
        <w:spacing w:after="0" w:line="22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Issuance Costs </w:t>
      </w:r>
      <w:r>
        <w:rPr>
          <w:rFonts w:ascii="Times New Roman" w:cs="Times New Roman" w:eastAsia="Times New Roman" w:hAnsi="Times New Roman"/>
          <w:sz w:val="18"/>
          <w:szCs w:val="18"/>
          <w:color w:val="auto"/>
        </w:rPr>
        <w:t>— During fiscal 2026, we incurred $219,000 of debt issuance costs. During fiscal 2025, we incurred $941,000 of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We did not incur any debt issuance costs during fiscal 2024. Debt issuance costs are amortized to expense over the life of the credit facility. In total, we amortized $244,000, $157,000, and $89,805 to interest expense for all debt issuance costs in fiscal 2026, 2025, and 2024, respectively.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Sales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breakdown of net sales for the fiscal years ended April 30, 2026, 2025, and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394,404</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331,936</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381,898</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116,491</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523,845</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474,661</w:t>
            </w:r>
          </w:p>
        </w:tc>
        <w:tc>
          <w:tcPr>
            <w:tcW w:w="22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535,833</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sell our products and services under our Smith &amp; Wesson and Gemtech brands. Depending upon the product or service, our customers primarily include distributors; federal, state, and municipal law enforcement agencies and officers; government and military agencies; businesses; retailers; and retail consumers for non-serialized firearms-related products.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sell our products worldwide. The following table sets forth the breakdown of export net sales included in the above table. Our export net sales shown below accounted for approximately 4%, 5%, and 5% of total net sales for the fiscal years ended April 30, 2026, 2025, and 2024, respectively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All other international</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as of April 30, 2026 and 2025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361,141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344,706</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154,398</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2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0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636,311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611,459</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(397,668)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(368,811)</w:t>
            </w:r>
          </w:p>
        </w:tc>
      </w:tr>
      <w:tr>
        <w:trPr>
          <w:trHeight w:val="20"/>
        </w:trPr>
        <w:tc>
          <w:tcPr>
            <w:tcW w:w="5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238,643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242,648</w:t>
            </w:r>
          </w:p>
        </w:tc>
        <w:tc>
          <w:tcPr>
            <w:tcW w:w="100" w:type="dxa"/>
            <w:vAlign w:val="bottom"/>
            <w:shd w:val="clear" w:color="auto" w:fill="CFF0FC"/>
          </w:tcPr>
          <w:p>
            <w:pPr>
              <w:spacing w:after="0"/>
              <w:rPr>
                <w:sz w:val="19"/>
                <w:szCs w:val="19"/>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depreciation of tangible assets and amortization of software expense amounted to $30.7 million, $31.3 million, and $32.0 million for the fiscal years ended April 30, 2026,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depreciation and amortization expense, which includes amortization of intangibles and debt financing costs, by line item for the fiscal years ended April 30, 2026, 2025, and 2024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17,751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20" w:type="dxa"/>
            <w:vAlign w:val="bottom"/>
            <w:gridSpan w:val="2"/>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31,311</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31,845</w:t>
            </w:r>
          </w:p>
        </w:tc>
        <w:tc>
          <w:tcPr>
            <w:tcW w:w="24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April 30, 2026 and 2025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85,603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115,686</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3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100" w:type="dxa"/>
            <w:vAlign w:val="bottom"/>
          </w:tcPr>
          <w:p>
            <w:pPr>
              <w:spacing w:after="0"/>
              <w:rPr>
                <w:sz w:val="18"/>
                <w:szCs w:val="18"/>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189,840</w:t>
            </w:r>
          </w:p>
        </w:tc>
        <w:tc>
          <w:tcPr>
            <w:tcW w:w="100" w:type="dxa"/>
            <w:vAlign w:val="bottom"/>
            <w:shd w:val="clear" w:color="auto" w:fill="CFF0FC"/>
          </w:tcPr>
          <w:p>
            <w:pPr>
              <w:spacing w:after="0"/>
              <w:rPr>
                <w:sz w:val="19"/>
                <w:szCs w:val="19"/>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Deferred Revenue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April 30, 2026 and 2025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customer incentives and promotions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w:t>
      </w:r>
    </w:p>
    <w:p>
      <w:pPr>
        <w:spacing w:after="0" w:line="2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consolidated balance sheets are categorized based on the inputs to the valuation techniques as follows: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(examples include active exchange-traded equity securities, listed derivatives, and most U.S. Government and agency securities).</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$28.2 million and $25.2 million as of April 30, 2026 and 2025, respectively. Our marketable securities, which are measured at fair value on a recurring basis, total $5.2 million as of April 30, 2026. The carrying value of our revolving line of credit approximated the fair value as of April 30, 2026. We utilized Level 1 of the value hierarchy to determine the fair values of these assets.</w:t>
      </w:r>
    </w:p>
    <w:p>
      <w:pPr>
        <w:spacing w:after="0" w:line="178"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assumptions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2026, we did not have any Level 2 or Level 3 financial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Self-Insurance Reserves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April 30, 2026 and 2025, we had reserves for workers’ compensation, product liability, and medical/dental costs totaling $9.1 million and $8.7 million, respectively (of which $3.4 million and $3.6 million, respectively, was classified as other non-current liabilities). As of April 30, 2026 and 2025, $5.6 million and $5.1 million, respectively, were included in current liabilities on the accompanying consolidated balance sheets. In addition, as of April 30, 2026 and 2025, $1.1 million of workers’ compensation receivable was classified as other assets. While we believe these reserves to be adequate, it is possible that the ultimate liabilities will exceed such estimates.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in the workers’ compensation, product liability, and medical/dental reserves in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 and 2025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40" w:type="dxa"/>
            <w:vAlign w:val="bottom"/>
          </w:tcPr>
          <w:p>
            <w:pPr>
              <w:spacing w:after="0"/>
              <w:rPr>
                <w:sz w:val="12"/>
                <w:szCs w:val="12"/>
                <w:color w:val="auto"/>
              </w:rPr>
            </w:pPr>
          </w:p>
        </w:tc>
        <w:tc>
          <w:tcPr>
            <w:tcW w:w="106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 charged to expense</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(1,273)</w:t>
            </w:r>
          </w:p>
        </w:tc>
        <w:tc>
          <w:tcPr>
            <w:tcW w:w="10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28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00" w:type="dxa"/>
            <w:vAlign w:val="bottom"/>
            <w:tcBorders>
              <w:top w:val="single" w:sz="8" w:color="CFF0FC"/>
            </w:tcBorders>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It is our policy to provide an estimate for loss as a result of expected adverse findings or legal settlements on product liability, workers’ compensation, and other matters when such losses are probable and are reasonably estimable. It is also our policy to accrue for reasonably estimable legal costs associated with defending such litigation. While such estimates involve a range of possible costs, we determine, in consultation with counsel, the most likely cost within such range on a case-by-case basis. We also record receivables from insurance carriers relating to these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matters when their collection is probable and reasonably estimable. As of April 30, 2026 and 2025, we had accrued reserves for product litigation liabilities of $3.6 million and $3.1 million (of which $577,000 and $566,000, respectively, was non-current), consisting entirely of expected legal defense costs. As of April 30, 2026 and 2025, we had no receivables from insurance carriers related to these liabilities.</w:t>
      </w:r>
    </w:p>
    <w:p>
      <w:pPr>
        <w:spacing w:after="0" w:line="172" w:lineRule="exact"/>
        <w:rPr>
          <w:sz w:val="20"/>
          <w:szCs w:val="20"/>
          <w:color w:val="auto"/>
        </w:rPr>
      </w:pPr>
    </w:p>
    <w:p>
      <w:pPr>
        <w:ind w:left="260" w:right="9340" w:hanging="252"/>
        <w:spacing w:after="0" w:line="532" w:lineRule="auto"/>
        <w:tabs>
          <w:tab w:leader="none" w:pos="275"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Treasury Stock</w:t>
      </w:r>
    </w:p>
    <w:p>
      <w:pPr>
        <w:spacing w:after="0" w:line="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19, 2023, our Board of Directors authorized the repurchase of up to $50.0 million of our common stock, subject to certain conditions, in the open market or in privately negotiated transactions through September 19, 2024, or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April 30, 2026, we had repurchased 312,310 shares of our common stock for $4.1 million under the 2024 Authorization. On September 15, 2025, our Board of Directors authorized the repurchase of up to $50.0 million of our common stock, subject to certain conditions, in the open market or in privately negotiated transactions from September 21, 2025 through September 21, 2026, or the 2025 Authorization. As of April 30, 2026, we had not repurchased any shares of our common stock under the 2025 Authorization.</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April 30, 2026, there were no common stock repurchases. During the year ended April 30, 2025, we repurchased a total of 1,844,073 shares of our common stock for $25.5 million.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April 30, 2026, our Board of Directors authorized, and we executed, the retirement of 31,677,994 shares of our common stock held in treasury. Upon retirement, these shares were restored to the status of authorized and unissued. As a result, the accumulated cost associated with this stock was allocated to common stock, additional paid-in capital, and retained earnings.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and Employee Stock Purchase Plans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two stock incentive plans: the 2013 Incentive Stock Plan and the 2022 Incentive Stock Plan, or, together, the Incentive Stock Plans, under which employees and non-employees may have been granted (in the case of the 2013 Incentive Stock Plan), or may be granted (in the case of the 2022 Incentive Stock Plan) stock options, restricted stock awards, restricted stock units, or RSUs,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2022 Incentive Stock Plan authorizes the issuance of 1,000,000 shares, plus 4,312,247 shares that were reserved and remained available for grant and delivery under the 2013 Incentive Stock Plan as of September 12, 2022, the effective date of the 2022 Incentive Stock Plan. The 2022 Incentive Stock Plan permits the grant of options to acquire common stock, restricted stock awards, RSUs, stock appreciation rights, bonus stock and awards in lieu of obligations, performance awards, and dividend equivalents. Our Board of Directors, or a committee of our Board of Directors, administers the stock plans, selects recipients to whom awards are granted, and determines the grants to be awarded. Options granted under the stock plans are exercisable at a price determined by our Board of Directors or a committee of our Board of Directors at the time of grant, but in no event less than fair market value of our common stock on the effective date of the grant. Grants of options may be made to employees and directors without regard to any performance measures. All options issued pursuant to the stock plans are generally nontransferable and subject to forfeiture.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terminated earlier by our Board of Directors, the 2022 Incentive Stock Plan will terminate at the earliest of (1) the tenth anniversary of the effective date of the 2022 Incentive Stock Plan, or (2) such time as no shares of common stock remain available for issuance under the plan and we have no further rights or obligations with respect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outstanding awards under the plan. The date of grant of an award is deemed to be the effective date upon which our Board of Directors or a committee authorizes the granting of such award.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in specific circumstances, grants of stock options vest over a period of four years and are exercisable for a period of 10 years after vesting. The 2022 Incentive Stock Plan also permits the grant of stock options to non-employees, which our Board of Directors or a committee has authorized in the past. There were no outstanding and exercisable stock options in fiscal 2026, 2025, and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compensation expense by line item for the fiscal years ended April 30, 2026, 2025, and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18"/>
                <w:szCs w:val="18"/>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9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shd w:val="clear" w:color="auto" w:fill="CFF0FC"/>
          </w:tcPr>
          <w:p>
            <w:pPr>
              <w:spacing w:after="0"/>
              <w:rPr>
                <w:sz w:val="19"/>
                <w:szCs w:val="19"/>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2026, there were 4,424,315 shares available for grant under the 2022 Incentive Stock Plan. We use our unissued share pool for all shares issued for options, restricted stock awards, RSUs, performance share units, performance-based restricted stock units, or PSUs, and shares issued under our Employee Stock Purchase Plan, or ESPP.</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grant RSUs to employees and non-employee members of our Board of Directors. The awards are made at no cost to the recipient. An RSU represents the right to receive one share of our common stock and does not carry voting rights. Except in limited circumstances, RSUs also do not carry dividend rights. Except in specific circumstances, RSU grants to employees prior to fiscal 2026 vest over a period of four years and RSU grants to employees during fiscal 2026 vest over a period of three years with one-fourth and one-third, respectively, of the units vesting on each grant anniversary date. We amortize the aggregate fair value of our RSU grants to compensation expense over the vesting period.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from time to time, certain management employees who are not executive officers. At the time of grant, we calculate the fair value of our PSUs using the Monte Carlo simulation. We incorporate the following variables into the valuation model: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market value</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Smith &amp; Wesson Brands, Inc.</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80" w:type="dxa"/>
            <w:vAlign w:val="bottom"/>
          </w:tcPr>
          <w:p>
            <w:pPr>
              <w:spacing w:after="0"/>
              <w:rPr>
                <w:sz w:val="18"/>
                <w:szCs w:val="18"/>
                <w:color w:val="auto"/>
              </w:rPr>
            </w:pPr>
          </w:p>
        </w:tc>
      </w:tr>
      <w:tr>
        <w:trPr>
          <w:trHeight w:val="21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Russell 2000 Index</w:t>
            </w:r>
          </w:p>
        </w:tc>
        <w:tc>
          <w:tcPr>
            <w:tcW w:w="2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1,975.86</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1,980.23</w:t>
            </w:r>
          </w:p>
        </w:tc>
        <w:tc>
          <w:tcPr>
            <w:tcW w:w="3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1,769.21</w:t>
            </w:r>
          </w:p>
        </w:tc>
        <w:tc>
          <w:tcPr>
            <w:tcW w:w="18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Volatility (a)</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Smith &amp; Wesson Brands, Inc.</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44.70%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50.91%</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58.46%</w:t>
            </w: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Russell 2000 Index</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27.08%</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Correlation coefficient (b)</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0.3541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0.3904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0.3528</w:t>
            </w:r>
          </w:p>
        </w:tc>
        <w:tc>
          <w:tcPr>
            <w:tcW w:w="18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(c)</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r>
    </w:tbl>
    <w:p>
      <w:pPr>
        <w:spacing w:after="0" w:line="225" w:lineRule="exact"/>
        <w:rPr>
          <w:sz w:val="20"/>
          <w:szCs w:val="20"/>
          <w:color w:val="auto"/>
        </w:rPr>
      </w:pPr>
    </w:p>
    <w:p>
      <w:pPr>
        <w:ind w:left="52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calculated over the most recent period that represents the remaining term of the performance period as of the valuation date, or three years.</w:t>
      </w: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 utilizes the same historical price data used to develop the volatility assumptions.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yield of a zero-coupon U.S. Treasury bill, commensurate with the three-year performance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PSUs vest, and the fair value of such PSUs are recognized, over the corresponding three-year performance period. Depending on the grant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have a maximum aggregate award equal to between 200% and 220%. In addition, there is a cap on the number of shares that can be earned under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which is equal to six times the grant-date value of each award.</w:t>
      </w:r>
    </w:p>
    <w:p>
      <w:pPr>
        <w:spacing w:after="0" w:line="20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PSUs granted in fiscal 2024 have a maximum aggregate award equal to 200% of the target amount granted. Generally, the number of PSUs that may be earned under the fiscal 2024 grants depends upon the total stockholder return, or TSR, of our common stock compared with the TSR of the Russell 2000 Index, or RUT, over the three-year performance period. The relative performance of our common stock must equal or exceed the relative performance of the RUT for any of the PSUs subject to the awards to be earned and vest. The relative performance of our common stock must outperform the RUT by 5% in order for the target award to vest. The relative performance of our common stock must outperform the RUT by at least 10% in order for 200% of the PSUs subject to the awards (the maximum number of PSUs) being earned and vesting.</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PSUs granted after fiscal 2024, have a maximum aggregate award equal to 220% of the target amount granted. The number of PSUs that may be earned under these grants depends upon the primary performance metric of our average annual Adjusted EBITDAS Growth percentage, subject to a modifier based on the TSR of our common stock compared with the TSR of the RUT over the three-year performance period. The number of PSUs that may be earned is subject to a threshold of 40% of the average annual Adjusted EBITDAS Growth percentage target and a maximum of 220% of the average annual Adjusted EBITDAS Growth percentage target.</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certain circumstances, the vested awards will be delivered on the first anniversary of the applicable vesting date. We have applied a discount to the grant date fair value when determining the amount of compensation expense to be recorded for these RSUs and PSUs.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2026, we granted 237,691 PSUs to certain of our executive officers. We also granted 603,336 service-based RSUs during fiscal 2026, including 273,374 RSUs to certain of our executive officers, 76,266 RSUs to our directors, and 253,696 RSUs to non-executive officer employees.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2026, we canceled 108,736 market-condition PSUs as a result of the failure to satisfy the performance metric. We canceled 64,463 service-based RSUs as a result of the service period condition not being met. We delivered 295,841 shares of common stock to current employees and directors under vested RSUs with a total market value of $3.8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2025, we granted 142,878 PSUs to certain of our executive officers. We also granted 486,895 service-based RSUs during fiscal 2025, including 142,882 RSUs to certain of our executive officers, 54,666 RSUs to our directors, and 289,347 RSUs to non-executive officer employees.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2025, we canceled 63,469 market-condition PSUs as a result of the failure to satisfy the performance metric and 38,521 as a result of the service period condition not being met. We canceled 36,068 service-based RSUs as a result of the service period condition not being met. We delivered 218,831 shares of common stock to current employees and directors under vested RSUs with a total market value of $4.5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2024, we granted 176,583 PSUs to certain of our executive officers. We also granted 357,357 service-based RSUs during fiscal 2024, including 117,724 RSUs to certain of our executive officers, 58,819 RSUs to our directors, and 180,814 RSUs to non-executive officer employees.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fiscal 2024, we canceled 158,100 market-condition PSUs as a result of the failure to satisfy the performance metric. We canceled 24,385 service-based RSUs as a result of the service period condition not being met. We delivered 228,087 shares of common stock to current employees and directors under vested RSUs with a total market value of $2.7 million. In addition, in connection with a 2019 grant, which vested in fiscal 2023, we delivered 55,726 market-condition PSUs to certain of our executive officers and a former executive officer with a total market value of $664,000.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grant date fair value of RSUs and PSUs that vested in fiscal 2026, 2025, and 2024 was $5.5 million, $3.8 million, and $3.3 million, respectively.</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fiscal years 2026, 2025, and 2024 is as follows: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PSUs outstanding,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PSUs outstanding,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9030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46"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55,726 PSUs that vested during fiscal 2023.</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41916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2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118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62"/>
        </w:trPr>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1,204,133</w:t>
            </w: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14.21</w:t>
            </w:r>
          </w:p>
        </w:tc>
        <w:tc>
          <w:tcPr>
            <w:tcW w:w="180" w:type="dxa"/>
            <w:vAlign w:val="bottom"/>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1,000,347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13.45</w:t>
            </w:r>
          </w:p>
        </w:tc>
        <w:tc>
          <w:tcPr>
            <w:tcW w:w="180" w:type="dxa"/>
            <w:vAlign w:val="bottom"/>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932,705</w:t>
            </w:r>
          </w:p>
        </w:tc>
        <w:tc>
          <w:tcPr>
            <w:tcW w:w="46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629,773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533,940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(390,259)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(287,929)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(283,813) (a)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34"/>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(173,199)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(138,058)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(182,485)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1,481,702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1,204,133</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1,000,347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-719455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-445135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-162560</wp:posOffset>
            </wp:positionV>
            <wp:extent cx="713232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4340" w:space="200"/>
            <w:col w:w="6700"/>
          </w:cols>
          <w:pgMar w:left="320" w:top="765" w:right="339" w:bottom="1440" w:gutter="0" w:footer="0" w:header="0"/>
          <w:type w:val="continuous"/>
        </w:sectPr>
      </w:pPr>
    </w:p>
    <w:p>
      <w:pPr>
        <w:spacing w:after="0" w:line="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April 30, 2026, there was $4.6 million of unrecognized compensation cost related to unvested RSUs and PSUs. This cost is expected to be recognized over a weighted average remaining contractual term of 1.3 years.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September 27, 2021, our stockholders approved our 2021 ESPP, which authorizes the sale of up to 3,000,000 shares of our common stock to employees. All options and rights to participate in our ESPP are nontransferable and subject to forfeiture in accordance with our ESPP guidelines. Our current ESPP will be implemented in a series of successive offering periods, each with a maximum duration of 12 months. If the fair market value, or FMV, per share of our common stock on any purchase date is less than the FMV per share on the start date of a 12-month offering period, then that offering period will automatically terminate, and a new 12-month offering period will begin on the next business day. Each offering period will begin on April 1 or October 1, as applicable, immediately following the end of the previous offering period. Payroll deductions will be on an after-tax basis, in an amount of not less than 1% and not more than 20% (or such greater percentage as the committee appointed to administer our ESPP may establish from time to time before the first day of an offering period) of a participant’s compensation on each payroll date. The option exercise price per share will equal 85% of the lower of the FMV on the first day of the offering period or the FMV on the exercise date. The maximum number of shares that a participant may purchase during any purchase period is 12,500 shares, or a total of $25,000 in shares, based on the FMV on the first day of the offering period. Our ESPP will remain in effect until the earliest of (a) the exercise date that participants become entitled to purchase a number of shares greater than the number of reserved shares available for purchase under our ESPP, (b) such date as is determined by our Board of Directors in its discretion, or (c) March 31, 2032. In the event of certain corporate transactions, each option outstanding under our ESPP will be assumed or an equivalent option will be substituted by the successor corporation or a parent or subsidiary of such successor corporation. During fiscal 2026 and 2025, 198,691 and 175,134 shares were purchased under the 2021 ESPP, respectively.</w:t>
      </w:r>
    </w:p>
    <w:p>
      <w:pPr>
        <w:spacing w:after="0" w:line="1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an award of an equity instrument based on the grant-date fair value of the award. We calculate the fair value of our stock options issued to employees using the Black-Scholes model at the time the options were granted. That amount is then amortized over the vesting period of the option. With our ESPP, fair value is determined at the beginning of the purchase period and amortized over the term of each exercise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assumptions were used in valuing our ESPP purchases during the years ended April 30, 2026,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1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44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3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3.726%</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4.136%</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5.225%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6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 months</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 months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months</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45.82%</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42.03%</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45.69%</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4.61%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r>
    </w:tbl>
    <w:p>
      <w:pPr>
        <w:spacing w:after="0" w:line="2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estimate expected volatility using historical volatility for the expected term. The fair value of each stock option or ESPP purchase was estimated on the date of the grant using the Black-Scholes option pricing model (using the risk-free interest rate, expected term, expected volatility, and dividend yield variables, as noted in the above table). The total stock-based compensation expense, including stock options, purchases under our ESPP, and RSU and PSU awards, was $8.4 million, $7.6 million, and $5.7 million, for fiscal years 2026,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Employer Sponsored Benefit Plans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Contributory Defined Investment Plan </w:t>
      </w:r>
      <w:r>
        <w:rPr>
          <w:rFonts w:ascii="Times New Roman" w:cs="Times New Roman" w:eastAsia="Times New Roman" w:hAnsi="Times New Roman"/>
          <w:sz w:val="18"/>
          <w:szCs w:val="18"/>
          <w:color w:val="auto"/>
        </w:rPr>
        <w:t>— We offer two contributory defined investment plans covering substantially all employees,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requirements. Employees may contribute up to 100% of their annual pay, depending on the plan. We generally make discretionary matching contributions of up to 50% of the first 6% of employee contributions to the plan. We contributed $2.3 million, $2.4 million, and $2.7 million for the fiscal years ended April 30, 2026, 2025, and 2024, respectively.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Nonelective Contribution Sharing Plan </w:t>
      </w:r>
      <w:r>
        <w:rPr>
          <w:rFonts w:ascii="Times New Roman" w:cs="Times New Roman" w:eastAsia="Times New Roman" w:hAnsi="Times New Roman"/>
          <w:sz w:val="18"/>
          <w:szCs w:val="18"/>
          <w:color w:val="auto"/>
        </w:rPr>
        <w:t>— We have a non-contributory profit-sharing plan covering substantially all of our employees.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eligible on May 1 following the completion of a full fiscal year of continuous service. Our contributions to the plan are discretionary. For fiscal 2026, we intend to contribute approximately $5.2 million, which has been recorded in general and administrative costs and will be funded during fiscal 2027. We contributed $4.6 million and $9.1 million for the fiscal years ended April 30, 2025 and 2024, respectively. Contributions are funded after the fiscal year-end.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expense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8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7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tcPr>
          <w:p>
            <w:pPr>
              <w:spacing w:after="0"/>
              <w:rPr>
                <w:sz w:val="18"/>
                <w:szCs w:val="18"/>
                <w:color w:val="auto"/>
              </w:rPr>
            </w:pPr>
          </w:p>
        </w:tc>
      </w:tr>
      <w:tr>
        <w:trPr>
          <w:trHeight w:val="216"/>
        </w:trPr>
        <w:tc>
          <w:tcPr>
            <w:tcW w:w="3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8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8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(2,638)</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8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(1,701)</w:t>
            </w:r>
          </w:p>
        </w:tc>
      </w:tr>
      <w:tr>
        <w:trPr>
          <w:trHeight w:val="20"/>
        </w:trPr>
        <w:tc>
          <w:tcPr>
            <w:tcW w:w="366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7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shd w:val="clear" w:color="auto" w:fill="CFF0FC"/>
          </w:tcPr>
          <w:p>
            <w:pPr>
              <w:spacing w:after="0"/>
              <w:rPr>
                <w:sz w:val="21"/>
                <w:szCs w:val="21"/>
                <w:color w:val="auto"/>
              </w:rPr>
            </w:pPr>
          </w:p>
        </w:tc>
      </w:tr>
      <w:tr>
        <w:trPr>
          <w:trHeight w:val="845"/>
        </w:trPr>
        <w:tc>
          <w:tcPr>
            <w:tcW w:w="3660" w:type="dxa"/>
            <w:vAlign w:val="bottom"/>
            <w:tcBorders>
              <w:top w:val="single" w:sz="8" w:color="CFF0FC"/>
            </w:tcBorders>
          </w:tcPr>
          <w:p>
            <w:pPr>
              <w:spacing w:after="0"/>
              <w:rPr>
                <w:sz w:val="24"/>
                <w:szCs w:val="24"/>
                <w:color w:val="auto"/>
              </w:rPr>
            </w:pPr>
          </w:p>
        </w:tc>
        <w:tc>
          <w:tcPr>
            <w:tcW w:w="2860" w:type="dxa"/>
            <w:vAlign w:val="bottom"/>
            <w:tcBorders>
              <w:top w:val="single" w:sz="8" w:color="CFF0FC"/>
            </w:tcBorders>
          </w:tcPr>
          <w:p>
            <w:pPr>
              <w:ind w:left="1800"/>
              <w:spacing w:after="0"/>
              <w:rPr>
                <w:sz w:val="20"/>
                <w:szCs w:val="20"/>
                <w:color w:val="auto"/>
              </w:rPr>
            </w:pPr>
            <w:r>
              <w:rPr>
                <w:rFonts w:ascii="Times New Roman" w:cs="Times New Roman" w:eastAsia="Times New Roman" w:hAnsi="Times New Roman"/>
                <w:sz w:val="18"/>
                <w:szCs w:val="18"/>
                <w:color w:val="auto"/>
              </w:rPr>
              <w:t>F-25</w:t>
            </w:r>
          </w:p>
        </w:tc>
        <w:tc>
          <w:tcPr>
            <w:tcW w:w="9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-1919605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-1919605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-1362075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-1362075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-1070610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-1053465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-1070610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-1053465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effective income tax rate for the year ended April 30, 2026 differs from the statutory federal income tax rate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Year Ended April 30, 2026</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7600" w:type="dxa"/>
            <w:vAlign w:val="bottom"/>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effects (a)</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derived intangible income (FDII) deductions</w:t>
            </w:r>
          </w:p>
        </w:tc>
        <w:tc>
          <w:tcPr>
            <w:tcW w:w="10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&amp; development and fuel</w:t>
            </w:r>
          </w:p>
        </w:tc>
        <w:tc>
          <w:tcPr>
            <w:tcW w:w="10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w:t>
            </w:r>
          </w:p>
        </w:tc>
        <w:tc>
          <w:tcPr>
            <w:tcW w:w="10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Deferral adjustment for stock compensation</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7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18" w:lineRule="exact"/>
        <w:rPr>
          <w:sz w:val="20"/>
          <w:szCs w:val="20"/>
          <w:color w:val="auto"/>
        </w:rPr>
      </w:pPr>
    </w:p>
    <w:p>
      <w:pPr>
        <w:ind w:left="520" w:right="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Louisiana, Minnesota, North Carolina, and Texas make up the majority (greater than 50%) of the tax effect in this category.</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Prior to the adoption of ASU 2023-09, the following table presents a reconciliation of income tax expense from continuing operations at the statutory rate of 21% to the expense in the consolidated financial statements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8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taxes expected at the statutory rate</w:t>
            </w:r>
          </w:p>
        </w:tc>
        <w:tc>
          <w:tcPr>
            <w:tcW w:w="4140" w:type="dxa"/>
            <w:vAlign w:val="bottom"/>
            <w:gridSpan w:val="2"/>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effects</w:t>
            </w:r>
          </w:p>
        </w:tc>
        <w:tc>
          <w:tcPr>
            <w:tcW w:w="3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Business meals and entertainment</w:t>
            </w:r>
          </w:p>
        </w:tc>
        <w:tc>
          <w:tcPr>
            <w:tcW w:w="3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prior year returns</w:t>
            </w:r>
          </w:p>
        </w:tc>
        <w:tc>
          <w:tcPr>
            <w:tcW w:w="3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(1,176)</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FF0FC"/>
          </w:tcPr>
          <w:p>
            <w:pPr>
              <w:spacing w:after="0"/>
              <w:rPr>
                <w:sz w:val="18"/>
                <w:szCs w:val="18"/>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060" w:type="dxa"/>
            <w:vAlign w:val="bottom"/>
          </w:tcPr>
          <w:p>
            <w:pPr>
              <w:spacing w:after="0"/>
              <w:rPr>
                <w:sz w:val="18"/>
                <w:szCs w:val="18"/>
                <w:color w:val="auto"/>
              </w:rPr>
            </w:pPr>
          </w:p>
        </w:tc>
        <w:tc>
          <w:tcPr>
            <w:tcW w:w="108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4560" w:type="dxa"/>
            <w:vAlign w:val="bottom"/>
          </w:tcPr>
          <w:p>
            <w:pPr>
              <w:spacing w:after="0"/>
              <w:rPr>
                <w:sz w:val="24"/>
                <w:szCs w:val="24"/>
                <w:color w:val="auto"/>
              </w:rPr>
            </w:pPr>
          </w:p>
        </w:tc>
        <w:tc>
          <w:tcPr>
            <w:tcW w:w="4140" w:type="dxa"/>
            <w:vAlign w:val="bottom"/>
            <w:gridSpan w:val="2"/>
          </w:tcPr>
          <w:p>
            <w:pPr>
              <w:jc w:val="right"/>
              <w:ind w:right="2822"/>
              <w:spacing w:after="0"/>
              <w:rPr>
                <w:sz w:val="20"/>
                <w:szCs w:val="20"/>
                <w:color w:val="auto"/>
              </w:rPr>
            </w:pPr>
            <w:r>
              <w:rPr>
                <w:rFonts w:ascii="Times New Roman" w:cs="Times New Roman" w:eastAsia="Times New Roman" w:hAnsi="Times New Roman"/>
                <w:sz w:val="18"/>
                <w:szCs w:val="18"/>
                <w:color w:val="auto"/>
              </w:rPr>
              <w:t>F-26</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 assets and liabilities related to temporary differences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0" w:type="dxa"/>
            <w:vAlign w:val="bottom"/>
            <w:tcBorders>
              <w:bottom w:val="single" w:sz="8" w:color="auto"/>
            </w:tcBorders>
            <w:gridSpan w:val="8"/>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reserves</w:t>
            </w:r>
          </w:p>
        </w:tc>
        <w:tc>
          <w:tcPr>
            <w:tcW w:w="146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including compensation</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 and tax credits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liability</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Workers' compensation</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bonus depreciation</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Warranty reserve</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Section 174 capitalized R&amp;D expense</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5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(12,549)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(11,679)</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(15,715)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(14,539)</w:t>
            </w:r>
          </w:p>
        </w:tc>
        <w:tc>
          <w:tcPr>
            <w:tcW w:w="0" w:type="dxa"/>
            <w:vAlign w:val="bottom"/>
          </w:tcPr>
          <w:p>
            <w:pPr>
              <w:spacing w:after="0"/>
              <w:rPr>
                <w:sz w:val="1"/>
                <w:szCs w:val="1"/>
                <w:color w:val="auto"/>
              </w:rPr>
            </w:pPr>
          </w:p>
        </w:tc>
      </w:tr>
      <w:tr>
        <w:trPr>
          <w:trHeight w:val="20"/>
        </w:trPr>
        <w:tc>
          <w:tcPr>
            <w:tcW w:w="72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5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The supplemental schedule of cash paid for income taxes, net of refunds is as follows:</w:t>
            </w: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7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0" w:type="dxa"/>
            <w:vAlign w:val="bottom"/>
          </w:tcPr>
          <w:p>
            <w:pPr>
              <w:spacing w:after="0"/>
              <w:rPr>
                <w:sz w:val="1"/>
                <w:szCs w:val="1"/>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U.S. Federal</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Louisiana</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cash paid during the period for income taxes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paid for income taxes, prior to the adoption of ASU 2023-09, was $7.3 million and $12.7 million for the years ended April 30, 2025 and 2024,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federal net operating losses as of April 30, 2026.</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had $109.2 million and $77.3 million in state net operating loss carryforwards as of April 30, 2026 and 2025, respectively. The state net operating loss carryforwards will expire between April 30, 2027 and April 30, 2041. We had $5.5 million and $5.3 million of state tax credit carryforwards as of April 30, 2026 and 2025, respectively. Of the $5.5 million, $2.4 million can be carried forward indefinitely and $3.1 million will expire between April 30, 2027 and April 30, 2052.</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2026 and 2025, valuation allowances related to our deferred tax assets for state net operating loss carryforwards were $5.6 million and $4.0 million, respectively, and $1.8 million and $2.2 million were provided on our deferred tax assets for state tax credits, respectively, that we do not anticipate using prior to expiration.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income tax provisions represent effective tax rates of 26.3% and 30.2% for fiscal 2026 and 2025,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limited exception, we are subject to U.S. federal, state, and local income tax audits by tax authorities for fiscal years subsequent to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2026 and 2025, we have not recorded any unrecognized tax benefits. We maintain an accounting policy of recording interest and penalties, if applicable, related to uncertain tax positions as a component of income taxes. As of April 30, 2026 and 2025, there were no interest and penalties accrued.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January 2018, Gemini Technologies, Incorporated, or Gemini, commenced an action against us in the U.S. District Court for the District of Idaho.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the asset purchase agreement was signed. Plaintiffs amended their complaint to add a claim of fraud in the inducement. In September 2021, Gemini filed a motion for summary judgment seeking to dismiss our counterclaim. In June 2022, the district court denied Gemini's motion for summary judgment. Gemini filed a second motion for summary judgment, and in August 2023, the district court again denied Gemini’s motion. In November 2023, we entered into a settlement agreement with plaintiffs on the indemnity and counterclaims. On the same day, plaintiffs filed a motion for leave, seeking to file a second amended complaint. In January 2024, the district court allowed plaintiffs’ amended allegations of fraud, and denied without prejudice their motion to add punitive damages. In August 2025, we filed a motion for summary judgment, and plaintiff filed a motion for leave to file a third amended complaint, seeking to properly name the defendants and to add punitive damages as relief. On January 23, 2026, the district court (i) granted our motion for summary judgment, in part, dismissing with prejudice plaintiffs’ fraud in the inducement and breach of the implied covenant of fair dealing claims; (ii) denied our motion for summary judgment, in part, permitting plaintiffs’ breach of contract claim to proceed; (iii) denied plaintiffs’ motion to amend the complaint to add punitive damages as relief; and (iv) granted plaintiffs’ motion to properly name a successor-in-interest party. On May 12, 2026, the trial court issued an order setting the trial to begin on January 11, 2027. We believe the remaining breach of contract claim has no merit, and we intend to aggressively defend this action.</w:t>
      </w:r>
    </w:p>
    <w:p>
      <w:pPr>
        <w:spacing w:after="0" w:line="19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three product liability cases and are aware of six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March 2024, a bill was signed into law that purports to prohibit political subdivisions in Indiana from bringing certain legal actions against certain firearm industry members and to apply to actions or lawsuits filed before, after, or on August 27, 1999. Defendants subsequently filed a joint motion for judgment on the pleadings based on the new law. In August 2024, the trial court denied defendants’ joint motion for judgment on the pleadings and, in October 2024, stayed its proceedings pending an interlocutory appeal with the Indiana Court of Appeals. In December 2025, the Indiana Court of Appeals held that the retroactive application of the legislation was constitutional, reversing the trial court’s order and remanding the action to the trial court for dismissal of the action. On January 28, 2026, the City filed a petition for rehearing with the Indiana Court of Appeals, which was denied on February 2, 2026. On March 4, 2026, the City filed a petition to transfer with the Indiana Supreme Court, requesting the Court to grant transfer of the case to the Indiana Supreme Court, to vacate the Indiana Court of Appeals’ decision, and to affirm the trial court's order. In March 2026, the defendants jointly filed a response to the City's petition to transfer. On May 21, 2026, the Illinois Supreme Court denied the City’s petition to transfer. On May 26, 2026, the trial court granted the defendants’ motion to dismiss with prejudice.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the appeal is premature. In November 2021, the Divisional Court granted plaintiffs’ motion, staying our motion for leave to appeal until 30 days after the decision on the balance of plaintiffs’ certification motion. In March 2024, the court denied the plaintiffs’ motion for class certification. Three appeals were filed: (1) our appeal from the dismissal of our motion to strike the negligent design claim; (2) the plaintiffs’ appeal from the order striking out their public nuisance and strict liability claims; and (3) the plaintiffs’ appeal from the order dismissing their certification motion. In June 2025, the Court of Appeals for Ontario issued a decision: (1) dismissing our appeal from the dismissal of our motion to strike the negligent design claim; (2) dismissing plaintiffs’ appeal from the order striking out their public nuisance and strict liability claims; and (3) granting plaintiffs’ appeal from the order dismissing their certification order and certifying their negligence claim as a class proceeding. In September 2025, we filed an application with the Supreme Court of Canada, requesting that the court grant leave to appeal the duty of care issue related to our negligent design claim. In October 2025, plaintiffs filed both an opposition to our application seeking leave to appeal the duty of care issue related to our negligent design claim and a cross-appeal of the dismissal of their strict liability and public nuisance claims with the Supreme Court of Canada. Later in October 2025, the Court of Appeal issued and entered the formal order in the case, which was submitted to the Supreme Court of Canada.</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 2021, the court granted our motion in part and reversed it in part, ruling that</w:t>
      </w:r>
    </w:p>
    <w:p>
      <w:pPr>
        <w:spacing w:after="0" w:line="3" w:lineRule="exact"/>
        <w:rPr>
          <w:sz w:val="20"/>
          <w:szCs w:val="20"/>
          <w:color w:val="auto"/>
        </w:rPr>
      </w:pPr>
    </w:p>
    <w:p>
      <w:pPr>
        <w:jc w:val="both"/>
        <w:ind w:firstLine="8"/>
        <w:spacing w:after="0" w:line="251" w:lineRule="auto"/>
        <w:tabs>
          <w:tab w:leader="none" w:pos="2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Lawful Commerce in Arms Act barred plaintiffs’ product liability action; (2) plaintiffs did not have standing to maintain an action under the Unfair Competition Law for personal injury related damages, but the court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February 2022, the court consolidated the case with three related cases, in which we are not a party. In March 2022, the court granted our motion, dismissing plaintiffs’ Unfair Competition Law claim, without further leave to amend. In February 2023, we filed a motion for summary judgment. In May 2023, the court denied our motion for summary judgment without prejudice and allowed plaintiffs time for additional discovery. In December 2024, the court granted our renewed motion for summary judgment, and we later filed a proposed notice of final judgment with the court, requesting the court to enter a final judgment in our favor and to dismiss all claims against us. In February 2025, the court entered the final judgment. In April 2025, plaintiffs filed a notice of appeal with the California Court of Appeal and, in March 2026, they filed their opening appellate brief.</w:t>
      </w:r>
    </w:p>
    <w:p>
      <w:pPr>
        <w:spacing w:after="0" w:line="19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 The plaintiffs seek compensatory damages, attorneys’ fees, and injunctive relief. We filed motions for removal of each case to the U.S. District Court for the Northern District of Illinois. In November 2022, we filed a motion to consolidate the cases for preliminary motion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purposes. In December 2022, plaintiffs filed motions to remand the cases back to the state court. In September 2023, the court granted plaintiffs’ motion to remand. In October 2023, we filed a notice of appeal to the U.S. Court of Appeals for the Seventh Circuit. In March 2024, three new lawsuits were filed in the Circuit Court of Lake County, Illinois. In April 2024, the Seventh Circuit affirmed the remand decision. In May 2024, plaintiffs filed a motion for attorneys’ fees incurred as a result of removal. In March 2025, the district court granted plaintiffs’ motion, ordering us to pay certain of plaintiffs’ attorneys’ fees. In June and July 2024, the district court remanded the 12 separate actions to state court, with some plaintiffs amending their complaints to remove references to violations of federal law and asserting additional claims against us, including claims alleging violation of the Illinois Uniform Deceptive Trade Practices Act, the Illinois Consumer Fraud and Deceptive Business Practices Act, negligent and intentional infliction of emotional distress, and negligent entrustment. We were also named in 13 additional separate cases against us in the same state court during the same time period, largely raising similar allegations against us as in the initial and amended complaints. In July 2024, the trial court consolidated all cases for purposes of motions to dismiss and discovery. In September 2024, we filed our motions to dismiss plaintiffs’ 25 separate complaints. In April 2025, the court granted our motion to dismiss without prejudice with respect to plaintiffs’ counts for violation of the Illinois Consumer Fraud and Deceptive Business Practices Act for lack of standing (with respect to the deceptive claims only) and negligent entrustment and denied all remaining counts. Later in April 2025, we filed a motion to certify issues for interlocutory appeal with the trial court. In May 2025, the court ordered an expedited briefing schedule for the motion and stayed discovery. In June 2025, the court certified several issues for interlocutory appeal, lifted the discovery stay, set an initial trial date for March 8, 2027, and scheduled a status conference. We also filed our answers to plaintiffs' complaints. In July 2025, we filed an application for interlocutory appeal with the Court of Appeal. In September 2025, the Court of Appeal denied our application. We filed a petition for leave for an interlocutory appeal to the Illinois Supreme Court in October 2025. On January 28, 2026, the Illinois Supreme Court issued an order directing the Court of Appeal to accept our application for interlocutory appeal. On April 9, 2026, we filed our opening brief with the Court of Appeal. Discovery is ongoing.</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the New York General Business Law, public nuisance, and deceptive business practices in violation of the New York General Business Law. In January 2023, we filed notices of removal of the cases to the U.S. District Court for the Western District of New York. In March 2023, defendants filed a motion to stay both cases pending a ruling by the U.S. Court of Appeals for the Second Circuit in the NSSF v. James case. In June 2023, the court granted defendants’ motions to consolidate and to stay pending resolution of the NSSF v. James appeal. In July 2025, the U.S. Court of Appeals for the Second Circuit ruled against NSSF in the NSSF v. James appeal. Defendants filed a joint motion to dismiss in September 2025. On January 22, 2026, the Cities of Buffalo and Rochester filed amended complaints against us and three other manufacturers. The complaints state claims for violation of New York General Business Law 898-b(2) and common law public nuisance. Plaintiffs seek injunctive relief, compensatory and punitive/exemplary damages, costs, and interest. On March 23, 2026, defendants filed a motion to dismiss the amended complaint, and, on May 22, 2026, plaintiffs filed their opposition to defendants’ motion to dismiss.</w:t>
      </w:r>
    </w:p>
    <w:p>
      <w:pPr>
        <w:spacing w:after="0" w:line="1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involved in a putative stockholder derivative lawsuit filed in February 2025 in the U.S. District Court for the District of Nevada. The action was brought by plaintiffs seeking to act on our behalf against our directors and certain of our executive officers. The complaint alleges a breach of fiduciary duty (for allegedly allowing us to become exposed to significant liability for intentionally violating federal, state, and local laws through our manufacturing, marketing, and sales of “AR-15 style rifles” and similar semiautomatic firearms) and violations of Section 14(a) of the Exchange Act. The derivative plaintiffs seek, among other things, damages, as well as reforms and improvements to our compliance procedures and governance policies. In May 2025, we filed a motion to dismiss plaintiffs’ complaint. On March 23, 2026, the district court (i) granted our motion to dismiss without prejudice, (ii) ordered that, if plaintiffs sought to amend their complaint, they must do so within 21 days of the court’s order, and (iii) ordered that plaintiffs must post a $500,000 bond security within 14 days of the court’s order and failure to post the bond would result in the action being dismissed without prejudice. Plaintiffs did not amend their complaint or post the bond pursuant to the court’s order. On April 17, 2026, plaintiffs filed a motion for reconsideration, requesting the court to reconsider the dismissal of the case and the imposition of the bond. On May 15, 2026, we filed our opposition to plaintiffs’ motion for reconsideration, and, on May 27, 2026, plaintiffs filed their reply.</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were named in a putative class action lawsuit filed in April 2025 in the U.S. District for the Northern District of California. The complaint alleges violation of the California Invasion of Privacy Act, or CIPA, the California Privacy Act, invasion of privacy, intrusion upon seclusion, fraud/deceit/misrepresentation, breach of contract, breach of implied contract and fair dealing, trespass to chattels, and unjust enrichment. Plaintiffs allege that after they clicked on the “reject all” cookies button on our website, our website enabled third parties to place cookies and similar tracking technologies on their browsers and devices and/or to transmit their user data to third parties for their financial gain and other purposes. Plaintiffs seek compensatory damages (including statutory damages), punitive damages, nominal damages, restitution, disgorgement of revenues and profits, injunctive relief, and attorneys’ fees and costs. In May 2025, we filed a motion to dismiss the complaint. In November 2025, the parties filed a stipulation and proposed order selecting an alternative dispute resolution process, notifying the court of their selection of a private mediator and their proposed June 30, 2026 deadline to mediate the case. On February 17, 2026, the court: (a) granted, in part, our motion to dismiss, dismissing with leave to amend plaintiffs’ CIPA, common law fraud (for one named-plaintiff), breach of contract, breach of implied covenant of good faith and fair dealing, and trespass to chattels claims; and (b) denied, in part, our motion to dismiss, permitting plaintiffs’ intrusion upon seclusion, invasion of privacy, common law fraud (for certain named-plaintiffs), and unjust enrichment claims to proceed. On March 17, 2026, plaintiffs filed a first amended complaint, removing the breach of contract, breach of implied covenant of good faith and fair dealing, and trespass to chattels claims and attempting to cure the pleading deficiencies the court identified with the CIPA claims. In late March 2026, we filed a motion to dismiss the amended complaint, which has been fully briefed. The parties were unable to resolve the matter at the court-ordered mediation on May 15, 2026. The parties are engaged in discovery.</w:t>
      </w:r>
    </w:p>
    <w:p>
      <w:pPr>
        <w:spacing w:after="0" w:line="19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fiscal years ended April 30, 2026, 2025, and 2024, we paid $81,000, $155,000, and $320,000, respectively, in defense and administrative costs relative to product liability and municipal litigation. In addition, during fiscal 2026, 2025, and 2024, we paid an aggregate of $20,000, $30,000, and $1.6 million, respectively, in settlements related to product liability cases. As of April 30, 2026, we had no accruals for settlements, that were subsequently paid in the following fiscal year. As of April 30, 2025, we had $20,000 accrued for settlements that were subsequently paid in the following fiscal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When changes to our prior estimates of product liability provisions and municipal litigation liabilities are warranted, we recognize additional expense or reductions in expense. In fiscal 2026, 2025, and 2024, we recorded additional expense of $296,000, $62,000, and $35,000,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the IDB in the event that our actual capital expenditures, number of employees, or average hourly wage of such employees are less than our projections.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Relocation, we entered into an accountability agreement, or the Accountability Agreement, with the Tennessee Department of Economic and Community Development and the Blount Partnership economic development organization. Pursuant to the Accountability Agreement, the Blount Partnership received a grant in the amount of $9.0 million, which was paid to us pursuant to a grant contract. Among other performance requirements in the Accountability Agreement, we committed that we would create and maintain 750 new jobs at the facility, measured as the average number of full-time jobs at the facility on three test dates: January 1, 2027, January 1, 2028, and January 1, 2029, or the Compliance Period. In the event that the three-year average number of full-time jobs during the Compliance Period equals or exceeds 90% of the 750-job commitment, no recapture payment will be required. If the three-year average number of full-time jobs during the Compliance Period is less than 90% of the committed number, but greater than 50% of such number, we will be required to make a recapture payment equal to the percentage of full-time jobs at the facility below the 750 jobs committed, times the grant amount. If the three-year average number of full-time jobs during the Compliance Period is less than 50% of the committed number, we will be required to make a recapture payment equal to the full amount of the grant. The payment, if any, would be made on a one-time basis and due no later than 45 days after the state’s demand, which would likely be in the second calendar quarter of 2029, if required.</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fiscal 2024, we determined that we would have no use for certain distribution equipment in the Missouri distribution center and could not fully recover the net book value of such equipment. Therefore, we recorded an impairment of $1.9 million in selling, marketing, and distribution on the consolidated statements of income during that period. We vacated the Missouri distribution center effective January 1, 2024 and sold assets we could no longer utilize to AOUT at their remaining net book value of $2.9 million, relocating all remaining assets to our Maryville facility. During fiscal 2025, we sold certain real estate located adjacent to the Missouri distribution center for $2.3 million, net of transaction costs, and recognized a $2.3 million pre-tax gain on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that regulate the health and safety of our workforce, including those regulations monitored by the Occupational Health and Safety Administration, or OSHA, the National Fire Protection Association, and the Department of Public Health. Though not exhaustive, examples of applicable regulations include confined space safety, walking and working surfaces, machine guarding, and life safety.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federal, state, and local environmental laws and regulations concerning, among other things, emissions in the air; discharges to land, surface, subsurface strata and water; and the generation, handling, storage, transportation, treatment, and disposal of hazardous wastes and other materials. These laws have required us to make significant expenditures of both a capital and expense nature. Several of the more significant federal laws applicable to our operations include the Clean Air Act, the Clean Water Act, the Comprehensive Environmental Response, Compensation and Liability Act, or CERCLA, and the Solid Waste Disposal Act, as amended by the Resource Conservation and Recovery Act.</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in place programs and personnel to monitor compliance with various federal, state, and local environmental regulations. In the normal course of our manufacturing operations, we are subject to governmental proceedings and orders pertaining to waste disposal, air emissions, and water discharges into the environment. We fund our environmental costs through cash flows from operations. We believe that we are in compliance with applicable environmental regulations in all material respects.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required to remediate hazardous waste at our facilities. Currently, we own a designated site in Springfield, Massachusetts that contains two release areas, which are the focus of remediation projects as part of the Massachusetts Contingency Plan, or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and/or individual states under CERCLA or a state equivalent at two sites.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2026, and 2025, we did not have an open environmental reserve recorded in our consolidated balance sheet.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When the available information is sufficient to estimate the amount of liability, that estimate has been used. When the information is only sufficient to establish a range of probable liability and no point within the range is more likely than any other, the lower end of the range has been used. We may not have insurance coverage for our environmental remediation costs. We have not recognized any gains from probable recoveries or other gain contingencies.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the cost of resolving future environmental health and safety proceedings and claims, in part because the scope of the remedies that may be required is not certain, liability under federal environmental laws is joint and several in nature, and environmental laws and regulations are subject to modification and changes in interpretation. There can be no assurance that additional or changing environmental regulation will not become more burdensome in the future and that any such development would not have a material adverse effect on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 We have employment, severance, and change of control agreements with certain employees.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Relocation, ($509,000), $1.2 million, and $7.1 million of restructuring charges, net of adjustments to our prior estimates, were recorded in fiscal 2026,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restructuring charges by line item for fiscal 2026, 2025 and 2024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680" w:type="dxa"/>
            <w:vAlign w:val="bottom"/>
          </w:tcPr>
          <w:p>
            <w:pPr>
              <w:spacing w:after="0"/>
              <w:rPr>
                <w:sz w:val="17"/>
                <w:szCs w:val="17"/>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88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shd w:val="clear" w:color="auto" w:fill="CFF0FC"/>
          </w:tcPr>
          <w:p>
            <w:pPr>
              <w:spacing w:after="0"/>
              <w:rPr>
                <w:sz w:val="18"/>
                <w:szCs w:val="18"/>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980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components of the restructuring charges recorded in our consolidated statements of income are as follows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66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6680" w:type="dxa"/>
            <w:vAlign w:val="bottom"/>
          </w:tcPr>
          <w:p>
            <w:pPr>
              <w:spacing w:after="0"/>
              <w:rPr>
                <w:sz w:val="17"/>
                <w:szCs w:val="17"/>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and outside services</w:t>
            </w: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Employee relocation (a)</w:t>
            </w:r>
          </w:p>
        </w:tc>
        <w:tc>
          <w:tcPr>
            <w:tcW w:w="88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relations</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Office rent and equipment</w:t>
            </w:r>
          </w:p>
        </w:tc>
        <w:tc>
          <w:tcPr>
            <w:tcW w:w="88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relations</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Freight</w:t>
            </w:r>
          </w:p>
        </w:tc>
        <w:tc>
          <w:tcPr>
            <w:tcW w:w="88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 and employee-related benefits (a)</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(922)</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66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-2022475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-2022475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the severance and employee-related benefits and relocation accruals for fiscal 2026 and fiscal 2025 (in thousands):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Accrual at April 30,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Charges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payments and settlements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Accrual at April 30,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Charges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payments and settlements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Accrual at April 30, 2026</w:t>
      </w:r>
    </w:p>
    <w:p>
      <w:pPr>
        <w:spacing w:after="0" w:line="252"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5,527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6,355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191"/>
        </w:trPr>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1,372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-1002665</wp:posOffset>
            </wp:positionV>
            <wp:extent cx="71323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-445135</wp:posOffset>
            </wp:positionV>
            <wp:extent cx="71323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-728345</wp:posOffset>
            </wp:positionV>
            <wp:extent cx="7132320"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-162560</wp:posOffset>
            </wp:positionV>
            <wp:extent cx="7132320" cy="163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5960" w:space="720"/>
            <w:col w:w="4560"/>
          </w:cols>
          <w:pgMar w:left="320" w:top="765"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one operating segment, which also represents one reportable segment: firearms. Therefore, results of our operations are reported on a consolidated basis for purposes of segment reporting, consistent with internal management reporting.</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firearms segment is engaged in the design, manufacture, and sale of a variety of firearms and firearm-related products. Our Chief Executive Officer has been identified as the chief operating decision maker (CODM). The CODM manages and allocates resources on a consolidated basis. The determination of a single segment is consistent with the financial information regularly reviewed by the CODM for purposes of evaluating performance and allocating resources, which is reviewed on a consolidated basis.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our CODM evaluates the financial performance of our firearms segment on a consolidated basis, the measure of segment performance is net income, as reflected in the consolidated statements of income. The CODM uses net income to allocate resources on a consolidated basis, which enables the CODM to assess both the overall level of resources available and optimize distribution of resources in line with our long-term strategic goals. Our segment net sales, segment significant expenses, and segment profit, as provided to the CODM, align to the captions presented on our consolidated statements of income. As we manage our assets on a consolidated basis, the measure of segment assets is total assets, as reflected in the consolidated balance sheets.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additional segment information, not already disclosed elsewhere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4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(7,186)</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(7,289)</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(4,838)</w:t>
            </w:r>
          </w:p>
        </w:tc>
      </w:tr>
      <w:tr>
        <w:trPr>
          <w:trHeight w:val="20"/>
        </w:trPr>
        <w:tc>
          <w:tcPr>
            <w:tcW w:w="3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(4,810)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(4,622)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(2,055)</w:t>
            </w:r>
          </w:p>
        </w:tc>
      </w:tr>
      <w:tr>
        <w:trPr>
          <w:trHeight w:val="845"/>
        </w:trPr>
        <w:tc>
          <w:tcPr>
            <w:tcW w:w="346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ind w:left="2000"/>
              <w:spacing w:after="0"/>
              <w:rPr>
                <w:sz w:val="20"/>
                <w:szCs w:val="20"/>
                <w:color w:val="auto"/>
              </w:rPr>
            </w:pPr>
            <w:r>
              <w:rPr>
                <w:rFonts w:ascii="Times New Roman" w:cs="Times New Roman" w:eastAsia="Times New Roman" w:hAnsi="Times New Roman"/>
                <w:sz w:val="18"/>
                <w:szCs w:val="18"/>
                <w:color w:val="auto"/>
              </w:rPr>
              <w:t>F-35</w:t>
            </w:r>
          </w:p>
        </w:tc>
        <w:tc>
          <w:tcPr>
            <w:tcW w:w="8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-1070610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-1053465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-1070610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-1053465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10.107</w:t>
      </w:r>
    </w:p>
    <w:p>
      <w:pPr>
        <w:spacing w:after="0" w:line="2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EXECUTIVE SEVERANCE PAY PLAN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(Amended and Restated as of June 4, 2020)</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(Amended and Restated as of June 18, 2025)</w:t>
      </w:r>
    </w:p>
    <w:p>
      <w:pPr>
        <w:spacing w:after="0" w:line="20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Smith &amp; Wesson Brands, Inc. (the “Company”) hereby amends and restates the Company’s Executive Severance Pay Plan (the “Plan”), originally adopted on July 2, 2013 and amended and restated on June 4, 2020, for the benefit of the Participating Employees as defined herein.</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Plan is designed to serve as a vehicle for the Company to provide severance pay and certain benefits to a select group of employees designated by the Administrator who (i) are terminated from employment without Good Cause, (ii) resign for Good Reason, (iii) are terminated from employment without Good Cause under certain circumstances incident to a Change in Control or (iv) resign following an Adverse Change in Control Effect. The legal rights and obligations of any Participating Employee shall be determined solely by the provisions of the Plan, as interpreted by the Administrator in the exercise of its sole and absolute discretion.</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Administrator has the sole discretion to determine whether an employee shall be a Participating Employee under the Plan. Nothing in the Plan shall be construed to give any employee any right to continue in the employment of the Company or an Applicable Subsidiary. The Plan is unfunded, has no trustee, and is administered by the Administrator. The Plan is intended to be (i) an employee welfare benefit plan within the meaning of Section 3(1) of the Employee Retirement Income Security Act of 1974, as amended (“ERISA”), and (ii) a “top hat” plan within the meaning of Sections 201(2), 301(a)(3) and 401(a)(1) of ERISA. The Plan is further intended to qualify as a “separation pay plan” under Section 409A of the Internal Revenue Code of 1986, as amended (the “Code”), and the regulations promulgated thereunder and shall be maintained, interpreted, and administered accordingly.</w:t>
      </w:r>
    </w:p>
    <w:p>
      <w:pPr>
        <w:spacing w:after="0" w:line="18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Plan supersedes all prior severance pay plans and practices, whether formal or informal, written or unwritten, of the Company and its Applicable Subsidiaries with respect to Participating Employees.</w:t>
      </w:r>
    </w:p>
    <w:p>
      <w:pPr>
        <w:spacing w:after="0" w:line="158"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Name</w:t>
      </w:r>
      <w:r>
        <w:rPr>
          <w:rFonts w:ascii="Times New Roman" w:cs="Times New Roman" w:eastAsia="Times New Roman" w:hAnsi="Times New Roman"/>
          <w:sz w:val="18"/>
          <w:szCs w:val="18"/>
          <w:color w:val="auto"/>
        </w:rPr>
        <w:t>: Smith &amp; Wesson Brands, Inc. Executive Severance Pay Plan</w:t>
      </w:r>
    </w:p>
    <w:p>
      <w:pPr>
        <w:spacing w:after="0" w:line="200" w:lineRule="exact"/>
        <w:rPr>
          <w:sz w:val="20"/>
          <w:szCs w:val="20"/>
          <w:color w:val="auto"/>
        </w:rPr>
      </w:pPr>
    </w:p>
    <w:p>
      <w:pPr>
        <w:spacing w:after="0" w:line="29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Plan Sponsor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Smith &amp; Wesson Brands, Inc.</w:t>
      </w:r>
    </w:p>
    <w:p>
      <w:pPr>
        <w:spacing w:after="0" w:line="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1852 Proffitt Springs Road</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Maryville, TN 37801</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(413) 781-8300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Employer Identification Number: </w:t>
      </w:r>
      <w:r>
        <w:rPr>
          <w:rFonts w:ascii="Times New Roman" w:cs="Times New Roman" w:eastAsia="Times New Roman" w:hAnsi="Times New Roman"/>
          <w:sz w:val="18"/>
          <w:szCs w:val="18"/>
          <w:color w:val="auto"/>
        </w:rPr>
        <w:t>87-0543688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Plan</w:t>
      </w:r>
      <w:r>
        <w:rPr>
          <w:rFonts w:ascii="Times New Roman" w:cs="Times New Roman" w:eastAsia="Times New Roman" w:hAnsi="Times New Roman"/>
          <w:sz w:val="18"/>
          <w:szCs w:val="18"/>
          <w:color w:val="auto"/>
        </w:rPr>
        <w:t>: Welfare Benefit – Severance Pay Top Hat Plan</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Board of Directors of Smith &amp; Wesson Brands, Inc. or, if the Board of Directors determines, a committee of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each case with respect to all or certain specified provisions of the Plan</w:t>
      </w:r>
    </w:p>
    <w:p>
      <w:pPr>
        <w:spacing w:after="0" w:line="155"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18"/>
          <w:szCs w:val="18"/>
          <w:b w:val="1"/>
          <w:bCs w:val="1"/>
          <w:color w:val="auto"/>
        </w:rPr>
        <w:t>Agent for Service of Legal Process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General Counsel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Contributions</w:t>
      </w:r>
      <w:r>
        <w:rPr>
          <w:rFonts w:ascii="Times New Roman" w:cs="Times New Roman" w:eastAsia="Times New Roman" w:hAnsi="Times New Roman"/>
          <w:sz w:val="18"/>
          <w:szCs w:val="18"/>
          <w:color w:val="auto"/>
        </w:rPr>
        <w:t>: The Plan is unfunded, and all benefits are paid from the general assets of the Company and its Applicable Subsidiaries.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Type of Administration</w:t>
      </w:r>
      <w:r>
        <w:rPr>
          <w:rFonts w:ascii="Times New Roman" w:cs="Times New Roman" w:eastAsia="Times New Roman" w:hAnsi="Times New Roman"/>
          <w:sz w:val="18"/>
          <w:szCs w:val="18"/>
          <w:color w:val="auto"/>
        </w:rPr>
        <w:t>: The Plan is administered by the Administrator, with benefits provided in accordance with the provisions of this Plan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also constitutes the “Summary Plan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2" w:name="page93"/>
    <w:bookmarkEnd w:id="9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Year</w:t>
      </w:r>
      <w:r>
        <w:rPr>
          <w:rFonts w:ascii="Times New Roman" w:cs="Times New Roman" w:eastAsia="Times New Roman" w:hAnsi="Times New Roman"/>
          <w:sz w:val="18"/>
          <w:szCs w:val="18"/>
          <w:color w:val="auto"/>
        </w:rPr>
        <w:t>: The Plan’s fiscal records are kept on a calendar year basis ending December 31.</w:t>
      </w:r>
    </w:p>
    <w:p>
      <w:pPr>
        <w:spacing w:after="0" w:line="22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color w:val="auto"/>
        </w:rPr>
      </w:pPr>
    </w:p>
    <w:p>
      <w:pPr>
        <w:ind w:firstLine="517"/>
        <w:spacing w:after="0" w:line="256" w:lineRule="auto"/>
        <w:tabs>
          <w:tab w:leader="none" w:pos="8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Change in Control Effect</w:t>
      </w:r>
      <w:r>
        <w:rPr>
          <w:rFonts w:ascii="Times New Roman" w:cs="Times New Roman" w:eastAsia="Times New Roman" w:hAnsi="Times New Roman"/>
          <w:sz w:val="18"/>
          <w:szCs w:val="18"/>
          <w:color w:val="auto"/>
        </w:rPr>
        <w:t>” means, during a Potential Change in Control Protection Period or Change in Control Protection Period, without the Participating Employee’s written consent, (i) any material reduction in the Participating Employee’s annual base compensation or target bonus percentage opportunity, (ii) any material adverse change in a Participating Employee’s positions, titles, duties, responsibilities, or reporting relationships compared to the Participating Employee’s positions, titles, duties, responsibilities, or reporting relationships immediately prior to a Potential Change in Control (if such diminution occurs during the Potential Change in Control Protection Period) or Change in Control (if such diminution occurs during the Change in Control Protection Period) or (iii) a relocation of the Participating Employee’s principal place of business more than 50 miles from the facility in which the Participating Employee was last providing services.</w:t>
      </w:r>
    </w:p>
    <w:p>
      <w:pPr>
        <w:spacing w:after="0" w:line="182" w:lineRule="exact"/>
        <w:rPr>
          <w:rFonts w:ascii="Times New Roman" w:cs="Times New Roman" w:eastAsia="Times New Roman" w:hAnsi="Times New Roman"/>
          <w:sz w:val="18"/>
          <w:szCs w:val="18"/>
          <w:color w:val="auto"/>
        </w:rPr>
      </w:pPr>
    </w:p>
    <w:p>
      <w:pPr>
        <w:ind w:right="280" w:firstLine="517"/>
        <w:spacing w:after="0" w:line="286" w:lineRule="auto"/>
        <w:tabs>
          <w:tab w:leader="none" w:pos="8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any entity that, directly or indirectly, is controlled by, controls or is under common control with the Company and (b) any entity in which the Company has a significant equity interest, in either case as determined by the Administrator.</w:t>
      </w:r>
    </w:p>
    <w:p>
      <w:pPr>
        <w:spacing w:after="0" w:line="154" w:lineRule="exact"/>
        <w:rPr>
          <w:rFonts w:ascii="Times New Roman" w:cs="Times New Roman" w:eastAsia="Times New Roman" w:hAnsi="Times New Roman"/>
          <w:sz w:val="18"/>
          <w:szCs w:val="18"/>
          <w:color w:val="auto"/>
        </w:rPr>
      </w:pPr>
    </w:p>
    <w:p>
      <w:pPr>
        <w:ind w:right="60" w:firstLine="517"/>
        <w:spacing w:after="0" w:line="286" w:lineRule="auto"/>
        <w:tabs>
          <w:tab w:leader="none" w:pos="8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Subsidiary</w:t>
      </w:r>
      <w:r>
        <w:rPr>
          <w:rFonts w:ascii="Times New Roman" w:cs="Times New Roman" w:eastAsia="Times New Roman" w:hAnsi="Times New Roman"/>
          <w:sz w:val="18"/>
          <w:szCs w:val="18"/>
          <w:color w:val="auto"/>
        </w:rPr>
        <w:t>” means the subsidiary of the Company that is the employer of the Participating Employee on the effective date of the Participating Employee’s termination or resignation.</w:t>
      </w:r>
    </w:p>
    <w:p>
      <w:pPr>
        <w:spacing w:after="0" w:line="1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21" w:lineRule="exact"/>
        <w:rPr>
          <w:rFonts w:ascii="Times New Roman" w:cs="Times New Roman" w:eastAsia="Times New Roman" w:hAnsi="Times New Roman"/>
          <w:sz w:val="18"/>
          <w:szCs w:val="18"/>
          <w:color w:val="auto"/>
        </w:rPr>
      </w:pPr>
    </w:p>
    <w:p>
      <w:pPr>
        <w:ind w:left="520" w:right="140" w:firstLine="506"/>
        <w:spacing w:after="0" w:line="255" w:lineRule="auto"/>
        <w:tabs>
          <w:tab w:leader="none" w:pos="137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calendar months, individuals who were directors of the Company on the first day of such period (the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xml:space="preserve">”) cease for any reason to constitute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first day of such period whose election, or nomination for election, by the Company’s stockholders was approved by a vote of at least a majority of the Incumbent Directors shall be deemed to be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20" w:firstLine="506"/>
        <w:spacing w:after="0" w:line="254" w:lineRule="auto"/>
        <w:tabs>
          <w:tab w:leader="none" w:pos="142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similar form of corporate transaction involving (x) the Company or (y) any of its Subsidiaries (but in the case of this clause (y) only if Company Voting Securities (as defined below) are issued or issuable) or the sale or other disposition of all or substantially all the assets of the Company to an entity that is not an Affiliate (each of the foregoing events being hereinafter referred to as a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in each case, unless, immediately following such Reorganization, all or substantially all the Persons who were the “beneficial owners” (as used in Rule 13d-3 under the Exchange Act (or any successor rule thereto)) of the securities eligible to vote for the election of the Board (“</w:t>
      </w:r>
      <w:r>
        <w:rPr>
          <w:rFonts w:ascii="Times New Roman" w:cs="Times New Roman" w:eastAsia="Times New Roman" w:hAnsi="Times New Roman"/>
          <w:sz w:val="18"/>
          <w:szCs w:val="18"/>
          <w:u w:val="single" w:color="auto"/>
          <w:color w:val="auto"/>
        </w:rPr>
        <w:t>Company Voting Securities</w:t>
      </w:r>
      <w:r>
        <w:rPr>
          <w:rFonts w:ascii="Times New Roman" w:cs="Times New Roman" w:eastAsia="Times New Roman" w:hAnsi="Times New Roman"/>
          <w:sz w:val="18"/>
          <w:szCs w:val="18"/>
          <w:color w:val="auto"/>
        </w:rPr>
        <w:t>”) outstanding immediately prior to the consummation of such Reorganization continue to beneficially own, directly or indirectly, as a result of beneficially owning such Company Voting Securities, more than 50% of the combined voting power of the then outstanding voting securities of the corporation or other entity resulting from such Reorganization in substantially the same proportions as their ownership, immediately prior to the consummation of such Reorganization, of the outstanding Company Voting Securities; or</w:t>
      </w:r>
    </w:p>
    <w:p>
      <w:pPr>
        <w:spacing w:after="0" w:line="80" w:lineRule="exact"/>
        <w:rPr>
          <w:rFonts w:ascii="Times New Roman" w:cs="Times New Roman" w:eastAsia="Times New Roman" w:hAnsi="Times New Roman"/>
          <w:sz w:val="18"/>
          <w:szCs w:val="18"/>
          <w:color w:val="auto"/>
        </w:rPr>
      </w:pPr>
    </w:p>
    <w:p>
      <w:pPr>
        <w:ind w:left="520" w:right="120" w:firstLine="506"/>
        <w:spacing w:after="0" w:line="261" w:lineRule="auto"/>
        <w:tabs>
          <w:tab w:leader="none" w:pos="15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“group” (as used in Section 13(d) of the Exchange Act) becomes the beneficial owner, directly or indirectly, of securities of the Company representing 30% or more of the combined voting power of the Company Voting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subparagraph (iii), any acquisition pursuant to a Reorganization that does not constitute a Change in Control for purposes of subparagraph (ii) above shall not be a Change in Control.</w:t>
      </w:r>
    </w:p>
    <w:p>
      <w:pPr>
        <w:spacing w:after="0" w:line="175" w:lineRule="exact"/>
        <w:rPr>
          <w:rFonts w:ascii="Times New Roman" w:cs="Times New Roman" w:eastAsia="Times New Roman" w:hAnsi="Times New Roman"/>
          <w:sz w:val="18"/>
          <w:szCs w:val="18"/>
          <w:color w:val="auto"/>
        </w:rPr>
      </w:pPr>
    </w:p>
    <w:p>
      <w:pPr>
        <w:ind w:left="960" w:hanging="443"/>
        <w:spacing w:after="0"/>
        <w:tabs>
          <w:tab w:leader="none" w:pos="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 Protection Period</w:t>
      </w:r>
      <w:r>
        <w:rPr>
          <w:rFonts w:ascii="Times New Roman" w:cs="Times New Roman" w:eastAsia="Times New Roman" w:hAnsi="Times New Roman"/>
          <w:sz w:val="18"/>
          <w:szCs w:val="18"/>
          <w:color w:val="auto"/>
        </w:rPr>
        <w:t>” means the period commencing on the date a Change in Control occurs and ending on the date that is</w:t>
      </w:r>
    </w:p>
    <w:p>
      <w:pPr>
        <w:spacing w:after="0" w:line="3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90" w:lineRule="exact"/>
        <w:rPr>
          <w:sz w:val="20"/>
          <w:szCs w:val="20"/>
          <w:color w:val="auto"/>
        </w:rPr>
      </w:pPr>
    </w:p>
    <w:p>
      <w:pPr>
        <w:ind w:right="20" w:firstLine="517"/>
        <w:spacing w:after="0" w:line="268" w:lineRule="auto"/>
        <w:tabs>
          <w:tab w:leader="none" w:pos="8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continuation coverage requirements for “group health plans” under Title X of the Consolidated Omnibus Budget Reconciliation Act of 1985, as amended, and as codified in Code Section 4980B and ERISA Sections 601 through 608, each as amended from time to time, including rules thereunder and successor provisions and rules thereto.</w:t>
      </w:r>
    </w:p>
    <w:p>
      <w:pPr>
        <w:spacing w:after="0" w:line="17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means calendar days, including weekends and holidays, unless specified as “business days.”</w:t>
      </w:r>
    </w:p>
    <w:p>
      <w:pPr>
        <w:spacing w:after="0" w:line="225" w:lineRule="exact"/>
        <w:rPr>
          <w:rFonts w:ascii="Times New Roman" w:cs="Times New Roman" w:eastAsia="Times New Roman" w:hAnsi="Times New Roman"/>
          <w:sz w:val="18"/>
          <w:szCs w:val="18"/>
          <w:color w:val="auto"/>
        </w:rPr>
      </w:pPr>
    </w:p>
    <w:p>
      <w:pPr>
        <w:ind w:right="180" w:firstLine="517"/>
        <w:spacing w:after="0" w:line="259" w:lineRule="auto"/>
        <w:tabs>
          <w:tab w:leader="none" w:pos="8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Cause</w:t>
      </w:r>
      <w:r>
        <w:rPr>
          <w:rFonts w:ascii="Times New Roman" w:cs="Times New Roman" w:eastAsia="Times New Roman" w:hAnsi="Times New Roman"/>
          <w:sz w:val="18"/>
          <w:szCs w:val="18"/>
          <w:color w:val="auto"/>
        </w:rPr>
        <w:t>” means the Participating Employee engaging in an act or acts involving a crime, moral turpitude, fraud, or dishonesty; the Participating Employee willfully taking any action that may be materially injurious to the business or reputation of the Company and its Applicable Subsidiaries; or the Participating Employee willfully violating in a material respect the Company’s Corporate Governance Guidelines, Code of Conduct and Ethics, or any other applicable code of conduct, all as may be amended from time to time, including, without limitation, provisions thereof relating to conflicts of interest or related party transactions.</w:t>
      </w:r>
    </w:p>
    <w:p>
      <w:pPr>
        <w:spacing w:after="0" w:line="179" w:lineRule="exact"/>
        <w:rPr>
          <w:rFonts w:ascii="Times New Roman" w:cs="Times New Roman" w:eastAsia="Times New Roman" w:hAnsi="Times New Roman"/>
          <w:sz w:val="18"/>
          <w:szCs w:val="18"/>
          <w:color w:val="auto"/>
        </w:rPr>
      </w:pPr>
    </w:p>
    <w:p>
      <w:pPr>
        <w:ind w:right="260" w:firstLine="517"/>
        <w:spacing w:after="0" w:line="262" w:lineRule="auto"/>
        <w:tabs>
          <w:tab w:leader="none" w:pos="8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uncured occurrence of any of the following events without the Participating Employee’s written consent (i) the Company or Applicable Subsidiary in any material respect reduces the Participating Employee’s duties, authority, or base compensation or (ii) the Participating Employee is required to relocate the Participating Employee’s principal place of business more than 50 miles from the facility in which the Participating Employee was last providing services.</w:t>
      </w:r>
    </w:p>
    <w:p>
      <w:pPr>
        <w:spacing w:after="0" w:line="176" w:lineRule="exact"/>
        <w:rPr>
          <w:rFonts w:ascii="Times New Roman" w:cs="Times New Roman" w:eastAsia="Times New Roman" w:hAnsi="Times New Roman"/>
          <w:sz w:val="18"/>
          <w:szCs w:val="18"/>
          <w:color w:val="auto"/>
        </w:rPr>
      </w:pPr>
    </w:p>
    <w:p>
      <w:pPr>
        <w:ind w:right="100" w:firstLine="517"/>
        <w:spacing w:after="0" w:line="262" w:lineRule="auto"/>
        <w:tabs>
          <w:tab w:leader="none" w:pos="9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Employee</w:t>
      </w:r>
      <w:r>
        <w:rPr>
          <w:rFonts w:ascii="Times New Roman" w:cs="Times New Roman" w:eastAsia="Times New Roman" w:hAnsi="Times New Roman"/>
          <w:sz w:val="18"/>
          <w:szCs w:val="18"/>
          <w:color w:val="auto"/>
        </w:rPr>
        <w:t>” means (i) such persons who are appointed by the Board of Directors of the Company as Executive officers of the Company and are not covered by a separate employment agreement, severance agreement, change in control agreement, or similar agreement covering such executive officer’s severance and (ii) such other persons, if any, who shall be designated by the Administrator as Participating Employees under the Plan.</w:t>
      </w:r>
    </w:p>
    <w:p>
      <w:pPr>
        <w:spacing w:after="0" w:line="176" w:lineRule="exact"/>
        <w:rPr>
          <w:rFonts w:ascii="Times New Roman" w:cs="Times New Roman" w:eastAsia="Times New Roman" w:hAnsi="Times New Roman"/>
          <w:sz w:val="18"/>
          <w:szCs w:val="18"/>
          <w:color w:val="auto"/>
        </w:rPr>
      </w:pPr>
    </w:p>
    <w:p>
      <w:pPr>
        <w:jc w:val="both"/>
        <w:ind w:right="20" w:firstLine="517"/>
        <w:spacing w:after="0" w:line="262" w:lineRule="auto"/>
        <w:tabs>
          <w:tab w:leader="none" w:pos="9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Change in Control</w:t>
      </w:r>
      <w:r>
        <w:rPr>
          <w:rFonts w:ascii="Times New Roman" w:cs="Times New Roman" w:eastAsia="Times New Roman" w:hAnsi="Times New Roman"/>
          <w:sz w:val="18"/>
          <w:szCs w:val="18"/>
          <w:color w:val="auto"/>
        </w:rPr>
        <w:t>” means (i) the Company enters into an agreement, the consummation of which would result in the occurrence of a Change in Control, (ii) the Company or any person publicly announces an intention to take or to consider taking actions which, if consummated, would constitute a Change in Control or (iii) the Board of Directors of the Company adopts a resolution to the effect that, for purposes of this Plan, a Potential Change in Control has occurred.</w:t>
      </w:r>
    </w:p>
    <w:p>
      <w:pPr>
        <w:spacing w:after="0" w:line="68" w:lineRule="exact"/>
        <w:rPr>
          <w:rFonts w:ascii="Times New Roman" w:cs="Times New Roman" w:eastAsia="Times New Roman" w:hAnsi="Times New Roman"/>
          <w:sz w:val="18"/>
          <w:szCs w:val="18"/>
          <w:color w:val="auto"/>
        </w:rPr>
      </w:pPr>
    </w:p>
    <w:p>
      <w:pPr>
        <w:ind w:right="160" w:firstLine="517"/>
        <w:spacing w:after="0" w:line="268" w:lineRule="auto"/>
        <w:tabs>
          <w:tab w:leader="none" w:pos="9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Change in Control Protection Period</w:t>
      </w:r>
      <w:r>
        <w:rPr>
          <w:rFonts w:ascii="Times New Roman" w:cs="Times New Roman" w:eastAsia="Times New Roman" w:hAnsi="Times New Roman"/>
          <w:sz w:val="18"/>
          <w:szCs w:val="18"/>
          <w:color w:val="auto"/>
        </w:rPr>
        <w:t>” means the period beginning upon the occurrence of a Potential Change in Control and ending upon the earliest to occur of (i) the consummation of the Change in Control or (ii) the abandonment of the transaction or series of transactions that constitute a Potential Change in Control (as determined by the Administrator in its sole discretion).</w:t>
      </w:r>
    </w:p>
    <w:p>
      <w:pPr>
        <w:spacing w:after="0" w:line="170" w:lineRule="exact"/>
        <w:rPr>
          <w:rFonts w:ascii="Times New Roman" w:cs="Times New Roman" w:eastAsia="Times New Roman" w:hAnsi="Times New Roman"/>
          <w:sz w:val="18"/>
          <w:szCs w:val="18"/>
          <w:color w:val="auto"/>
        </w:rPr>
      </w:pPr>
    </w:p>
    <w:p>
      <w:pPr>
        <w:ind w:right="220" w:firstLine="517"/>
        <w:spacing w:after="0" w:line="262" w:lineRule="auto"/>
        <w:tabs>
          <w:tab w:leader="none" w:pos="9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means a Separation and General Release Agreement in a form acceptable to the Company, which must in all events be executed without modification and in its entirety, and without timely revocation,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form of the Release applicable following a Change in Control shall be established by the Administrator immediately prior to the Change in Control and such form may not thereafter be modified.</w:t>
      </w:r>
    </w:p>
    <w:p>
      <w:pPr>
        <w:spacing w:after="0" w:line="1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Participating Employees are those persons designated by the Administrator from time to time. The Participating Employee shall be entitled to the severance benefits described in the Plan only if the Participating Employee (i) is terminated from employment without Good Cause, (ii) resigns for Good Reason, (iii) is terminated from employment without Good Cause under certain circumstances incident to a Change in Control or (iv) resigns following an Adverse Change in Control Effect, but only to the extent such Participating Employee (x) resigns from all offices and positions with the Company and any Applicable Subsidiary that the Participating Employee holds as of termination of employment, (y) returns to the Company all property of the Company or any Applicable Subsidiary that has come into the Participating Employee’s possession and (z) is employed on a full time basis and not on a leave of absence on the date of the Participating Employee’s termination or resignation unless otherwise approved by the Company in writing or required by applicable law. In addition, the Company’s obligations under the Plan are contingent upon the Participating Employee executing (and not revoking during any applicable revocation period) or violating any provision of a valid and enforceable full and unconditional Release of any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Participating Employee may have against the Company or any of its Affiliates, whether known or unknown, as of the effective date of the Participating Employee’s termination. The Company shall present the Release to the Participating Employee within 10 Days of the date that the Participating Employee or the Company (or Applicable Subsidiary) receives a notice of termination from the other party (or within 10 Days of the date the Participating Employee is terminated by the Company or Applicable Subsidiary without notice), and the Participating Employee shall have up to 45 Days following the Participating Employee’s receipt of the Release to consider whether to execute the Release. In the event the Participating Employee executes the Release, the Participating Employee shall have an additional eight Days from the date of its execution in which to expressly revoke execution of the Release in writing.</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Without limiting the foregoing, a Participating Employee may resign for Good Reason or following an Adverse Change in Control Effect only if the Company or an Applicable Subsidiary does not cure the circumstances giving rise to the Good Reason or the Adverse Change in Control Effect within 60 Days from the date the Participating Employee delivers a written notice describing the circumstances giving rise to the Good Reason or the Adverse Change in Control Effect. Such notice must be received by the Company (or Applicable Subsidiary) or its successor within 30 Days of the date on which the Participating Employee becomes aware of the occurrence of such condition.</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the Participating Employee (i) fails to execute the Release within the 45 Day period described above or (ii) formally revokes execution of the Release within eight Days of execution of the Release, the Participating Employee’s entitlement to Plan benefits shall be null and void and, to the extent that the Participating Employee has received any payments or benefits or the proceeds of any benefits received under the Plan (A) prior to the Participating Employee’s failure to execute the Release within the 45 Day period or (B) prior to revocation, the Participating Employee shall immediately reimburse the Company for any and all such payments or benefits or the proceeds of any benefits received, including reimbursement of any gains realized on the exercise of any stock options, and/or the proceeds of any other equity-based awards, if any, that vested as of the effective date of the Participating Employee’s termination pursuant to the Plan, and the Company shall immediately cancel all unexercised stock options and other equity-based awards, if any, that vested as of the effective date of the Participating Employee’s termination pursuant to the Plan. In addition, the Company’s obligations and all payments under the Plan shall cease if the Participating Employee makes any written or oral statement or takes any action that the Participating Employee knows or reasonably should know constitutes an untrue, disparaging, or negative comment to a third-person concerning the Company or its Affiliates.</w:t>
      </w:r>
    </w:p>
    <w:p>
      <w:pPr>
        <w:spacing w:after="0" w:line="188"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 OF TERMINATION WITHOUT GOOD CAUSE OR RESIGNATION FOR GOOD REASON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or an Applicable Subsidiary terminates a Participating Employee without Good Cause (other than due to death or disability) or a Participating Employee resigns for Good Reason, the Participating Employee shall be eligible to receive the following from the Company or the Applicable Subsidiary:</w:t>
      </w:r>
    </w:p>
    <w:p>
      <w:pPr>
        <w:spacing w:after="0" w:line="176" w:lineRule="exact"/>
        <w:rPr>
          <w:sz w:val="20"/>
          <w:szCs w:val="20"/>
          <w:color w:val="auto"/>
        </w:rPr>
      </w:pPr>
    </w:p>
    <w:p>
      <w:pPr>
        <w:ind w:right="80" w:firstLine="1154"/>
        <w:spacing w:after="0" w:line="282" w:lineRule="auto"/>
        <w:tabs>
          <w:tab w:leader="none" w:pos="15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Participating Employee’s base salary for a period of the greater of (i) 18 months or (ii) the period designated for the Participating Employee by the Administrator, in each case following the effective date of such termination or resignation;</w:t>
      </w:r>
    </w:p>
    <w:p>
      <w:pPr>
        <w:spacing w:after="0" w:line="161" w:lineRule="exact"/>
        <w:rPr>
          <w:rFonts w:ascii="Times New Roman" w:cs="Times New Roman" w:eastAsia="Times New Roman" w:hAnsi="Times New Roman"/>
          <w:sz w:val="18"/>
          <w:szCs w:val="18"/>
          <w:color w:val="auto"/>
        </w:rPr>
      </w:pPr>
    </w:p>
    <w:p>
      <w:pPr>
        <w:ind w:right="40" w:firstLine="1154"/>
        <w:spacing w:after="0" w:line="256" w:lineRule="auto"/>
        <w:tabs>
          <w:tab w:leader="none" w:pos="15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cash incentive bonuses are received by the Company’s or the Applicable Subsidiary’s other executives, a pro rata portion of the Participating Employee’s annual cash bonus for the fiscal year in which the termination occurs to the extent earned under the then applicable Executive Annual Cash Incentive Program in which the Participating Employee participates, such amount to be calculated based on the amount that would have been paid for such fiscal year in the absence of the termination multiplied by the fraction, the numerator of which is the number of days in such fiscal year prior to the effective date of the termination and the denominator of which is 360 and such amount to be paid in accordance with the provisions of such plan; and</w:t>
      </w:r>
    </w:p>
    <w:p>
      <w:pPr>
        <w:spacing w:after="0" w:line="187" w:lineRule="exact"/>
        <w:rPr>
          <w:rFonts w:ascii="Times New Roman" w:cs="Times New Roman" w:eastAsia="Times New Roman" w:hAnsi="Times New Roman"/>
          <w:sz w:val="18"/>
          <w:szCs w:val="18"/>
          <w:color w:val="auto"/>
        </w:rPr>
      </w:pPr>
    </w:p>
    <w:p>
      <w:pPr>
        <w:ind w:firstLine="1154"/>
        <w:spacing w:after="0" w:line="266" w:lineRule="auto"/>
        <w:tabs>
          <w:tab w:leader="none" w:pos="15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Participating Employee elects continuation coverage pursuant to COBRA for the Participating Employee and his or her eligible dependents under the group health or other welfare insurance plans maintained by the Company, the Company shall reimburse the Participating Employee for the cost of such coverage during the period in clause (a) above as and when premiums are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amounts the Participating Employee is eligible to receive under (a) above shall be received in accordance with the Company’s or the Applicable Subsidiary’s regular payroll schedule commencing on the first such payment date coincident with or following the Participating Employee’s “separation from service” from the Company within the meaning of Section 409A of the Code, and shall be treated as a series of separate payments under Treasury Regulation Section 1.409A-2(b)(2)(iii). The amounts the Participating Employee is eligible to receive under (b) above, if any, shall be paid no later than March 15 of the calendar year following the year to which the bonus applies and would otherwise be earned.</w:t>
      </w:r>
    </w:p>
    <w:p>
      <w:pPr>
        <w:spacing w:after="0" w:line="179" w:lineRule="exact"/>
        <w:rPr>
          <w:sz w:val="20"/>
          <w:szCs w:val="20"/>
          <w:color w:val="auto"/>
        </w:rPr>
      </w:pPr>
    </w:p>
    <w:p>
      <w:pPr>
        <w:ind w:left="520" w:right="40" w:hanging="512"/>
        <w:spacing w:after="0" w:line="317" w:lineRule="auto"/>
        <w:tabs>
          <w:tab w:leader="none" w:pos="5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RESULT OF A TERMINATION WITHOUT GOOD CAUSE DURING POTENTIAL CHANGE IN CONTROL PROTECTION PERIOD OR CHANGE IN CONTROL PROTECTION PERIOD OR RESIGNATION UPON ADVERSE CHANGE IN CONTROL EFFECT</w:t>
      </w:r>
    </w:p>
    <w:p>
      <w:pPr>
        <w:spacing w:after="0" w:line="2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(i) during a Potential Change in Control Protection Period or Change in Control Protection Period, the Company or an Applicable Subsidiary terminates a Participating Employee without Good Cause (other than due to death or disability) or (ii) a Participating Employee resigns following an Adverse Change in Control Effect, the Participating Employee shall be eligible to receive the following from the Company or the Applicable Subsidiary:</w:t>
      </w:r>
    </w:p>
    <w:p>
      <w:pPr>
        <w:spacing w:after="0" w:line="180" w:lineRule="exact"/>
        <w:rPr>
          <w:sz w:val="20"/>
          <w:szCs w:val="20"/>
          <w:color w:val="auto"/>
        </w:rPr>
      </w:pPr>
    </w:p>
    <w:p>
      <w:pPr>
        <w:ind w:right="80" w:firstLine="1154"/>
        <w:spacing w:after="0" w:line="282" w:lineRule="auto"/>
        <w:tabs>
          <w:tab w:leader="none" w:pos="15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Participating Employee’s base salary for a period of the greater of (i) 24 months or (ii) the period designated for the Participating Employee by the Administrator, in each case following the effective date of such termination or resignation;</w:t>
      </w:r>
    </w:p>
    <w:p>
      <w:pPr>
        <w:spacing w:after="0" w:line="161" w:lineRule="exact"/>
        <w:rPr>
          <w:rFonts w:ascii="Times New Roman" w:cs="Times New Roman" w:eastAsia="Times New Roman" w:hAnsi="Times New Roman"/>
          <w:sz w:val="18"/>
          <w:szCs w:val="18"/>
          <w:color w:val="auto"/>
        </w:rPr>
      </w:pPr>
    </w:p>
    <w:p>
      <w:pPr>
        <w:ind w:right="240" w:firstLine="1154"/>
        <w:spacing w:after="0" w:line="266" w:lineRule="auto"/>
        <w:tabs>
          <w:tab w:leader="none" w:pos="15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equal to two times the Participating Employee’s annual cash bonus under the then applicable Executive Annual Cash Incentive Program in which the Participating Employee participates, deemed payable at target, for the fiscal year in which the Participating Employee’s termination or resignation occurs;</w:t>
      </w:r>
    </w:p>
    <w:p>
      <w:pPr>
        <w:spacing w:after="0" w:line="175" w:lineRule="exact"/>
        <w:rPr>
          <w:rFonts w:ascii="Times New Roman" w:cs="Times New Roman" w:eastAsia="Times New Roman" w:hAnsi="Times New Roman"/>
          <w:sz w:val="18"/>
          <w:szCs w:val="18"/>
          <w:color w:val="auto"/>
        </w:rPr>
      </w:pPr>
    </w:p>
    <w:p>
      <w:pPr>
        <w:ind w:firstLine="1154"/>
        <w:spacing w:after="0" w:line="261" w:lineRule="auto"/>
        <w:tabs>
          <w:tab w:leader="none" w:pos="15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unvested equity-based compensation held by the Participating Employee at the time of termination or resignation that was granted to the Participating Employee after the effective date of this Plan in his or her capacity as an employee of the Company or an Applicable Subsidiary shall vest as of the effective date of the termination or resignation;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paragraph (c) shall not apply to any equity-based compensation award, the terms of which state that it is not subject to acceleration under this Plan; and</w:t>
      </w:r>
    </w:p>
    <w:p>
      <w:pPr>
        <w:spacing w:after="0" w:line="179" w:lineRule="exact"/>
        <w:rPr>
          <w:rFonts w:ascii="Times New Roman" w:cs="Times New Roman" w:eastAsia="Times New Roman" w:hAnsi="Times New Roman"/>
          <w:sz w:val="18"/>
          <w:szCs w:val="18"/>
          <w:color w:val="auto"/>
        </w:rPr>
      </w:pPr>
    </w:p>
    <w:p>
      <w:pPr>
        <w:ind w:firstLine="1154"/>
        <w:spacing w:after="0" w:line="266" w:lineRule="auto"/>
        <w:tabs>
          <w:tab w:leader="none" w:pos="15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Participating Employee elects continuation coverage pursuant to COBRA for the Participating Employee and his or her eligible dependents under the group health or other welfare insurance plans maintained by the Company, the Company shall reimburse the Participating Employee for the cost of such coverage during the period in clause (a) above as and when premiums are due.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amounts the Participating Employee is eligible to receive under (a) above shall be received by the Participating Employee in accordance with the Company’s or the Applicable Subsidiary’s regular payroll schedule commencing on the first such payment date coincident with or following the Participating Employee’s “separation from service” from the Company within the meaning of Section 409A of the Code and shall be treated as a series of separate payments under Treasury Regulations Section 1.409A-2(b)(2)(iii). The amount the Participating Employee is eligible to receive under (b) above, if any, shall be paid promptly, but no more than 30 Days, following the Participating Employee’s termination or resignation.</w:t>
      </w:r>
    </w:p>
    <w:p>
      <w:pPr>
        <w:spacing w:after="0" w:line="179" w:lineRule="exact"/>
        <w:rPr>
          <w:sz w:val="20"/>
          <w:szCs w:val="20"/>
          <w:color w:val="auto"/>
        </w:rPr>
      </w:pPr>
    </w:p>
    <w:p>
      <w:pPr>
        <w:ind w:left="540" w:hanging="53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AGREEMENTS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All benefits under the Plan are contingent on the Participating Employee’s full compliance with any and all non-competition, non-solicitation, and similar agreements by which Participating Employee was bound on the effective date of the Participating Employee’s termination or resignation.</w:t>
      </w:r>
    </w:p>
    <w:p>
      <w:pPr>
        <w:spacing w:after="0" w:line="158" w:lineRule="exact"/>
        <w:rPr>
          <w:sz w:val="20"/>
          <w:szCs w:val="20"/>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NON-COMPETITION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term of Participating Employee’s employment with Employer and for the period equal to the period during which Participating Employee receives cash severance pursuant to this Agreement, Participating Employee shall not (whether directly or indirectly, as owner, principal, agent, stockholder, director, officer, manager, employee, partner, participant, or in any other capacity) engage or become financially interested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competitive business conducted within the Restricted Territory (as defined below). As used herein, the term “competitive business” shall mean any business that sells or provides or attempts to sell or provide products or services the same as or substantially similar to the products or services sold or provided by Employer during Participating Employee’s employment, and the term “Restricted Territory” shall mean any state or other geographical area in which Employer sells produces or provides services during Participating Employee’s employment.</w:t>
      </w:r>
    </w:p>
    <w:p>
      <w:pPr>
        <w:spacing w:after="0" w:line="176"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OF PARTICIPATING EMPLOYEE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a period of 18 months after the termination of Participating Employee’s employment with Employer, regardless of the reason therefor, Participating Employee shall not directly or indirectly, for Participating Employee, or on behalf of, or in conjunction with, any other person, company, partnership, corporation, or governmental entity, solicit for employment, seek to hire, or hire any person or persons who is employed by or was employed by Employer within 12 months of the termination of Participating Employee’s employment for the purpose of having any such employee engage in services that are the same as or similar or related to the services that such employee provided for Employer.</w:t>
      </w:r>
    </w:p>
    <w:p>
      <w:pPr>
        <w:spacing w:after="0" w:line="179"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Participating Employee shall maintain in strict secrecy all confidential or trade secret information relating to the business of Employer (the “Confidential Information”) obtained by Participating Employee in the course of Participating Employee’s employment, and Participating Employee shall not, unless first authorized in writing by Employer, disclose to, or use for Participating Employee’s benefit or for the benefit of, any person, firm, or entity at any time either during or subsequent to the term of Participating Employee’s employment, any Confidential Information, except as required in the performance of Participating Employee’s duties on behalf of Employer. For purposes hereof, Confidential Information shall include without limitation any materials, trade secrets, knowledge, or information with respect to management, operational, or investment policies and practices of Employer; any business methods or forms; any names or addresses of customers or data on customers or supplies; and any business policies or other information relating to or dealing with the management, operational, or investment policies or practices of Employer.</w:t>
      </w:r>
    </w:p>
    <w:p>
      <w:pPr>
        <w:spacing w:after="0" w:line="188"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BOOKS, RECORDS, PAPERS, AND EQUIPMENT</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Upon the termination of Participating Employee’s employment with Employer for any reason, Participating Employee shall deliver promptly to Employer all files, lists, books, records, manuals, memoranda, drawings, and specifications; all cost, pricing, and other financial data; all other written or printed materials and computers, cell phones, PDAs, and other equipment that are the property of Employer (and any copies of them); and all other materials that may contain Confidential Information relating to the business of Employer, which Participating Employee may then have in Participating Employee’s possession or control whether prepared by Participating Employee or not.</w:t>
      </w:r>
    </w:p>
    <w:p>
      <w:pPr>
        <w:spacing w:after="0" w:line="179"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Participating Employee shall disclose promptly to Employer, or its nominee, any and all ideas, designs, processes, and improvements of any kind relating to the business of Employer, whether patentable or not, conceived or made by Participating Employee, either alone or jointly with others, during working hours or otherwise, during the entire period of Participating Employee’s employment with Employer or within six months thereafter.</w:t>
      </w:r>
    </w:p>
    <w:p>
      <w:pPr>
        <w:spacing w:after="0" w:line="172"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to any other relief to which the Company or any of its Affiliates may be entitled, including claims for damages, the Company or any of Affiliates will be entitled to seek and obtain injunctive relief (without the requirement of any bond) from a court of competent jurisdiction for the purpose of restraining the Participating Employee from an actual or threatened breach of the covenants described in the immediately preceding section of the Plan (under the heading “Non-Competition and Non-Solicitation”). Notwithstanding anything else to the contrary herein, in the event of any material violation by the Participating Employee of such covenants or the Release as determined by a court of competent jurisdiction, the Company and Affiliates will immediately have no obligation thereafter to make any payments or provide any benefits otherwise to be received under the Plan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7" w:name="page98"/>
    <w:bookmarkEnd w:id="97"/>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Participating Employee and the Company and its Affiliates, in its or their discretion, may require the Participating Employee to promptly reimburse the Company for any and all payments or benefits received by the Participating Employee pursuant to the Plan, including reimbursement of any gains realized on the exercise of any stock options, and/or the proceeds of any other equity-based awards, if any, that vested as of the effective date of the Participating Employee’s termination pursuant to the Plan, and the Company shall immediately cancel all unexercised stock options and other equity-based awards, if any, that vested as of the effective date of the Participating Employee’s termination pursuant to the Plan.</w:t>
      </w:r>
    </w:p>
    <w:p>
      <w:pPr>
        <w:spacing w:after="0" w:line="179"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or an Applicable Subsidiary shall have the authority to withhold or to cause to have withheld applicable taxes from any payments made under or in accordance with the Plan to the extent required by law.</w:t>
      </w:r>
    </w:p>
    <w:p>
      <w:pPr>
        <w:spacing w:after="0" w:line="158"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INVALIDITY OF ANY PROVISION</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If any provision of the Plan is held invalid or unenforceable, such invalidity or unenforceability will not affect any other provision hereof, and such provision will, to the extent possible, be modified in such manner as to be valid and enforceable but so as to most nearly retain the intent of the Company. If such modification is not possible, the Plan will be construed and enforced as if such provision had not been included in the Plan.</w:t>
      </w:r>
    </w:p>
    <w:p>
      <w:pPr>
        <w:spacing w:after="0" w:line="172"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records of the Company with respect to employment history, base salary, absences, and all other relevant matters will be conclusive for all purposes of the Plan.</w:t>
      </w:r>
    </w:p>
    <w:p>
      <w:pPr>
        <w:spacing w:after="0" w:line="158"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NONTRANSFERABILITY</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no event will the Company make any payment under the Plan to any assignee or creditor of the Participating Employee, except as otherwise required by law. Prior to the time of a payment hereunder, the Participating Employee will have no rights by way of anticipation or otherwise to assign or otherwise dispose of any right or interest under the Plan, nor will rights be assigned or transferred by operation of law.</w:t>
      </w:r>
    </w:p>
    <w:p>
      <w:pPr>
        <w:spacing w:after="0" w:line="172"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 POLICY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Any payments or benefits that the Participating Employee receives pursuant to the Plan are and will be subject to any compensation claw-back or recoupment policies of the Company, whether now or in the future existing, that are intended or designed to comply with applicable law or governmental regulations that may be applicable to the Participating Employee, as in effect from time to time and as approved by the Board of Directors of the Company or a duly authorized committee thereof (whether or not approved before or after the establishment of the Plan), or as may be required by law.</w:t>
      </w:r>
    </w:p>
    <w:p>
      <w:pPr>
        <w:spacing w:after="0" w:line="176"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Administrator will be the sole judge of the application and interpretation of the Plan and will have the discretionary authority to construe the provisions of the Plan, resolve disputed issues of fact, and make determinations regarding eligibility for benefits (other than determinations under the “Eligibility” section above to the extent they are reserved to the Company). Such determinations with respect to a Participating Employee’s rights or benefits shall be entitled to the maximum deference permitted by law. The Administrator may correct any defect, reconcile any inconsistency, or supply any omission with respect to the Plan. The decisions of the Administrator in all matters relating to the Plan that are within the scope of the Administrator’s authority (including, but not limited to, eligibility for benefits, Plan interpretations, and disputed issues of fact) will be final and binding on all parties. Notwithstanding the foregoing, from and after a Change in Control, the Plan Administrator shall be deemed to be one or more members of the Board of Directors of the Company as of immediately prior to such Change in Control or their designees (which may not include any counterparty to such Change in Control, its directors, officers, employees or designees).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8" w:name="page99"/>
    <w:bookmarkEnd w:id="98"/>
    <w:p>
      <w:pPr>
        <w:spacing w:after="0" w:line="19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Administrator may delegate to any person or persons, severally or jointly, the responsibility for the preparation and filing of all disclosure material and reports that the Administrator is required to file by law, and the responsibility for the day-to-day operation of the Plan. The Administrator, subject to the provisions of the Plan, may adopt such rules and regulations as it deems necessary to carry out the provisions of the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shall be construed as administered and enforced in accordance with ERISA and the laws of the State of Tennessee, as applicable.</w:t>
      </w:r>
    </w:p>
    <w:p>
      <w:pPr>
        <w:spacing w:after="0" w:line="221"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 OF THE PLAN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the Administrator, or its or their designees shall have the right, power, and authority to amend the Plan, in whole or in part, or discontinue or terminate the Plan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without a Participating Employee’s written approval any such amendment, discontinuance, or termination shall not (i) remove a Participating Employee from the Plan, (ii) negatively modify the eligibility or benefit provisions of the Plan or (iii) negatively affect the rights of any individual who, prior to the date of such amendment, discontinuance, or termination, has been designated as a Participating Employee hereunder.</w:t>
      </w:r>
    </w:p>
    <w:p>
      <w:pPr>
        <w:spacing w:after="0" w:line="179"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12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Appendix A, B, and C are incorporated into the Plan and shall be deemed a part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agrees that the Plan shall be binding upon it and its successors and assigns.</w:t>
      </w:r>
    </w:p>
    <w:p>
      <w:pPr>
        <w:spacing w:after="0" w:line="25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SMITH &amp; WESSON BRANDS, INC.</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Participating Employee agrees that the Plan shall be binding upon the undersigned once the undersigned personal authorizes.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 OF THE CODE</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provision of this Plan to the contrary, if the Participating Employee is a “specified employee” as defined in Section 409A of the Code, the Participating Employee shall not be entitled to any payments or benefits the right to which provides for a “deferral of compensation” within the meaning of Section 409A, and whose payment or provision is triggered by the Participating Employee’s termination of employment (whether such payments or benefits are provided to the Participating Employee under this Plan or under any other plan, program or arrangement of the Company), until (and any payments or benefits suspended hereby shall be paid in a lump sum on) the earlier of (i) the date which is the first business day following the six-month anniversary of the Participating Employee’s “separation from service” (within the meaning of Section 409A of the Code) for any reason other than death or (ii) the Participating Employee’s date of death, and such payments or benefits that, if not for the six-month delay described herein, would be due and payable prior to such date shall be made or provided to the Participating Employee on such date. The Company shall make the determination as to whether the Participating Employee is a “specified employee” in good faith in accordance with its general procedures adopted in accordance with Section 409A of the Code and, at the time of the Participating Employee’s “separation of service” will notify the Participating Employee whether or not the Participating Employee is a “specified employee.” All payments under the Plan shall be treated as a series of separate payments under Treasury Regulations Section 1.409A-2(b)(2)(iii).</w:t>
      </w:r>
    </w:p>
    <w:p>
      <w:pPr>
        <w:spacing w:after="0" w:line="19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This Plan is intended to qualify for an exemption to the requirements of Section 409A of the Code, specifically the separation pay plan exemption and/or short-term deferral exemption (the “409A Exemptions”) with respect to any amounts payable hereunder, and shall be interpreted and construed consistent with such intent to the maximum permissible. To the extent that any portion of the Plan and/or any amounts payable hereunder do not qualify under the 409A Exemptions, then such portion of the Plan is intended to satisfy the requirements of Section 409A of the Code with respect to amounts subject thereto and shall be interpreted and construed consistent with such intent;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other provisions of this subsection and the paragraph above entitled, “Specified Employee”, with respect to any right to a payment or benefit hereunder (or portion thereof) that does not otherwise provide for a “deferral of compensation” within the meaning of Section 409A of the Code, it is the intent of the Company that such payment or benefit will not so provide. For purposes of applying the exemptions and/or provisions of Section 409A to this Plan, as well as determining which amounts payable hereunder qualify for the 409A Exemptions (i) each separately identified amount to which a Participating Employee is entitled under this Plan shall be treated as a separate payment under Treasury Regulations Section 1.409A-2(b)(2)(iii), and (ii) to the extent permissible under Section 409A, any series of installment payments under this Plan shall be treated as a right to a series of separate payments. Furthermore, if the Company or any interested party notifies the other in writing that, based on the advice of legal counsel, one or more of the provisions of this Plan contravenes any regulations or Treasury guidance promulgated under Section 409A of the Code or causes any amounts to be subject to interest or penalties under Section 409A of the Code, the parties shall promptly and reasonably consult with each other (and with their legal counsel), and shall use their reasonable best efforts, to reform the provisions hereof to (a) maintain to the maximum extent practicable the original intent of the applicable provisions without violating the provisions of Section 409A of the Code or increasing the costs to the Company of providing the applicable benefit or payment, and (b) to the extent practicable, to avoid the imposition of any tax, interest or other penalties under Section 409A of the Code upon the Participating Employee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PROCEDURE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Each Participating Employee who has been determined to be eligible to receive benefits under the Plan may contest the administration of the benefits (but not the level of benefits) by completing and filing a written claim for reconsideration with the Administrator. If the Administrator denies a claim in whole or in part, it will provide notice to the Participating Employee, in writing, within 90 Days after the claim is filed, unless the Administrator determines that an extension of time for processing is required. In the event that the Administrator determines that such an extension is required, written notice of the extension shall be furnished to the Participating Employee prior to the termination of the initial 90 Day period. The extension shall not exceed a period of 90 Days from the end of the initial period of time, and the extension notice shall indicate the special circumstances requiring an extension of time and the date by which the Administrator expects to render the benefit decision.</w:t>
      </w:r>
    </w:p>
    <w:p>
      <w:pPr>
        <w:spacing w:after="0" w:line="18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written notice of a denial of a claim shall set forth, in a manner calculated to be understood by the Participating Employee, including the following:</w:t>
      </w:r>
    </w:p>
    <w:p>
      <w:pPr>
        <w:spacing w:after="0" w:line="54"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specific Plan provisions on which the denial is based;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material or information necessary for the Participating Employee to perfect the claim and an explanation as to why such information is necessary;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this Claims Procedure and the time limits applicable under it, including a statement of the Participating Employee’s right to bring a civil action under section 502(a) of ERISA following an adverse benefit determination on appeal.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Participating Employee or the Participating Employee’s duly authorized representative shall have an opportunity to appeal a claim denial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for a full and fair review. The Participating Employee or the Participating Employee’s duly authorized representative may do the following:</w:t>
      </w:r>
    </w:p>
    <w:p>
      <w:pPr>
        <w:spacing w:after="0" w:line="99"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 review upon written notice to the Administrator within 60 Days after receipt of a notice of the denial of a claim for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written comments, documents, records, and other information relating to the claim for benefits; and</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the Plan and obtain, upon request and without charge, copies of all documents, records, and other information relevant to the Participating Employee’s claim for benefits.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Administrator’s review shall take into account all comments, documents, records, and other information submitted by the Participating Employee relating to the claim, without regard to whether such information was submitted or considered by the Administrator in the initial benefit determination. A determination on review by the Administrator will be made not later than 60 Days after receipt of a request for review, unless the Administrator determines that an extension of time for processing is required. In the event that the Administrator determines that such an extension is required, written notice of the extension shall be furnished to the Participating Employee prior to the termination of the initial 60-Day period. The extension shall not exceed a period of 60 Days from the end of the initial period and the extension notice shall indicate the special circumstances requiring an extension of time and the date on which the Administrator expects to render the determination on review.</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written determination of the Administrator shall set forth, in a manner calculated to be understood by the terminated Participating Employee, the following:</w:t>
      </w:r>
    </w:p>
    <w:p>
      <w:pPr>
        <w:spacing w:after="0" w:line="54"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decision;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specific Plan provisions on which the decision is based;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Participating Employee’s right to receive, upon request and without charge, reasonable access to, and copies of, all documents, records, and other information relevant to the claim for benefits;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spacing w:after="0" w:line="86"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Participating Employee’s right to bring a civil action under section 502(a) of ERISA.</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Participating Employee may not bring an action for any alleged wrongful denial of benefits under the Plan in a court of law unless the Claims Procedure set forth above is exhausted and a final determination is made by the Administrator. A Participating Employee wishing to seek judicial review of an adverse benefit determination under the Plan, whether in whole or in part, must file any suit or legal action, including, without limitation, a civil action under Section 502(a) of ERISA, no later than the earlier of (i) one year after the date the final decision on the adverse benefit determination on review is issued or should have been issued under this Claims Procedure, and (ii) the last Day on which such legal action could be commenced under the applicable statute of limitations under ERISA (including, for this purpose, any applicable state statute of limitations that applies under ERISA to such legal action). Failure to file a suit or legal action by the applicable deadline set forth in the prior sentence shall cause the Participating Employee to lose any rights to bring such action.</w:t>
      </w:r>
    </w:p>
    <w:p>
      <w:pPr>
        <w:spacing w:after="0" w:line="192"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If the Participating Employee or other interested person challenges a decision of the Administrator, a review by the court of law will be limited to the facts, evidence, and issues presented to the Administrator during the Claims Procedure set forth above. Facts and evidence that become known to the Participating Employee or other interested person after having exhausted the Claims Procedure must be brought to the attention of the Administrator for reconsideration of the claims determination. Issues not raised with the Administrator will be deemed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provisions applicable to the undersigned Participating Employee when alternatives could apply: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4(a)</w:t>
            </w: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Salary continuation period:</w:t>
            </w:r>
          </w:p>
        </w:tc>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 months</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5(a)</w:t>
            </w: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Salary continuation period in event of change in control</w:t>
            </w:r>
          </w:p>
        </w:tc>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 months</w:t>
            </w:r>
          </w:p>
        </w:tc>
      </w:tr>
      <w:tr>
        <w:trPr>
          <w:trHeight w:val="4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Non-Competition period</w:t>
            </w:r>
          </w:p>
        </w:tc>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Period during which Participating Employee receives cash</w:t>
            </w:r>
          </w:p>
        </w:tc>
      </w:tr>
      <w:tr>
        <w:trPr>
          <w:trHeight w:val="234"/>
        </w:trPr>
        <w:tc>
          <w:tcPr>
            <w:tcW w:w="11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severance</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Non-Solicitation period</w:t>
            </w:r>
          </w:p>
        </w:tc>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 months</w:t>
            </w:r>
          </w:p>
        </w:tc>
      </w:tr>
      <w:tr>
        <w:trPr>
          <w:trHeight w:val="1775"/>
        </w:trPr>
        <w:tc>
          <w:tcPr>
            <w:tcW w:w="11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10.130</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437" w:lineRule="auto"/>
        <w:rPr>
          <w:sz w:val="20"/>
          <w:szCs w:val="20"/>
          <w:color w:val="auto"/>
        </w:rPr>
      </w:pPr>
      <w:r>
        <w:rPr>
          <w:rFonts w:ascii="Times New Roman" w:cs="Times New Roman" w:eastAsia="Times New Roman" w:hAnsi="Times New Roman"/>
          <w:sz w:val="22"/>
          <w:szCs w:val="22"/>
          <w:b w:val="1"/>
          <w:bCs w:val="1"/>
          <w:color w:val="auto"/>
        </w:rPr>
        <w:t>STATE OF TENNESSEE DEPARTMENT OF ECONOMIC AND COMMUNITY DEVELOPMENT ACCOUNTABILITY AGREEMENT</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Accountability Agreement (this “Agreement”) is made and entered into as of 6/2/22 by and among the Tennessee Department of Economic and Community Development, a department of the State of Tennessee (the “State”), Blount Partnership (the “Development Authority”), and Smith &amp; Wesson Brands, Inc. (the “Company”) (the State, the Development Authority, and the Company, collectively, the “Parties”).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purpose of the State’s incentive programs is to promote long-term job growth by providing financial assistance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eligible applicants to induce and assist companies to relocate, expand, or construct projects in Tennessee;</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one of the economic development incentives offered by the State is an incentive award under the FastTrack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Economic Development Program (the “Award”) and the State has committed, subject to approval by the State Funding Board and approval of the Grant Contract, as defined herein, to provide the Award to the Development Authority for the Project summarized in Section 2.2 (the “Project”);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Development Authority, in accordance with its statutory purposes, will utilize the Award to participate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Project to assist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consideration for the Award, the Company has committed to create the number of jobs noted in Section 3.1; and</w:t>
      </w:r>
    </w:p>
    <w:p>
      <w:pPr>
        <w:spacing w:after="0" w:line="2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or after the date of the execution of this Agreement and subsequent to approval of the Award by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Funding Board, the Development Authority has or will execute a grant contract between the State and the Development Authority (the “Grant Contract”) that provides the terms of the Award, a copy of which is attached hereto as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and incorporated into this Agreement, and the Company has or will execute a grant contract between the Development Authority and the Company with respect to the Award.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 upon and in consideration of the respective promises and covenants contained herein and for other good and valuable consideration, the receipt, adequacy, and sufficiency of which are hereby acknowledged, the Parties hereto agree as follows: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4" w:name="page105"/>
    <w:bookmarkEnd w:id="104"/>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ARTICLE I – CAPITALIZED TERMS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Capitalized terms used herein shall have the meanings ascribed thereto in this Article I of the Agreement, unless the meanings of such terms have been otherwise specified in a different context. For purposes of this Agreement:</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Award Amount</w:t>
      </w:r>
      <w:r>
        <w:rPr>
          <w:rFonts w:ascii="Times New Roman" w:cs="Times New Roman" w:eastAsia="Times New Roman" w:hAnsi="Times New Roman"/>
          <w:sz w:val="21"/>
          <w:szCs w:val="21"/>
          <w:color w:val="auto"/>
        </w:rPr>
        <w:t>” has the meaning assigned to such term in Section 5.1.</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has the meaning assigned to such term in the preamble hereto.</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Assumption Agreement</w:t>
      </w:r>
      <w:r>
        <w:rPr>
          <w:rFonts w:ascii="Times New Roman" w:cs="Times New Roman" w:eastAsia="Times New Roman" w:hAnsi="Times New Roman"/>
          <w:sz w:val="21"/>
          <w:szCs w:val="21"/>
          <w:color w:val="auto"/>
        </w:rPr>
        <w:t>” has the meaning assigned to such term in Section 6.2.</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has the meaning ascribed to such term in the preamble hereto.</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 Amount</w:t>
      </w:r>
      <w:r>
        <w:rPr>
          <w:rFonts w:ascii="Times New Roman" w:cs="Times New Roman" w:eastAsia="Times New Roman" w:hAnsi="Times New Roman"/>
          <w:sz w:val="21"/>
          <w:szCs w:val="21"/>
          <w:color w:val="auto"/>
        </w:rPr>
        <w:t>” has the meaning assigned to such term in Section 2.1.</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Baseline Jobs</w:t>
      </w:r>
      <w:r>
        <w:rPr>
          <w:rFonts w:ascii="Times New Roman" w:cs="Times New Roman" w:eastAsia="Times New Roman" w:hAnsi="Times New Roman"/>
          <w:sz w:val="21"/>
          <w:szCs w:val="21"/>
          <w:color w:val="auto"/>
        </w:rPr>
        <w:t>” has the meaning assigned to such term in Section 4.1.</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has the meaning assigned to such term in Section 6.2.</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Committed Jobs</w:t>
      </w:r>
      <w:r>
        <w:rPr>
          <w:rFonts w:ascii="Times New Roman" w:cs="Times New Roman" w:eastAsia="Times New Roman" w:hAnsi="Times New Roman"/>
          <w:sz w:val="21"/>
          <w:szCs w:val="21"/>
          <w:color w:val="auto"/>
        </w:rPr>
        <w:t>” has the meaning assigned to such term in Section 3.1.</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the meaning assigned to such term in the preamble hereto.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u w:val="single" w:color="auto"/>
          <w:color w:val="auto"/>
        </w:rPr>
        <w:t>Compliance Period</w:t>
      </w:r>
      <w:r>
        <w:rPr>
          <w:rFonts w:ascii="Times New Roman" w:cs="Times New Roman" w:eastAsia="Times New Roman" w:hAnsi="Times New Roman"/>
          <w:sz w:val="22"/>
          <w:szCs w:val="22"/>
          <w:color w:val="auto"/>
        </w:rPr>
        <w:t>” means the fifth, sixth, and seventh Interim Dates.</w:t>
      </w:r>
    </w:p>
    <w:p>
      <w:pPr>
        <w:spacing w:after="0" w:line="206"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Development Authority</w:t>
      </w:r>
      <w:r>
        <w:rPr>
          <w:rFonts w:ascii="Times New Roman" w:cs="Times New Roman" w:eastAsia="Times New Roman" w:hAnsi="Times New Roman"/>
          <w:sz w:val="22"/>
          <w:szCs w:val="22"/>
          <w:color w:val="auto"/>
        </w:rPr>
        <w:t>” has the meaning assigned to such term in the preamble</w:t>
      </w:r>
      <w:r>
        <w:rPr>
          <w:sz w:val="20"/>
          <w:szCs w:val="20"/>
          <w:color w:val="auto"/>
        </w:rPr>
        <w:tab/>
      </w:r>
      <w:r>
        <w:rPr>
          <w:rFonts w:ascii="Times New Roman" w:cs="Times New Roman" w:eastAsia="Times New Roman" w:hAnsi="Times New Roman"/>
          <w:sz w:val="21"/>
          <w:szCs w:val="21"/>
          <w:color w:val="auto"/>
        </w:rPr>
        <w:t>hereto.</w:t>
      </w:r>
    </w:p>
    <w:p>
      <w:pPr>
        <w:spacing w:after="0" w:line="206" w:lineRule="exact"/>
        <w:rPr>
          <w:sz w:val="20"/>
          <w:szCs w:val="20"/>
          <w:color w:val="auto"/>
        </w:rPr>
      </w:pPr>
    </w:p>
    <w:p>
      <w:pPr>
        <w:jc w:val="both"/>
        <w:ind w:left="520" w:hanging="508"/>
        <w:spacing w:after="0" w:line="258"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End Date</w:t>
      </w:r>
      <w:r>
        <w:rPr>
          <w:rFonts w:ascii="Times New Roman" w:cs="Times New Roman" w:eastAsia="Times New Roman" w:hAnsi="Times New Roman"/>
          <w:sz w:val="22"/>
          <w:szCs w:val="22"/>
          <w:color w:val="auto"/>
        </w:rPr>
        <w:t>” means the end date of this Agreement which shall be the last day of the Compliance Period. All references to the End Date shall include any extensions granted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assigned to such term in Section 5.1.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has the meaning assigned to such term in Section 2.2.</w:t>
      </w:r>
    </w:p>
    <w:p>
      <w:pPr>
        <w:spacing w:after="0" w:line="206" w:lineRule="exact"/>
        <w:rPr>
          <w:sz w:val="20"/>
          <w:szCs w:val="20"/>
          <w:color w:val="auto"/>
        </w:rPr>
      </w:pPr>
    </w:p>
    <w:p>
      <w:pPr>
        <w:jc w:val="both"/>
        <w:ind w:left="520" w:right="20" w:hanging="508"/>
        <w:spacing w:after="0" w:line="258"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means any of the following events that directly impact the Company’s ability to meet the Performance Requirement: flood, earthquake, storm, lightning, fire, or other Acts of God; sabotage or terrorism.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u w:val="single" w:color="auto"/>
          <w:color w:val="auto"/>
        </w:rPr>
        <w:t>Grant Contract</w:t>
      </w:r>
      <w:r>
        <w:rPr>
          <w:rFonts w:ascii="Times New Roman" w:cs="Times New Roman" w:eastAsia="Times New Roman" w:hAnsi="Times New Roman"/>
          <w:sz w:val="22"/>
          <w:szCs w:val="22"/>
          <w:color w:val="auto"/>
        </w:rPr>
        <w:t>” has the meaning assigned in the preamble hereto.</w:t>
      </w:r>
    </w:p>
    <w:p>
      <w:pPr>
        <w:spacing w:after="0" w:line="206" w:lineRule="exact"/>
        <w:rPr>
          <w:sz w:val="20"/>
          <w:szCs w:val="20"/>
          <w:color w:val="auto"/>
        </w:rPr>
      </w:pPr>
    </w:p>
    <w:p>
      <w:pPr>
        <w:jc w:val="both"/>
        <w:ind w:left="520" w:right="20" w:hanging="508"/>
        <w:spacing w:after="0" w:line="258"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u w:val="single" w:color="auto"/>
          <w:color w:val="auto"/>
        </w:rPr>
        <w:t>Interim Date</w:t>
      </w:r>
      <w:r>
        <w:rPr>
          <w:rFonts w:ascii="Times New Roman" w:cs="Times New Roman" w:eastAsia="Times New Roman" w:hAnsi="Times New Roman"/>
          <w:sz w:val="22"/>
          <w:szCs w:val="22"/>
          <w:color w:val="auto"/>
        </w:rPr>
        <w:t>” means each anniversary of the Start Date. All references to an Interim Date include any extensions granted herein.</w:t>
      </w:r>
    </w:p>
    <w:p>
      <w:pPr>
        <w:spacing w:after="0" w:line="158" w:lineRule="exact"/>
        <w:rPr>
          <w:sz w:val="20"/>
          <w:szCs w:val="20"/>
          <w:color w:val="auto"/>
        </w:rPr>
      </w:pPr>
    </w:p>
    <w:p>
      <w:pPr>
        <w:jc w:val="both"/>
        <w:ind w:left="520" w:hanging="508"/>
        <w:spacing w:after="0" w:line="244"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u w:val="single" w:color="auto"/>
          <w:color w:val="auto"/>
        </w:rPr>
        <w:t>Job</w:t>
      </w:r>
      <w:r>
        <w:rPr>
          <w:rFonts w:ascii="Times New Roman" w:cs="Times New Roman" w:eastAsia="Times New Roman" w:hAnsi="Times New Roman"/>
          <w:sz w:val="22"/>
          <w:szCs w:val="22"/>
          <w:color w:val="auto"/>
        </w:rPr>
        <w:t>” means a new, full-time position that is created and filled during the period beginning on the Start Date and ending on the End Date and that is held by a Company employee who is offered medical benefits. Except as provided in Section 1.20, all Jobs must be created and filled at the Facility.</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Minimum Performance Requirement</w:t>
      </w:r>
      <w:r>
        <w:rPr>
          <w:rFonts w:ascii="Times New Roman" w:cs="Times New Roman" w:eastAsia="Times New Roman" w:hAnsi="Times New Roman"/>
          <w:sz w:val="22"/>
          <w:szCs w:val="22"/>
          <w:color w:val="auto"/>
        </w:rPr>
        <w:t>” has the meaning assigned to such term in Section 3.3</w:t>
      </w:r>
    </w:p>
    <w:p>
      <w:pPr>
        <w:spacing w:after="0" w:line="206" w:lineRule="exact"/>
        <w:rPr>
          <w:sz w:val="20"/>
          <w:szCs w:val="20"/>
          <w:color w:val="auto"/>
        </w:rPr>
      </w:pPr>
    </w:p>
    <w:p>
      <w:pPr>
        <w:jc w:val="both"/>
        <w:ind w:left="520" w:hanging="508"/>
        <w:spacing w:after="0"/>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u w:val="single" w:color="auto"/>
          <w:color w:val="auto"/>
        </w:rPr>
        <w:t>Net New Jobs</w:t>
      </w:r>
      <w:r>
        <w:rPr>
          <w:rFonts w:ascii="Times New Roman" w:cs="Times New Roman" w:eastAsia="Times New Roman" w:hAnsi="Times New Roman"/>
          <w:sz w:val="22"/>
          <w:szCs w:val="22"/>
          <w:color w:val="auto"/>
        </w:rPr>
        <w:t>” means the cumulative number of Jobs filled on each Interim Date.</w:t>
      </w:r>
      <w:r>
        <w:rPr>
          <w:sz w:val="20"/>
          <w:szCs w:val="20"/>
          <w:color w:val="auto"/>
        </w:rPr>
        <w:t xml:space="preserve"> </w:t>
      </w:r>
      <w:r>
        <w:rPr>
          <w:rFonts w:ascii="Times New Roman" w:cs="Times New Roman" w:eastAsia="Times New Roman" w:hAnsi="Times New Roman"/>
          <w:sz w:val="22"/>
          <w:szCs w:val="22"/>
          <w:color w:val="auto"/>
        </w:rPr>
        <w:t>Net New Jobs shall not include positions transferred to the Facility from another Company location in the State of Tennessee but may include positions transferred to the Facility from a Company location outside of Tennessee. Additionally, Net New Jobs shall not include positions created as a result of a merger, acquisition, or other business combination unless such positions are new positions in the State of Tennessee.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Net New Jobs (Average)</w:t>
      </w:r>
      <w:r>
        <w:rPr>
          <w:rFonts w:ascii="Times New Roman" w:cs="Times New Roman" w:eastAsia="Times New Roman" w:hAnsi="Times New Roman"/>
          <w:sz w:val="22"/>
          <w:szCs w:val="22"/>
          <w:color w:val="auto"/>
        </w:rPr>
        <w:t>” has the meaning assigned to such term in Section 3.3.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Notification Letter</w:t>
      </w:r>
      <w:r>
        <w:rPr>
          <w:rFonts w:ascii="Times New Roman" w:cs="Times New Roman" w:eastAsia="Times New Roman" w:hAnsi="Times New Roman"/>
          <w:sz w:val="22"/>
          <w:szCs w:val="22"/>
          <w:color w:val="auto"/>
        </w:rPr>
        <w:t>” has the meaning assigned to such term in Section 5.2.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assigned to such term in the preamble hereto.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Performance Requirement</w:t>
      </w:r>
      <w:r>
        <w:rPr>
          <w:rFonts w:ascii="Times New Roman" w:cs="Times New Roman" w:eastAsia="Times New Roman" w:hAnsi="Times New Roman"/>
          <w:sz w:val="22"/>
          <w:szCs w:val="22"/>
          <w:color w:val="auto"/>
        </w:rPr>
        <w:t>” has the meaning assigned to such term in Section 3.1.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has the meaning assigned to such term in Section 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Protest Letter</w:t>
      </w:r>
      <w:r>
        <w:rPr>
          <w:rFonts w:ascii="Times New Roman" w:cs="Times New Roman" w:eastAsia="Times New Roman" w:hAnsi="Times New Roman"/>
          <w:sz w:val="22"/>
          <w:szCs w:val="22"/>
          <w:color w:val="auto"/>
        </w:rPr>
        <w:t>” has the meaning assigned to such term in Section 5.2.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has the meaning assigned to such term in Section 5.1.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Start Date</w:t>
      </w:r>
      <w:r>
        <w:rPr>
          <w:rFonts w:ascii="Times New Roman" w:cs="Times New Roman" w:eastAsia="Times New Roman" w:hAnsi="Times New Roman"/>
          <w:sz w:val="22"/>
          <w:szCs w:val="22"/>
          <w:color w:val="auto"/>
        </w:rPr>
        <w:t>” means January 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has the meaning assigned to such term in the preamble hereto.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u w:val="single" w:color="auto"/>
          <w:color w:val="auto"/>
        </w:rPr>
        <w:t>Successor Company</w:t>
      </w:r>
      <w:r>
        <w:rPr>
          <w:rFonts w:ascii="Times New Roman" w:cs="Times New Roman" w:eastAsia="Times New Roman" w:hAnsi="Times New Roman"/>
          <w:sz w:val="22"/>
          <w:szCs w:val="22"/>
          <w:color w:val="auto"/>
        </w:rPr>
        <w:t>” has the meaning assigned to such term in Section 6.2.</w:t>
      </w: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ARTICLE II – AWARD</w:t>
      </w:r>
    </w:p>
    <w:p>
      <w:pPr>
        <w:spacing w:after="0" w:line="210" w:lineRule="exact"/>
        <w:rPr>
          <w:sz w:val="20"/>
          <w:szCs w:val="20"/>
          <w:color w:val="auto"/>
        </w:rPr>
      </w:pPr>
    </w:p>
    <w:p>
      <w:pPr>
        <w:jc w:val="both"/>
        <w:ind w:left="520" w:hanging="508"/>
        <w:spacing w:after="0" w:line="244" w:lineRule="auto"/>
        <w:tabs>
          <w:tab w:leader="none" w:pos="5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Grant Award Amount</w:t>
      </w:r>
      <w:r>
        <w:rPr>
          <w:rFonts w:ascii="Times New Roman" w:cs="Times New Roman" w:eastAsia="Times New Roman" w:hAnsi="Times New Roman"/>
          <w:sz w:val="22"/>
          <w:szCs w:val="22"/>
          <w:color w:val="auto"/>
        </w:rPr>
        <w:t>. Subject to approval by the State Funding Board and approval of the Grant Contract, the State shall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provide to the Development Authority an Award of Nine Million Dollars and No/100 ($9,000,000.00) (the “Award Amount”) for the Project.</w:t>
      </w:r>
    </w:p>
    <w:p>
      <w:pPr>
        <w:spacing w:after="0" w:line="173" w:lineRule="exact"/>
        <w:rPr>
          <w:sz w:val="20"/>
          <w:szCs w:val="20"/>
          <w:color w:val="auto"/>
        </w:rPr>
      </w:pPr>
    </w:p>
    <w:p>
      <w:pPr>
        <w:jc w:val="both"/>
        <w:ind w:left="520" w:right="20" w:hanging="508"/>
        <w:spacing w:after="0" w:line="258" w:lineRule="auto"/>
        <w:tabs>
          <w:tab w:leader="none" w:pos="5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Project Description</w:t>
      </w:r>
      <w:r>
        <w:rPr>
          <w:rFonts w:ascii="Times New Roman" w:cs="Times New Roman" w:eastAsia="Times New Roman" w:hAnsi="Times New Roman"/>
          <w:sz w:val="22"/>
          <w:szCs w:val="22"/>
          <w:color w:val="auto"/>
        </w:rPr>
        <w:t>. The Development Authority and the Company shall use the Award to implement the project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“Project”), which is defined as follows: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u w:val="single" w:color="auto"/>
          <w:color w:val="auto"/>
        </w:rPr>
        <w:t>New construction at the approximate location of 1009 Proffitt Springs Rd, Maryville, TN 37801 (the “Facility”)</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 – PERFORMANCE REQUIREMENT</w:t>
      </w:r>
    </w:p>
    <w:p>
      <w:pPr>
        <w:spacing w:after="0" w:line="210" w:lineRule="exact"/>
        <w:rPr>
          <w:sz w:val="20"/>
          <w:szCs w:val="20"/>
          <w:color w:val="auto"/>
        </w:rPr>
      </w:pPr>
    </w:p>
    <w:p>
      <w:pPr>
        <w:jc w:val="both"/>
        <w:ind w:left="520" w:hanging="508"/>
        <w:spacing w:after="0" w:line="244" w:lineRule="auto"/>
        <w:tabs>
          <w:tab w:leader="none" w:pos="50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Company Commitment</w:t>
      </w:r>
      <w:r>
        <w:rPr>
          <w:rFonts w:ascii="Times New Roman" w:cs="Times New Roman" w:eastAsia="Times New Roman" w:hAnsi="Times New Roman"/>
          <w:sz w:val="22"/>
          <w:szCs w:val="22"/>
          <w:color w:val="auto"/>
        </w:rPr>
        <w:t>. As consideration for the Award, and as part of the Project, the Company shall create, fill,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maintain seven hundred fifty (750) Jobs (“Committed Jobs”) between the Start Date and End Date in accordance with Section 3.3 (the “Performance Requirement”).</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5" w:lineRule="exact"/>
        <w:rPr>
          <w:sz w:val="20"/>
          <w:szCs w:val="20"/>
          <w:color w:val="auto"/>
        </w:rPr>
      </w:pPr>
    </w:p>
    <w:p>
      <w:pPr>
        <w:jc w:val="both"/>
        <w:ind w:left="520" w:hanging="508"/>
        <w:spacing w:after="0" w:line="239" w:lineRule="auto"/>
        <w:tabs>
          <w:tab w:leader="none" w:pos="50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The State may, in its sole discretion, extend the End Date, Interim Dates, or interim reporting periods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required by Section 4.2 due to an event of Force Majeure. However, an extension of the End Date, Interim Dates, or interim reporting periods required by Section 4.2 shall be for a term no longer than one year following the original End Date, Interim Date or interim reporting period.</w:t>
      </w:r>
    </w:p>
    <w:p>
      <w:pPr>
        <w:spacing w:after="0" w:line="180" w:lineRule="exact"/>
        <w:rPr>
          <w:sz w:val="20"/>
          <w:szCs w:val="20"/>
          <w:color w:val="auto"/>
        </w:rPr>
      </w:pPr>
    </w:p>
    <w:p>
      <w:pPr>
        <w:jc w:val="both"/>
        <w:ind w:left="520" w:right="20" w:hanging="508"/>
        <w:spacing w:after="0" w:line="258" w:lineRule="auto"/>
        <w:tabs>
          <w:tab w:leader="none" w:pos="50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Compliance with the Performance Requirement</w:t>
      </w:r>
      <w:r>
        <w:rPr>
          <w:rFonts w:ascii="Times New Roman" w:cs="Times New Roman" w:eastAsia="Times New Roman" w:hAnsi="Times New Roman"/>
          <w:sz w:val="22"/>
          <w:szCs w:val="22"/>
          <w:color w:val="auto"/>
        </w:rPr>
        <w:t>. Pursuant to Section 4.2, the Company shall annually submit a report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Net New Jobs filled on each Interim</w:t>
      </w:r>
    </w:p>
    <w:p>
      <w:pPr>
        <w:spacing w:after="0" w:line="158"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22"/>
          <w:szCs w:val="22"/>
          <w:color w:val="auto"/>
        </w:rPr>
        <w:t xml:space="preserve">Date during the period commencing on the Start Date and ending on the End Date. Upon the End Date, the number of Net New Jobs for each of the Interim Dates that comprise the Compliance Period shall be added together and divided by three to determine the average number of Net New Jobs (“Net New Jobs (Average)”). In accordance with the formula in Item 3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Net New Jobs (Average) shall be divided by the number of Committed Jobs to determine the performance percentage (the “Performance Percentage”) as of the End Date. The Company shall be deemed in compliance with the Performance Requirement if the Performance Percentage as of the End Date is equal to or greater than ninety percent (90%). The Company’s failure to be in compliance with the Performance Requirement as of the End Date shall result in the repayment to the State of all or a portion of the Award Amount that has been received by the Development Authority in accordance with Article V. Further, if the Performance Percentage is below fifty percent (50%) (the “Minimum Performance Requirement”), the Company shall repay to the State all of the Award Amount that has been received by the Development Authority in accordance with Article V.</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ARTICLE IV – REPORTING REQUIREMENTS</w:t>
      </w:r>
    </w:p>
    <w:p>
      <w:pPr>
        <w:spacing w:after="0" w:line="210" w:lineRule="exact"/>
        <w:rPr>
          <w:sz w:val="20"/>
          <w:szCs w:val="20"/>
          <w:color w:val="auto"/>
        </w:rPr>
      </w:pPr>
    </w:p>
    <w:p>
      <w:pPr>
        <w:jc w:val="both"/>
        <w:ind w:left="520" w:hanging="508"/>
        <w:spacing w:after="0" w:line="249" w:lineRule="auto"/>
        <w:tabs>
          <w:tab w:leader="none" w:pos="50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Baseline Report</w:t>
      </w:r>
      <w:r>
        <w:rPr>
          <w:rFonts w:ascii="Times New Roman" w:cs="Times New Roman" w:eastAsia="Times New Roman" w:hAnsi="Times New Roman"/>
          <w:sz w:val="21"/>
          <w:szCs w:val="21"/>
          <w:color w:val="auto"/>
        </w:rPr>
        <w:t>. The State and the Company agree that the Company has zero (0) existing jobs (“Baseline Jobs”) prior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creation of Net New Jobs under this agreement. This is reflected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“Baseline Jobs Statement”). The Company must submit, prior to or concurrently with execution of this Agreement by the Company, back-up data in the form of a headcount listing of all positions at the Facility as of the date Baseline Jobs were reported in the company’s Application for Incentives submitted to the State seeking incentives for the Project. Back-up data shall provide reasonable assurance that information provided to the State pursuant to this Agreement is true and correct in all material respects.</w:t>
      </w:r>
    </w:p>
    <w:p>
      <w:pPr>
        <w:spacing w:after="0" w:line="188" w:lineRule="exact"/>
        <w:rPr>
          <w:sz w:val="20"/>
          <w:szCs w:val="20"/>
          <w:color w:val="auto"/>
        </w:rPr>
      </w:pPr>
    </w:p>
    <w:p>
      <w:pPr>
        <w:jc w:val="both"/>
        <w:ind w:left="520" w:hanging="508"/>
        <w:spacing w:after="0" w:line="239" w:lineRule="auto"/>
        <w:tabs>
          <w:tab w:leader="none" w:pos="50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Performance Reports</w:t>
      </w:r>
      <w:r>
        <w:rPr>
          <w:rFonts w:ascii="Times New Roman" w:cs="Times New Roman" w:eastAsia="Times New Roman" w:hAnsi="Times New Roman"/>
          <w:sz w:val="21"/>
          <w:szCs w:val="21"/>
          <w:color w:val="auto"/>
        </w:rPr>
        <w:t>. On or before the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day (or such later date as shall have been approved by the State) following</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each Interim Date during the period commencing on the Start Date and ending on the End Date the Company shall deliver to the State a report substantially similar to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(a “Performance Report”) that provides the number of Net New Jobs filled on the Interim Date applicable to such report. Each Performance Report shall be signed by a duly authorized representative of the Company and shall certify the number of Net New Jobs filled on the Interim Date applicable to such Performance Report. Performance Reports shall include appropriate back-up data for the Jobs reported in the form of a headcount listing of all positions at the Facility filled on the Interim Date. Back-up data shall provide reasonable assurance that information provided to the State pursuant to this Agreement is true and correct in all material respects.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ARTICLE V – DEFAULT</w:t>
      </w:r>
    </w:p>
    <w:p>
      <w:pPr>
        <w:spacing w:after="0" w:line="210" w:lineRule="exact"/>
        <w:rPr>
          <w:sz w:val="20"/>
          <w:szCs w:val="20"/>
          <w:color w:val="auto"/>
        </w:rPr>
      </w:pPr>
    </w:p>
    <w:p>
      <w:pPr>
        <w:jc w:val="both"/>
        <w:ind w:left="520" w:hanging="508"/>
        <w:spacing w:after="0" w:line="235" w:lineRule="auto"/>
        <w:tabs>
          <w:tab w:leader="none" w:pos="5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u w:val="single" w:color="auto"/>
          <w:color w:val="auto"/>
        </w:rPr>
        <w:t>Event of Default and Repayment Amount</w:t>
      </w:r>
      <w:r>
        <w:rPr>
          <w:rFonts w:ascii="Times New Roman" w:cs="Times New Roman" w:eastAsia="Times New Roman" w:hAnsi="Times New Roman"/>
          <w:sz w:val="22"/>
          <w:szCs w:val="22"/>
          <w:color w:val="auto"/>
        </w:rPr>
        <w:t>. For purposes of this Agreement, the term “Event of Default” means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occurrence of any of the following events: (i) the Company fails to satisfy the Performance Requirement as of the End Date pursuant to Section 3.3, (ii) the Company fails to satisfy the Minimum Performance Requirement as of the End Date pursuant to Section 3.3, (iii) the Company ceases to operate or fails to complete the Project described in Section 2.2 between the Start Date and the End Date or (iv) the Company fails to provide any of the Performance Reports required pursuant to Sections 4.1 and 4.2 or the back-up data applicable to such reports on or before the due dates established in Sections 4.1 and 4.2 within thirty (30) days after written notice of such failure and opportunity to cure.</w:t>
      </w:r>
    </w:p>
    <w:p>
      <w:pPr>
        <w:spacing w:after="0" w:line="183" w:lineRule="exact"/>
        <w:rPr>
          <w:sz w:val="20"/>
          <w:szCs w:val="20"/>
          <w:color w:val="auto"/>
        </w:rPr>
      </w:pPr>
    </w:p>
    <w:p>
      <w:pPr>
        <w:jc w:val="both"/>
        <w:ind w:left="520"/>
        <w:spacing w:after="0" w:line="235" w:lineRule="auto"/>
        <w:rPr>
          <w:sz w:val="20"/>
          <w:szCs w:val="20"/>
          <w:color w:val="auto"/>
        </w:rPr>
      </w:pPr>
      <w:r>
        <w:rPr>
          <w:rFonts w:ascii="Times New Roman" w:cs="Times New Roman" w:eastAsia="Times New Roman" w:hAnsi="Times New Roman"/>
          <w:sz w:val="22"/>
          <w:szCs w:val="22"/>
          <w:color w:val="auto"/>
        </w:rPr>
        <w:t xml:space="preserve">In the case of an Event of Default, the Company shall repay directly to the State all or a portion of the Award Amount (the “Repayment Amount”) as calculated in this Section 5.1. The Repayment Amount for an Event of Default under Section 5.1(i) above shall be determined by (A) multiplying the Award Amount by the Performance Percentage (the “Adjusted Award Amount”), and (B) the Company shall be liable to repay to the State any portion of the Award Amount that has been received by the Development Authority that exceeds the Adjusted Award Amount. (See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The Repayment Amount for an Event of Default under Sections 5.1(ii), 5.1(iii), and 5.1(iv) above shall be one-hundred percent (100%) of the Award Amount that has been received by the Development Authority.</w:t>
      </w:r>
    </w:p>
    <w:p>
      <w:pPr>
        <w:spacing w:after="0" w:line="183" w:lineRule="exact"/>
        <w:rPr>
          <w:sz w:val="20"/>
          <w:szCs w:val="20"/>
          <w:color w:val="auto"/>
        </w:rPr>
      </w:pPr>
    </w:p>
    <w:p>
      <w:pPr>
        <w:jc w:val="both"/>
        <w:ind w:left="520" w:hanging="508"/>
        <w:spacing w:after="0" w:line="236" w:lineRule="auto"/>
        <w:tabs>
          <w:tab w:leader="none" w:pos="50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Notification of Default</w:t>
      </w:r>
      <w:r>
        <w:rPr>
          <w:rFonts w:ascii="Times New Roman" w:cs="Times New Roman" w:eastAsia="Times New Roman" w:hAnsi="Times New Roman"/>
          <w:sz w:val="22"/>
          <w:szCs w:val="22"/>
          <w:color w:val="auto"/>
        </w:rPr>
        <w:t>. In the event the Company has failed to meet the Performance Requirement or Minimum</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Performance Requirement or has otherwise defaulted as described in Sections 5.1(iii) or 5.1(iv) of this Agreement, the State will deliver written notice (a “Notification Letter”) to the Development Authority and the Company of such failure or default that will include a summary of the basis of the State’s claim and will also include a demand that the Company pay the State the Repayment Amount (in which case such Notification Letter will include the State’s determination of the Repayment Amount).</w:t>
      </w:r>
    </w:p>
    <w:p>
      <w:pPr>
        <w:spacing w:after="0" w:line="181" w:lineRule="exact"/>
        <w:rPr>
          <w:sz w:val="20"/>
          <w:szCs w:val="20"/>
          <w:color w:val="auto"/>
        </w:rPr>
      </w:pPr>
    </w:p>
    <w:p>
      <w:pPr>
        <w:jc w:val="both"/>
        <w:ind w:left="520" w:hanging="508"/>
        <w:spacing w:after="0" w:line="244" w:lineRule="auto"/>
        <w:tabs>
          <w:tab w:leader="none" w:pos="50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Repayment</w:t>
      </w:r>
      <w:r>
        <w:rPr>
          <w:rFonts w:ascii="Times New Roman" w:cs="Times New Roman" w:eastAsia="Times New Roman" w:hAnsi="Times New Roman"/>
          <w:sz w:val="21"/>
          <w:szCs w:val="21"/>
          <w:color w:val="auto"/>
        </w:rPr>
        <w:t>. No later than forty-five (45) days after the date of its receipt of a Notification Letter in which the State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demands such repayment, the Company shall submit the Repayment Amount to the State. Any portion of the Repayment Amount that remains unpaid after the end of such forty-five (45) day period shall accrue interest from and after such period at the rate provided under T</w:t>
      </w:r>
      <w:r>
        <w:rPr>
          <w:rFonts w:ascii="Times New Roman" w:cs="Times New Roman" w:eastAsia="Times New Roman" w:hAnsi="Times New Roman"/>
          <w:sz w:val="16"/>
          <w:szCs w:val="16"/>
          <w:color w:val="auto"/>
        </w:rPr>
        <w:t>ENN</w:t>
      </w:r>
      <w:r>
        <w:rPr>
          <w:rFonts w:ascii="Times New Roman" w:cs="Times New Roman" w:eastAsia="Times New Roman" w:hAnsi="Times New Roman"/>
          <w:sz w:val="21"/>
          <w:szCs w:val="21"/>
          <w:color w:val="auto"/>
        </w:rPr>
        <w:t>. C</w:t>
      </w:r>
      <w:r>
        <w:rPr>
          <w:rFonts w:ascii="Times New Roman" w:cs="Times New Roman" w:eastAsia="Times New Roman" w:hAnsi="Times New Roman"/>
          <w:sz w:val="16"/>
          <w:szCs w:val="16"/>
          <w:color w:val="auto"/>
        </w:rPr>
        <w:t>ODE</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6"/>
          <w:szCs w:val="16"/>
          <w:color w:val="auto"/>
        </w:rPr>
        <w:t>NN</w:t>
      </w:r>
      <w:r>
        <w:rPr>
          <w:rFonts w:ascii="Times New Roman" w:cs="Times New Roman" w:eastAsia="Times New Roman" w:hAnsi="Times New Roman"/>
          <w:sz w:val="21"/>
          <w:szCs w:val="21"/>
          <w:color w:val="auto"/>
        </w:rPr>
        <w:t>. §47-14-105 and, should the Company fail to remit the Repayment Amount to the State, the State shall have the right to seek any and all remedies available to it through its administrative processes or to seek remedies available at law or equity. Notwithstanding the foregoing, if the Company believes that the State has improperly demanded payment of the Repayment Amount (either in whole or in part), the Company shall have the right to remit the Repayment Amount demanded by the State pursuant to the State’s Notification Letter under protest, in which case</w:t>
      </w:r>
    </w:p>
    <w:p>
      <w:pPr>
        <w:spacing w:after="0" w:line="4" w:lineRule="exact"/>
        <w:rPr>
          <w:sz w:val="20"/>
          <w:szCs w:val="20"/>
          <w:color w:val="auto"/>
        </w:rPr>
      </w:pPr>
    </w:p>
    <w:p>
      <w:pPr>
        <w:jc w:val="both"/>
        <w:ind w:left="520" w:hanging="3"/>
        <w:spacing w:after="0" w:line="233" w:lineRule="auto"/>
        <w:tabs>
          <w:tab w:leader="none" w:pos="7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to the State a written explanation of the nature of the protest (the “Protest Letter”); (ii) the Repayment Amount paid by the Company shall not be subject to interest as described in this Section 5.3 if paid within the forty-five (45) day period described above; and (iii) the Company shall not be deemed to have waived any rights or defenses with respect to the Award Amount or the Repayment Amount (including, without limitation, any rights or defenses the Company may have under this Agreement or the Grant Contract with respect to the Award); provided,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5" w:lineRule="exact"/>
        <w:rPr>
          <w:sz w:val="20"/>
          <w:szCs w:val="20"/>
          <w:color w:val="auto"/>
        </w:rPr>
      </w:pPr>
    </w:p>
    <w:p>
      <w:pPr>
        <w:jc w:val="both"/>
        <w:ind w:left="520"/>
        <w:spacing w:after="0" w:line="238" w:lineRule="auto"/>
        <w:rPr>
          <w:sz w:val="20"/>
          <w:szCs w:val="20"/>
          <w:color w:val="auto"/>
        </w:rPr>
      </w:pPr>
      <w:r>
        <w:rPr>
          <w:rFonts w:ascii="Times New Roman" w:cs="Times New Roman" w:eastAsia="Times New Roman" w:hAnsi="Times New Roman"/>
          <w:sz w:val="22"/>
          <w:szCs w:val="22"/>
          <w:color w:val="auto"/>
        </w:rPr>
        <w:t>however, that the Company shall not be entitled to file a claim against the State with respect to funds repaid pursuant to this Section 5.3 after the first anniversary of the date on which the Company receives the Notification Letter pursuant to which the Company shall have repaid such funds. Further, any such claim against the State shall be made to the Tennessee Claims Commission in accordance with Title 9, Chapter 8 of the Tennessee Code Annotated and shall be limited to disputes relating to matters described in the Protest Letter.</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ARTICLE VI - MISCELLANEOUS</w:t>
      </w:r>
    </w:p>
    <w:p>
      <w:pPr>
        <w:spacing w:after="0" w:line="210" w:lineRule="exact"/>
        <w:rPr>
          <w:sz w:val="20"/>
          <w:szCs w:val="20"/>
          <w:color w:val="auto"/>
        </w:rPr>
      </w:pPr>
    </w:p>
    <w:p>
      <w:pPr>
        <w:jc w:val="both"/>
        <w:ind w:left="520" w:hanging="508"/>
        <w:spacing w:after="0" w:line="235" w:lineRule="auto"/>
        <w:tabs>
          <w:tab w:leader="none" w:pos="50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The Company shall maintain documentation regarding the reporting requirements of Sections 4.1 and 4.2 for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later of (i) three (3) years following the End Date or (ii) one year after the resolution of any claim against the State filed pursuant to Section 5.3. The documentation shall be subject to audit by the State or its duly appointed representative at any reasonable time and upon reasonable notice. In the event that any audit conducted pursuant to this Section 6.1 reveals that the Company has inaccurately calculated or reported the number of Jobs consistent with the intent of this Agreement, the State may adjust the number of Jobs as reported by the Company to a number of Jobs consistent with the intent of this Agreement and adjust the Performance Percentage and Repayment Amount accordingly.</w:t>
      </w:r>
    </w:p>
    <w:p>
      <w:pPr>
        <w:spacing w:after="0" w:line="183" w:lineRule="exact"/>
        <w:rPr>
          <w:sz w:val="20"/>
          <w:szCs w:val="20"/>
          <w:color w:val="auto"/>
        </w:rPr>
      </w:pPr>
    </w:p>
    <w:p>
      <w:pPr>
        <w:jc w:val="both"/>
        <w:ind w:left="520"/>
        <w:spacing w:after="0" w:line="238" w:lineRule="auto"/>
        <w:rPr>
          <w:sz w:val="20"/>
          <w:szCs w:val="20"/>
          <w:color w:val="auto"/>
        </w:rPr>
      </w:pPr>
      <w:r>
        <w:rPr>
          <w:rFonts w:ascii="Times New Roman" w:cs="Times New Roman" w:eastAsia="Times New Roman" w:hAnsi="Times New Roman"/>
          <w:sz w:val="22"/>
          <w:szCs w:val="22"/>
          <w:color w:val="auto"/>
        </w:rPr>
        <w:t>In the event the State adjusts the Performance Percentage and Repayment Amount based upon the State’s audit, the State will deliver a Notification Letter to the Development Authority and the Company of such adjustment that will include a summary of the basis of the State’s claim and will also include a demand that the Company pay the State the Repayment Amount (in which case such Notification Letter shall include the State’s determination of the Repayment Amount). The Company shall follow the Repayment procedure described in Section 5.3.</w:t>
      </w:r>
    </w:p>
    <w:p>
      <w:pPr>
        <w:spacing w:after="0" w:line="177" w:lineRule="exact"/>
        <w:rPr>
          <w:sz w:val="20"/>
          <w:szCs w:val="20"/>
          <w:color w:val="auto"/>
        </w:rPr>
      </w:pPr>
    </w:p>
    <w:p>
      <w:pPr>
        <w:jc w:val="both"/>
        <w:ind w:left="520" w:hanging="508"/>
        <w:spacing w:after="0" w:line="239" w:lineRule="auto"/>
        <w:tabs>
          <w:tab w:leader="none" w:pos="50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Change of Control is defined as (i) a reorganization, merger, consolidation or other transaction that will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result in the transfer of ownership of more than fifty percent (50%) of the Company’s shares except in the case of an initial public offering that does not result in a successor entity, or (ii) the liquidation or dissolution of the Company or sale of substantially all of the Company’s assets.</w:t>
      </w:r>
    </w:p>
    <w:p>
      <w:pPr>
        <w:spacing w:after="0" w:line="180" w:lineRule="exact"/>
        <w:rPr>
          <w:sz w:val="20"/>
          <w:szCs w:val="20"/>
          <w:color w:val="auto"/>
        </w:rPr>
      </w:pPr>
    </w:p>
    <w:p>
      <w:pPr>
        <w:jc w:val="both"/>
        <w:ind w:left="520"/>
        <w:spacing w:after="0" w:line="234" w:lineRule="auto"/>
        <w:rPr>
          <w:sz w:val="20"/>
          <w:szCs w:val="20"/>
          <w:color w:val="auto"/>
        </w:rPr>
      </w:pPr>
      <w:r>
        <w:rPr>
          <w:rFonts w:ascii="Times New Roman" w:cs="Times New Roman" w:eastAsia="Times New Roman" w:hAnsi="Times New Roman"/>
          <w:sz w:val="22"/>
          <w:szCs w:val="22"/>
          <w:color w:val="auto"/>
        </w:rPr>
        <w:t>In the event of a Change of Control that occurs during the period between the Start Date and the End Date, (A) the Company must notify the State of such Change of Control promptly following the approval of the Change of Control pursuant to corporate, partnership, limited liability company, or other similar proceedings applicable to the Change of Control event and (B) either the new owner or other successor entity resulting from the Change of Control (the “Successor Company”) following the completion of the applicable transaction must assume the obligations contained in this Agreement by executing an assumption agreement in a form acceptable in all reasonable respects to the State (the “Assumption Agreement”). However, if the Company continues as a legal entity after a Change of Control, the Company and the Successor Company shall be jointly and severally liable for the obligations contained in this Agreement. In lieu of executing an Assumption Agreement, the Company or the Successor Company may elect to pay the State the Award Amount that has been received by the Development Authority pursuant to the Grant Contract.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5" w:lineRule="exact"/>
        <w:rPr>
          <w:sz w:val="20"/>
          <w:szCs w:val="20"/>
          <w:color w:val="auto"/>
        </w:rPr>
      </w:pPr>
    </w:p>
    <w:p>
      <w:pPr>
        <w:jc w:val="both"/>
        <w:ind w:left="500" w:hanging="508"/>
        <w:spacing w:after="0" w:line="238" w:lineRule="auto"/>
        <w:tabs>
          <w:tab w:leader="none" w:pos="4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Communication and Notices</w:t>
      </w:r>
      <w:r>
        <w:rPr>
          <w:rFonts w:ascii="Times New Roman" w:cs="Times New Roman" w:eastAsia="Times New Roman" w:hAnsi="Times New Roman"/>
          <w:sz w:val="22"/>
          <w:szCs w:val="22"/>
          <w:color w:val="auto"/>
        </w:rPr>
        <w:t>. All notices or other communications required or contemplated by this Agreement shall be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writing and shall be made by certified, first class mail, return receipt requested, by overnight courier service with an asset tracking system, or by email. Any such communication, regardless of method of transmission, shall be addressed to the respective party at the appropriate mailing address or email address set forth below or to that of such other party or address as may be hereafter specified by written notice.</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The Development Authority:</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Bryan Daniels</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Blount Partnership</w:t>
      </w:r>
    </w:p>
    <w:p>
      <w:pPr>
        <w:ind w:left="500"/>
        <w:spacing w:after="0" w:line="230" w:lineRule="auto"/>
        <w:rPr>
          <w:sz w:val="20"/>
          <w:szCs w:val="20"/>
          <w:color w:val="auto"/>
        </w:rPr>
      </w:pPr>
      <w:r>
        <w:rPr>
          <w:rFonts w:ascii="Times New Roman" w:cs="Times New Roman" w:eastAsia="Times New Roman" w:hAnsi="Times New Roman"/>
          <w:sz w:val="22"/>
          <w:szCs w:val="22"/>
          <w:color w:val="auto"/>
        </w:rPr>
        <w:t>201 S. Washington Street</w:t>
      </w:r>
    </w:p>
    <w:p>
      <w:pPr>
        <w:ind w:left="500"/>
        <w:spacing w:after="0" w:line="231" w:lineRule="auto"/>
        <w:rPr>
          <w:sz w:val="20"/>
          <w:szCs w:val="20"/>
          <w:color w:val="auto"/>
        </w:rPr>
      </w:pPr>
      <w:r>
        <w:rPr>
          <w:rFonts w:ascii="Times New Roman" w:cs="Times New Roman" w:eastAsia="Times New Roman" w:hAnsi="Times New Roman"/>
          <w:sz w:val="22"/>
          <w:szCs w:val="22"/>
          <w:color w:val="auto"/>
        </w:rPr>
        <w:t>Maryville, TN 37803</w:t>
      </w:r>
    </w:p>
    <w:p>
      <w:pPr>
        <w:ind w:left="500"/>
        <w:spacing w:after="0" w:line="230"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bdaniels@blountpartnership.com</w:t>
      </w:r>
    </w:p>
    <w:p>
      <w:pPr>
        <w:ind w:left="500"/>
        <w:spacing w:after="0" w:line="231" w:lineRule="auto"/>
        <w:rPr>
          <w:sz w:val="20"/>
          <w:szCs w:val="20"/>
          <w:color w:val="auto"/>
        </w:rPr>
      </w:pPr>
      <w:r>
        <w:rPr>
          <w:rFonts w:ascii="Times New Roman" w:cs="Times New Roman" w:eastAsia="Times New Roman" w:hAnsi="Times New Roman"/>
          <w:sz w:val="22"/>
          <w:szCs w:val="22"/>
          <w:color w:val="auto"/>
        </w:rPr>
        <w:t>Phone: 865-983-2241</w:t>
      </w:r>
    </w:p>
    <w:p>
      <w:pPr>
        <w:ind w:left="500"/>
        <w:spacing w:after="0"/>
        <w:rPr>
          <w:sz w:val="20"/>
          <w:szCs w:val="20"/>
          <w:color w:val="auto"/>
        </w:rPr>
      </w:pPr>
      <w:r>
        <w:rPr>
          <w:rFonts w:ascii="Times New Roman" w:cs="Times New Roman" w:eastAsia="Times New Roman" w:hAnsi="Times New Roman"/>
          <w:sz w:val="22"/>
          <w:szCs w:val="22"/>
          <w:color w:val="auto"/>
        </w:rPr>
        <w:t>The State:</w:t>
      </w:r>
    </w:p>
    <w:p>
      <w:pPr>
        <w:spacing w:after="0" w:line="182" w:lineRule="exact"/>
        <w:rPr>
          <w:sz w:val="20"/>
          <w:szCs w:val="20"/>
          <w:color w:val="auto"/>
        </w:rPr>
      </w:pPr>
    </w:p>
    <w:p>
      <w:pPr>
        <w:ind w:left="500" w:right="4920"/>
        <w:spacing w:after="0" w:line="246" w:lineRule="auto"/>
        <w:rPr>
          <w:sz w:val="20"/>
          <w:szCs w:val="20"/>
          <w:color w:val="auto"/>
        </w:rPr>
      </w:pPr>
      <w:r>
        <w:rPr>
          <w:rFonts w:ascii="Times New Roman" w:cs="Times New Roman" w:eastAsia="Times New Roman" w:hAnsi="Times New Roman"/>
          <w:sz w:val="22"/>
          <w:szCs w:val="22"/>
          <w:color w:val="auto"/>
        </w:rPr>
        <w:t>Tennessee Department of Economic and Community Development Attn: General Counsel</w:t>
      </w:r>
    </w:p>
    <w:p>
      <w:pPr>
        <w:ind w:left="500"/>
        <w:spacing w:after="0" w:line="184" w:lineRule="auto"/>
        <w:rPr>
          <w:sz w:val="20"/>
          <w:szCs w:val="20"/>
          <w:color w:val="auto"/>
        </w:rPr>
      </w:pPr>
      <w:r>
        <w:rPr>
          <w:rFonts w:ascii="Times New Roman" w:cs="Times New Roman" w:eastAsia="Times New Roman" w:hAnsi="Times New Roman"/>
          <w:sz w:val="22"/>
          <w:szCs w:val="22"/>
          <w:color w:val="auto"/>
        </w:rPr>
        <w:t>312 Rosa Parks,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500"/>
        <w:spacing w:after="0" w:line="231" w:lineRule="auto"/>
        <w:rPr>
          <w:sz w:val="20"/>
          <w:szCs w:val="20"/>
          <w:color w:val="auto"/>
        </w:rPr>
      </w:pPr>
      <w:r>
        <w:rPr>
          <w:rFonts w:ascii="Times New Roman" w:cs="Times New Roman" w:eastAsia="Times New Roman" w:hAnsi="Times New Roman"/>
          <w:sz w:val="22"/>
          <w:szCs w:val="22"/>
          <w:color w:val="auto"/>
        </w:rPr>
        <w:t>Nashville, TN 37243</w:t>
      </w:r>
    </w:p>
    <w:p>
      <w:pPr>
        <w:ind w:left="500"/>
        <w:spacing w:after="0" w:line="231"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ecd.legal@tn.gov</w:t>
      </w:r>
    </w:p>
    <w:p>
      <w:pPr>
        <w:ind w:left="500"/>
        <w:spacing w:after="0"/>
        <w:rPr>
          <w:sz w:val="20"/>
          <w:szCs w:val="20"/>
          <w:color w:val="auto"/>
        </w:rPr>
      </w:pPr>
      <w:r>
        <w:rPr>
          <w:rFonts w:ascii="Times New Roman" w:cs="Times New Roman" w:eastAsia="Times New Roman" w:hAnsi="Times New Roman"/>
          <w:sz w:val="22"/>
          <w:szCs w:val="22"/>
          <w:color w:val="auto"/>
        </w:rPr>
        <w:t>Telephone: 615-741-1888</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The Company:</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Luc Hardyn, Project Manager</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Smith &amp; Wesson Brands, Inc.</w:t>
      </w:r>
    </w:p>
    <w:p>
      <w:pPr>
        <w:ind w:left="500"/>
        <w:spacing w:after="0" w:line="230" w:lineRule="auto"/>
        <w:rPr>
          <w:sz w:val="20"/>
          <w:szCs w:val="20"/>
          <w:color w:val="auto"/>
        </w:rPr>
      </w:pPr>
      <w:r>
        <w:rPr>
          <w:rFonts w:ascii="Times New Roman" w:cs="Times New Roman" w:eastAsia="Times New Roman" w:hAnsi="Times New Roman"/>
          <w:sz w:val="22"/>
          <w:szCs w:val="22"/>
          <w:color w:val="auto"/>
        </w:rPr>
        <w:t>2100 Roosevelt Ave.</w:t>
      </w:r>
    </w:p>
    <w:p>
      <w:pPr>
        <w:ind w:left="500"/>
        <w:spacing w:after="0" w:line="231" w:lineRule="auto"/>
        <w:rPr>
          <w:sz w:val="20"/>
          <w:szCs w:val="20"/>
          <w:color w:val="auto"/>
        </w:rPr>
      </w:pPr>
      <w:r>
        <w:rPr>
          <w:rFonts w:ascii="Times New Roman" w:cs="Times New Roman" w:eastAsia="Times New Roman" w:hAnsi="Times New Roman"/>
          <w:sz w:val="22"/>
          <w:szCs w:val="22"/>
          <w:color w:val="auto"/>
        </w:rPr>
        <w:t>Springfield, MA 01104</w:t>
      </w:r>
    </w:p>
    <w:p>
      <w:pPr>
        <w:ind w:left="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lhardyn@smith-wesson.com</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Office of General Counsel Smith &amp; Wesson Brands, Inc. 2100 Roosevelt Ave. Springfield, MA 01104 Email:</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Mark Smith, Chief Executive Officer Smith &amp; Wesson Brands, Inc. 2100 Roosevelt Ave.</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Springfield, MA 01104</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David H. Cooper</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Waypoint Advisors LLC</w:t>
      </w:r>
    </w:p>
    <w:p>
      <w:pPr>
        <w:ind w:left="500"/>
        <w:spacing w:after="0"/>
        <w:rPr>
          <w:sz w:val="20"/>
          <w:szCs w:val="20"/>
          <w:color w:val="auto"/>
        </w:rPr>
      </w:pPr>
      <w:r>
        <w:rPr>
          <w:rFonts w:ascii="Times New Roman" w:cs="Times New Roman" w:eastAsia="Times New Roman" w:hAnsi="Times New Roman"/>
          <w:sz w:val="22"/>
          <w:szCs w:val="22"/>
          <w:color w:val="auto"/>
        </w:rPr>
        <w:t>One Perimeter Park South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22"/>
          <w:szCs w:val="22"/>
          <w:color w:val="auto"/>
        </w:rPr>
        <w:t xml:space="preserve">Suite 100 N Birmingham, AL 35243 </w:t>
      </w:r>
      <w:r>
        <w:rPr>
          <w:rFonts w:ascii="Times New Roman" w:cs="Times New Roman" w:eastAsia="Times New Roman" w:hAnsi="Times New Roman"/>
          <w:sz w:val="22"/>
          <w:szCs w:val="22"/>
          <w:u w:val="single" w:color="auto"/>
          <w:color w:val="auto"/>
        </w:rPr>
        <w:t>dcooper@waypointadvisorsllc.com</w:t>
      </w:r>
    </w:p>
    <w:p>
      <w:pPr>
        <w:spacing w:after="0" w:line="206"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22"/>
          <w:szCs w:val="22"/>
          <w:color w:val="auto"/>
        </w:rPr>
        <w:t>All notices or other communications shall be considered effectively given upon receipt or recipient confirmation as may be required.</w:t>
      </w:r>
    </w:p>
    <w:p>
      <w:pPr>
        <w:spacing w:after="0" w:line="158" w:lineRule="exact"/>
        <w:rPr>
          <w:sz w:val="20"/>
          <w:szCs w:val="20"/>
          <w:color w:val="auto"/>
        </w:rPr>
      </w:pPr>
    </w:p>
    <w:p>
      <w:pPr>
        <w:jc w:val="both"/>
        <w:ind w:left="520" w:hanging="508"/>
        <w:spacing w:after="0" w:line="238" w:lineRule="auto"/>
        <w:tabs>
          <w:tab w:leader="none" w:pos="50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Tennessee. The Company agrees that it will be subject to the exclusive jurisdiction of the courts of the State of Tennessee in actions that may arise under this Agreement. The Company acknowledges and agrees that any rights or claims against the State of Tennessee or its employees hereunder, and any remedies arising therefrom, shall be subject to and limited to those rights and remedies, if any, available under Title 9, Chapter 8 of the Tennessee Code Annotated.</w:t>
      </w:r>
    </w:p>
    <w:p>
      <w:pPr>
        <w:spacing w:after="0" w:line="177" w:lineRule="exact"/>
        <w:rPr>
          <w:sz w:val="20"/>
          <w:szCs w:val="20"/>
          <w:color w:val="auto"/>
        </w:rPr>
      </w:pPr>
    </w:p>
    <w:p>
      <w:pPr>
        <w:jc w:val="both"/>
        <w:ind w:left="520" w:hanging="508"/>
        <w:spacing w:after="0" w:line="238" w:lineRule="auto"/>
        <w:tabs>
          <w:tab w:leader="none" w:pos="50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Exhibits and Attachment hereto attached will be construed to be a part of this Agreement by such reference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or other mention at each point at which such reference or other mention occurs, in the same manner and with the same effect as if each Exhibit and Attachment were set forth in full and at length every time it is referred to or otherwise mentioned. In the event of a discrepancy or ambiguity regarding the grant of funds from the State to the Development Authority under the Grant Contract, the terms of the Grant Contract shall govern.</w:t>
      </w:r>
    </w:p>
    <w:p>
      <w:pPr>
        <w:spacing w:after="0" w:line="177" w:lineRule="exact"/>
        <w:rPr>
          <w:sz w:val="20"/>
          <w:szCs w:val="20"/>
          <w:color w:val="auto"/>
        </w:rPr>
      </w:pPr>
    </w:p>
    <w:p>
      <w:pPr>
        <w:jc w:val="both"/>
        <w:ind w:left="520" w:hanging="508"/>
        <w:spacing w:after="0" w:line="239" w:lineRule="auto"/>
        <w:tabs>
          <w:tab w:leader="none" w:pos="50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one or more of the provisions contained herein will for any reason be held by any court of competent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jurisdiction to be invalid, illegal, or unenforceable in any respect, such invalidity, illegality, or unenforceability will not affect any other provision hereof, and this Agreement will be construed as if such invalid, illegal, or unenforceable provision had never been contained herein.</w:t>
      </w:r>
    </w:p>
    <w:p>
      <w:pPr>
        <w:spacing w:after="0" w:line="180" w:lineRule="exact"/>
        <w:rPr>
          <w:sz w:val="20"/>
          <w:szCs w:val="20"/>
          <w:color w:val="auto"/>
        </w:rPr>
      </w:pPr>
    </w:p>
    <w:p>
      <w:pPr>
        <w:jc w:val="both"/>
        <w:ind w:left="520" w:hanging="508"/>
        <w:spacing w:after="0" w:line="239" w:lineRule="auto"/>
        <w:tabs>
          <w:tab w:leader="none" w:pos="50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State. The failure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State to require the performance of any term or obligation of this Agreement, or the waiver by the State of any breach of this Agreement, shall not prevent any subsequent enforcement of such term or obligation or be deemed a waiver of any subsequent breach.</w:t>
      </w:r>
    </w:p>
    <w:p>
      <w:pPr>
        <w:spacing w:after="0" w:line="180"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2"/>
          <w:szCs w:val="22"/>
          <w:u w:val="single" w:color="auto"/>
          <w:color w:val="auto"/>
        </w:rPr>
        <w:t>Authorized Signatures</w:t>
      </w:r>
      <w:r>
        <w:rPr>
          <w:rFonts w:ascii="Times New Roman" w:cs="Times New Roman" w:eastAsia="Times New Roman" w:hAnsi="Times New Roman"/>
          <w:sz w:val="22"/>
          <w:szCs w:val="22"/>
          <w:color w:val="auto"/>
        </w:rPr>
        <w:t>. Each of the individuals executing this Agreement represents that they are authorized to execute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on behalf of their respective entities.</w:t>
      </w:r>
    </w:p>
    <w:p>
      <w:pPr>
        <w:spacing w:after="0" w:line="158" w:lineRule="exact"/>
        <w:rPr>
          <w:sz w:val="20"/>
          <w:szCs w:val="20"/>
          <w:color w:val="auto"/>
        </w:rPr>
      </w:pPr>
    </w:p>
    <w:p>
      <w:pPr>
        <w:jc w:val="both"/>
        <w:ind w:left="520" w:hanging="508"/>
        <w:spacing w:after="0" w:line="244" w:lineRule="auto"/>
        <w:tabs>
          <w:tab w:leader="none" w:pos="50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Agreement may be executed in any number of counterparts and by different parties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separate counterparts. Each counterpart when so executed shall be deemed to be an original and all of which together shall constitute one and the same Agreement.</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hereunto set their signatures the day and year first written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Tennessee Department of Economic Smith &amp; Wesson Brands,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 Community Development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/s/ Robert O. Rolfelsk</w:t>
            </w:r>
          </w:p>
        </w:tc>
        <w:tc>
          <w:tcPr>
            <w:tcW w:w="3620" w:type="dxa"/>
            <w:vAlign w:val="bottom"/>
          </w:tcPr>
          <w:p>
            <w:pPr>
              <w:ind w:left="3040"/>
              <w:spacing w:after="0"/>
              <w:rPr>
                <w:sz w:val="20"/>
                <w:szCs w:val="20"/>
                <w:color w:val="auto"/>
              </w:rPr>
            </w:pPr>
            <w:r>
              <w:rPr>
                <w:rFonts w:ascii="Times New Roman" w:cs="Times New Roman" w:eastAsia="Times New Roman" w:hAnsi="Times New Roman"/>
                <w:sz w:val="22"/>
                <w:szCs w:val="22"/>
                <w:color w:val="auto"/>
              </w:rPr>
              <w:t>By:</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 Mark Smith</w:t>
            </w:r>
          </w:p>
        </w:tc>
      </w:tr>
      <w:tr>
        <w:trPr>
          <w:trHeight w:val="20"/>
        </w:trPr>
        <w:tc>
          <w:tcPr>
            <w:tcW w:w="6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45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Commissioner</w:t>
            </w:r>
          </w:p>
        </w:tc>
        <w:tc>
          <w:tcPr>
            <w:tcW w:w="3620" w:type="dxa"/>
            <w:vAlign w:val="bottom"/>
          </w:tcPr>
          <w:p>
            <w:pPr>
              <w:ind w:left="3040"/>
              <w:spacing w:after="0"/>
              <w:rPr>
                <w:sz w:val="20"/>
                <w:szCs w:val="20"/>
                <w:color w:val="auto"/>
              </w:rPr>
            </w:pPr>
            <w:r>
              <w:rPr>
                <w:rFonts w:ascii="Times New Roman" w:cs="Times New Roman" w:eastAsia="Times New Roman" w:hAnsi="Times New Roman"/>
                <w:sz w:val="22"/>
                <w:szCs w:val="22"/>
                <w:color w:val="auto"/>
              </w:rPr>
              <w:t>Title:</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President and CEO</w:t>
            </w:r>
          </w:p>
        </w:tc>
      </w:tr>
      <w:tr>
        <w:trPr>
          <w:trHeight w:val="20"/>
        </w:trPr>
        <w:tc>
          <w:tcPr>
            <w:tcW w:w="6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480"/>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6/2/22</w:t>
            </w:r>
          </w:p>
        </w:tc>
        <w:tc>
          <w:tcPr>
            <w:tcW w:w="3620" w:type="dxa"/>
            <w:vAlign w:val="bottom"/>
          </w:tcPr>
          <w:p>
            <w:pPr>
              <w:ind w:left="3040"/>
              <w:spacing w:after="0"/>
              <w:rPr>
                <w:sz w:val="20"/>
                <w:szCs w:val="20"/>
                <w:color w:val="auto"/>
              </w:rPr>
            </w:pPr>
            <w:r>
              <w:rPr>
                <w:rFonts w:ascii="Times New Roman" w:cs="Times New Roman" w:eastAsia="Times New Roman" w:hAnsi="Times New Roman"/>
                <w:sz w:val="22"/>
                <w:szCs w:val="22"/>
                <w:color w:val="auto"/>
              </w:rPr>
              <w:t>Date:</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9/29/21</w:t>
            </w:r>
          </w:p>
        </w:tc>
      </w:tr>
      <w:tr>
        <w:trPr>
          <w:trHeight w:val="20"/>
        </w:trPr>
        <w:tc>
          <w:tcPr>
            <w:tcW w:w="6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Blount Partnership</w:t>
      </w:r>
    </w:p>
    <w:p>
      <w:pPr>
        <w:spacing w:after="0" w:line="2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Bryan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10795</wp:posOffset>
            </wp:positionV>
            <wp:extent cx="22028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10795</wp:posOffset>
            </wp:positionV>
            <wp:extent cx="22028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9-29-2021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10795</wp:posOffset>
            </wp:positionV>
            <wp:extent cx="22028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10.119(a)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36" w:lineRule="exact"/>
        <w:rPr>
          <w:sz w:val="20"/>
          <w:szCs w:val="20"/>
          <w:color w:val="auto"/>
        </w:rPr>
      </w:pPr>
    </w:p>
    <w:p>
      <w:pPr>
        <w:ind w:right="340" w:firstLine="509"/>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AMENDED AND RESTATED EMPLOYMENT AGREEMENT </w:t>
      </w:r>
      <w:r>
        <w:rPr>
          <w:rFonts w:ascii="Times New Roman" w:cs="Times New Roman" w:eastAsia="Times New Roman" w:hAnsi="Times New Roman"/>
          <w:sz w:val="18"/>
          <w:szCs w:val="18"/>
          <w:color w:val="auto"/>
        </w:rPr>
        <w:t>effective as of the 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June 2025, by and between</w:t>
      </w:r>
      <w:r>
        <w:rPr>
          <w:rFonts w:ascii="Times New Roman" w:cs="Times New Roman" w:eastAsia="Times New Roman" w:hAnsi="Times New Roman"/>
          <w:sz w:val="18"/>
          <w:szCs w:val="18"/>
          <w:b w:val="1"/>
          <w:bCs w:val="1"/>
          <w:color w:val="auto"/>
        </w:rPr>
        <w:t xml:space="preserve"> SMITH &amp; WESSON BRANDS, INC. (formerly known as AMERICAN OUTDOOR BRANDS CORPORATION)</w:t>
      </w:r>
      <w:r>
        <w:rPr>
          <w:rFonts w:ascii="Times New Roman" w:cs="Times New Roman" w:eastAsia="Times New Roman" w:hAnsi="Times New Roman"/>
          <w:sz w:val="18"/>
          <w:szCs w:val="18"/>
          <w:color w:val="auto"/>
        </w:rPr>
        <w:t>, a Nevada corporation (“Employer”), and</w:t>
      </w:r>
      <w:r>
        <w:rPr>
          <w:rFonts w:ascii="Times New Roman" w:cs="Times New Roman" w:eastAsia="Times New Roman" w:hAnsi="Times New Roman"/>
          <w:sz w:val="18"/>
          <w:szCs w:val="18"/>
          <w:b w:val="1"/>
          <w:bCs w:val="1"/>
          <w:color w:val="auto"/>
        </w:rPr>
        <w:t xml:space="preserve"> MARK P. SMITH </w:t>
      </w:r>
      <w:r>
        <w:rPr>
          <w:rFonts w:ascii="Times New Roman" w:cs="Times New Roman" w:eastAsia="Times New Roman" w:hAnsi="Times New Roman"/>
          <w:sz w:val="18"/>
          <w:szCs w:val="18"/>
          <w:color w:val="auto"/>
        </w:rPr>
        <w:t>(“Employee”) (this “Agreement”).</w:t>
      </w:r>
    </w:p>
    <w:p>
      <w:pPr>
        <w:spacing w:after="0" w:line="205" w:lineRule="exact"/>
        <w:rPr>
          <w:sz w:val="20"/>
          <w:szCs w:val="20"/>
          <w:color w:val="auto"/>
        </w:rPr>
      </w:pPr>
    </w:p>
    <w:p>
      <w:pPr>
        <w:ind w:right="60" w:firstLine="509"/>
        <w:spacing w:after="0" w:line="22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Employer and Employee entered into an employment agreement, executed on April 4, 2020 and effective as of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(the “Prior Agreement”).</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Employer and Employee desire to amend and restate the Prior Agreement on the terms and conditions set forth herein.</w:t>
      </w:r>
    </w:p>
    <w:p>
      <w:pPr>
        <w:spacing w:after="0" w:line="225"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Employer desires to employ Employee as President and Chief Executive Officer, and Employee desires to accept such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conditions contained herein.</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of the mutual covenants set forth in this Agreement, the parties hereto agree as follows:</w:t>
      </w:r>
    </w:p>
    <w:p>
      <w:pPr>
        <w:spacing w:after="0" w:line="225"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Employer hereby employs Employee, and Employee hereby accepts such employment, as President and Chief Executive Officer of Employer and of such subsidiaries of Employer as Employer shall designate and in such other capacities and for such other duties and services as shall from time to time be mutually agreed upon by Employer and Employee. Employee shall report to the Board of Directors of Employer.</w:t>
      </w:r>
    </w:p>
    <w:p>
      <w:pPr>
        <w:spacing w:after="0" w:line="172"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Full Time Occupation and Other Activities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Employee shall devote Employee’s entire business time, attention, and efforts to the performance of Employee’s duties under this Agreement; shall serve Employer faithfully and diligently; and shall not engage in any other employment or other business activities while employed by Employer. The foregoing limitations shall not be construed as prohibiting Employee from serving as a director of one or more companies provided that (a) such company does not compete, directly or indirectly, with Employer; (b) participation on the board of such company does not significantly interfere with the performance of Employee’s responsibilities under this Agreement; (c) participation on the board of such company will not adversely affect the reputation of Employer; (d) such company shall maintain a policy of directors’ and officers’ liability insurance covering Employee on such terms and conditions and at a level of coverage that the Board of Directors of Employer determines to be reasonable for a company of such size; and (e) such company shall enter into an agreement to indemnify Employee, to the fullest extent permissible under applicable law, for expenses and damages in connection with claims against Employee in connection with service as a director of such company. In addition, the foregoing limitations shall not prohibit Employee from participating in or having an interest in a company as long as it does not interfere with Employee’s duties under this Agreement.</w:t>
      </w:r>
    </w:p>
    <w:p>
      <w:pPr>
        <w:spacing w:after="0" w:line="190"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other Benefits During Term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161"/>
        <w:spacing w:after="0" w:line="291" w:lineRule="auto"/>
        <w:tabs>
          <w:tab w:leader="none" w:pos="1532"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Base Salary</w:t>
      </w:r>
      <w:r>
        <w:rPr>
          <w:rFonts w:ascii="Times New Roman" w:cs="Times New Roman" w:eastAsia="Times New Roman" w:hAnsi="Times New Roman"/>
          <w:sz w:val="17"/>
          <w:szCs w:val="17"/>
          <w:color w:val="auto"/>
        </w:rPr>
        <w:t>. Employer shall pay to Employee a base salary to be paid in equal monthly installments, or in such other periodic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installments upon which Employer or a designated committee of the Board of Directors and Employee or a designated committee of the Board of Directors shall mutually agree. As of the date of this Agreement, Employee’s current base salary is $850,000 per annum. By action and in the sole discretion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3" w:name="page114"/>
    <w:bookmarkEnd w:id="113"/>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Board of Directors of Employer or a designated committee of the Board of Directors, the base salary will be subject to annual review and may be increased based on performance of Employer and Employee.</w:t>
      </w:r>
    </w:p>
    <w:p>
      <w:pPr>
        <w:spacing w:after="0" w:line="158" w:lineRule="exact"/>
        <w:rPr>
          <w:sz w:val="20"/>
          <w:szCs w:val="20"/>
          <w:color w:val="auto"/>
        </w:rPr>
      </w:pPr>
    </w:p>
    <w:p>
      <w:pPr>
        <w:ind w:firstLine="1161"/>
        <w:spacing w:after="0" w:line="259" w:lineRule="auto"/>
        <w:tabs>
          <w:tab w:leader="none" w:pos="154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Employee shall be eligible to participate in executive compensation programs maintained by Employer for its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Employee also shall be eligible to receive an annual bonus in such an amount, if any, determined by the Board of Directors of Employer or such committee of the Board of Directors as may be designated by the Board of Directors based upon achievement of performance goals and any other such factors as may be deemed relevant by the Board of Directors or committee thereof, which bonus opportunity shall not be less than 100% of base salary nor more than 200% of base salary beginning in fiscal 2021.</w:t>
      </w:r>
    </w:p>
    <w:p>
      <w:pPr>
        <w:spacing w:after="0" w:line="179" w:lineRule="exact"/>
        <w:rPr>
          <w:rFonts w:ascii="Times New Roman" w:cs="Times New Roman" w:eastAsia="Times New Roman" w:hAnsi="Times New Roman"/>
          <w:sz w:val="18"/>
          <w:szCs w:val="18"/>
          <w:color w:val="auto"/>
        </w:rPr>
      </w:pPr>
    </w:p>
    <w:p>
      <w:pPr>
        <w:ind w:right="300" w:firstLine="1154"/>
        <w:spacing w:after="0" w:line="268" w:lineRule="auto"/>
        <w:tabs>
          <w:tab w:leader="none" w:pos="152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Stock-Based Compensation and Awards</w:t>
      </w:r>
      <w:r>
        <w:rPr>
          <w:rFonts w:ascii="Times New Roman" w:cs="Times New Roman" w:eastAsia="Times New Roman" w:hAnsi="Times New Roman"/>
          <w:sz w:val="18"/>
          <w:szCs w:val="18"/>
          <w:color w:val="auto"/>
        </w:rPr>
        <w:t>. Employee may receive annual or periodic stock-based compensation awards,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such awards granted and the terms and conditions thereof to be determined from time to time by and in the sole discretion of the Board of Directors of Employer or a committee thereof.</w:t>
      </w:r>
    </w:p>
    <w:p>
      <w:pPr>
        <w:spacing w:after="0" w:line="170" w:lineRule="exact"/>
        <w:rPr>
          <w:rFonts w:ascii="Times New Roman" w:cs="Times New Roman" w:eastAsia="Times New Roman" w:hAnsi="Times New Roman"/>
          <w:sz w:val="18"/>
          <w:szCs w:val="18"/>
          <w:color w:val="auto"/>
        </w:rPr>
      </w:pPr>
    </w:p>
    <w:p>
      <w:pPr>
        <w:jc w:val="both"/>
        <w:ind w:right="200" w:firstLine="1154"/>
        <w:spacing w:after="0" w:line="262" w:lineRule="auto"/>
        <w:tabs>
          <w:tab w:leader="none" w:pos="153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Fringe Benefits</w:t>
      </w:r>
      <w:r>
        <w:rPr>
          <w:rFonts w:ascii="Times New Roman" w:cs="Times New Roman" w:eastAsia="Times New Roman" w:hAnsi="Times New Roman"/>
          <w:sz w:val="18"/>
          <w:szCs w:val="18"/>
          <w:color w:val="auto"/>
        </w:rPr>
        <w:t>. Employee shall receive a car allowance of $1,500 per month. Employee also shall be entitled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insurance, pension, retirement, vacation, expense reimbursement, and other plans, programs, and benefits approved by the Board of Directors or a committee designated by the Board of Directors and made available from time to time to executive employees of Employer generally during the term of Employee’s employment hereunder. The foregoing shall not obligate Employer to adopt or maintain any particular plan, program, or benefit.</w:t>
      </w:r>
    </w:p>
    <w:p>
      <w:pPr>
        <w:spacing w:after="0" w:line="176" w:lineRule="exact"/>
        <w:rPr>
          <w:rFonts w:ascii="Times New Roman" w:cs="Times New Roman" w:eastAsia="Times New Roman" w:hAnsi="Times New Roman"/>
          <w:sz w:val="18"/>
          <w:szCs w:val="18"/>
          <w:color w:val="auto"/>
        </w:rPr>
      </w:pPr>
    </w:p>
    <w:p>
      <w:pPr>
        <w:ind w:right="40" w:firstLine="1154"/>
        <w:spacing w:after="0" w:line="286" w:lineRule="auto"/>
        <w:tabs>
          <w:tab w:leader="none" w:pos="152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Vacation</w:t>
      </w:r>
      <w:r>
        <w:rPr>
          <w:rFonts w:ascii="Times New Roman" w:cs="Times New Roman" w:eastAsia="Times New Roman" w:hAnsi="Times New Roman"/>
          <w:sz w:val="18"/>
          <w:szCs w:val="18"/>
          <w:color w:val="auto"/>
        </w:rPr>
        <w:t>. Employee shall be entitled to a paid vacation in accordance with the applicable policies of Employer in effect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but not less than four weeks of paid vacation per annum.</w:t>
      </w:r>
    </w:p>
    <w:p>
      <w:pPr>
        <w:spacing w:after="0" w:line="154" w:lineRule="exact"/>
        <w:rPr>
          <w:rFonts w:ascii="Times New Roman" w:cs="Times New Roman" w:eastAsia="Times New Roman" w:hAnsi="Times New Roman"/>
          <w:sz w:val="18"/>
          <w:szCs w:val="18"/>
          <w:color w:val="auto"/>
        </w:rPr>
      </w:pPr>
    </w:p>
    <w:p>
      <w:pPr>
        <w:ind w:right="20" w:firstLine="1154"/>
        <w:spacing w:after="0" w:line="259" w:lineRule="auto"/>
        <w:tabs>
          <w:tab w:leader="none" w:pos="150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Reimbursement for Business Expenses</w:t>
      </w:r>
      <w:r>
        <w:rPr>
          <w:rFonts w:ascii="Times New Roman" w:cs="Times New Roman" w:eastAsia="Times New Roman" w:hAnsi="Times New Roman"/>
          <w:sz w:val="18"/>
          <w:szCs w:val="18"/>
          <w:color w:val="auto"/>
        </w:rPr>
        <w:t>. Employer shall reimburse Employee for all travel, entertainment, and other ordinary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business expenses incurred by Employee in connection with the business of Employer and Employee’s duties under this Agreement. The term “business expenses” shall not include any item not deductible in whole or in part by Employer for federal income tax purposes. To obtain reimbursement, Employee shall submit to Employer receipts, bills, or sales slips for the expenses incurred. Reimbursements shall be made by Employer monthly within 10 days of presentation by Employee of evidence of the expenses incurred.</w:t>
      </w:r>
    </w:p>
    <w:p>
      <w:pPr>
        <w:spacing w:after="0" w:line="179" w:lineRule="exact"/>
        <w:rPr>
          <w:rFonts w:ascii="Times New Roman" w:cs="Times New Roman" w:eastAsia="Times New Roman" w:hAnsi="Times New Roman"/>
          <w:sz w:val="18"/>
          <w:szCs w:val="18"/>
          <w:color w:val="auto"/>
        </w:rPr>
      </w:pPr>
    </w:p>
    <w:p>
      <w:pPr>
        <w:jc w:val="both"/>
        <w:ind w:right="420" w:firstLine="1154"/>
        <w:spacing w:after="0" w:line="268" w:lineRule="auto"/>
        <w:tabs>
          <w:tab w:leader="none" w:pos="153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Person Insurance</w:t>
      </w:r>
      <w:r>
        <w:rPr>
          <w:rFonts w:ascii="Times New Roman" w:cs="Times New Roman" w:eastAsia="Times New Roman" w:hAnsi="Times New Roman"/>
          <w:sz w:val="18"/>
          <w:szCs w:val="18"/>
          <w:color w:val="auto"/>
        </w:rPr>
        <w:t>. Employer (or a committee designated by the Board of Directors) and Employee from time to time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a mutually acceptable plan to reimburse Employee for the reasonable premiums (and taxes incident thereto) for a key person term-insurance policy on the life of Employee with such beneficiaries as Employee shall select.</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60" w:firstLine="1161"/>
        <w:spacing w:after="0" w:line="286" w:lineRule="auto"/>
        <w:tabs>
          <w:tab w:leader="none" w:pos="153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Term</w:t>
      </w:r>
      <w:r>
        <w:rPr>
          <w:rFonts w:ascii="Times New Roman" w:cs="Times New Roman" w:eastAsia="Times New Roman" w:hAnsi="Times New Roman"/>
          <w:sz w:val="18"/>
          <w:szCs w:val="18"/>
          <w:color w:val="auto"/>
        </w:rPr>
        <w:t>. The term of this Agreement shall be for a period commencing as of January 15, 2020 and continuing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pursuant to Section 4(b) below.</w:t>
      </w:r>
    </w:p>
    <w:p>
      <w:pPr>
        <w:spacing w:after="0" w:line="154" w:lineRule="exact"/>
        <w:rPr>
          <w:rFonts w:ascii="Times New Roman" w:cs="Times New Roman" w:eastAsia="Times New Roman" w:hAnsi="Times New Roman"/>
          <w:sz w:val="18"/>
          <w:szCs w:val="18"/>
          <w:color w:val="auto"/>
        </w:rPr>
      </w:pPr>
    </w:p>
    <w:p>
      <w:pPr>
        <w:ind w:left="1540" w:hanging="386"/>
        <w:spacing w:after="0"/>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Under Certain Circumstances</w:t>
      </w:r>
      <w:r>
        <w:rPr>
          <w:rFonts w:ascii="Times New Roman" w:cs="Times New Roman" w:eastAsia="Times New Roman" w:hAnsi="Times New Roman"/>
          <w:sz w:val="18"/>
          <w:szCs w:val="18"/>
          <w:color w:val="auto"/>
        </w:rPr>
        <w:t>. Notwithstanding anything to the contrary herein contained:</w:t>
      </w:r>
    </w:p>
    <w:p>
      <w:pPr>
        <w:spacing w:after="0" w:line="225" w:lineRule="exact"/>
        <w:rPr>
          <w:rFonts w:ascii="Times New Roman" w:cs="Times New Roman" w:eastAsia="Times New Roman" w:hAnsi="Times New Roman"/>
          <w:sz w:val="18"/>
          <w:szCs w:val="18"/>
          <w:color w:val="auto"/>
        </w:rPr>
      </w:pPr>
    </w:p>
    <w:p>
      <w:pPr>
        <w:ind w:left="2020" w:hanging="357"/>
        <w:spacing w:after="0"/>
        <w:tabs>
          <w:tab w:leader="none" w:pos="20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w:t>
      </w:r>
      <w:r>
        <w:rPr>
          <w:rFonts w:ascii="Times New Roman" w:cs="Times New Roman" w:eastAsia="Times New Roman" w:hAnsi="Times New Roman"/>
          <w:sz w:val="18"/>
          <w:szCs w:val="18"/>
          <w:color w:val="auto"/>
        </w:rPr>
        <w:t>. Employee’s employment shall be automatically terminated, without notice, effective upon the date of Employee’s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w:t>
      </w:r>
    </w:p>
    <w:p>
      <w:pPr>
        <w:spacing w:after="0" w:line="202" w:lineRule="exact"/>
        <w:rPr>
          <w:rFonts w:ascii="Times New Roman" w:cs="Times New Roman" w:eastAsia="Times New Roman" w:hAnsi="Times New Roman"/>
          <w:sz w:val="18"/>
          <w:szCs w:val="18"/>
          <w:color w:val="auto"/>
        </w:rPr>
      </w:pPr>
    </w:p>
    <w:p>
      <w:pPr>
        <w:ind w:right="80" w:firstLine="1655"/>
        <w:spacing w:after="0" w:line="268" w:lineRule="auto"/>
        <w:tabs>
          <w:tab w:leader="none" w:pos="2047"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If Employee shall fail, for a period of more than 60 consecutive days, or for 90 days within any 180-day period,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any of Employee’s duties under this Agreement as the result of illness or other incapacity, Employer, at its option and upon written notice to Employee, may terminate Employee’s employment effective on the date of that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4" w:name="page115"/>
    <w:bookmarkEnd w:id="114"/>
    <w:p>
      <w:pPr>
        <w:spacing w:after="0" w:line="190" w:lineRule="exact"/>
        <w:rPr>
          <w:sz w:val="20"/>
          <w:szCs w:val="20"/>
          <w:color w:val="auto"/>
        </w:rPr>
      </w:pPr>
    </w:p>
    <w:p>
      <w:pPr>
        <w:ind w:left="-1120" w:right="420" w:firstLine="1655"/>
        <w:spacing w:after="0" w:line="286" w:lineRule="auto"/>
        <w:tabs>
          <w:tab w:leader="none" w:pos="97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Unilateral Decision of Employer. </w:t>
      </w:r>
      <w:r>
        <w:rPr>
          <w:rFonts w:ascii="Times New Roman" w:cs="Times New Roman" w:eastAsia="Times New Roman" w:hAnsi="Times New Roman"/>
          <w:sz w:val="18"/>
          <w:szCs w:val="18"/>
          <w:color w:val="auto"/>
        </w:rPr>
        <w:t>Employer, at its option, upon written notice to Employee, may terminate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other than for Certain Acts (as defined in Section 4(b)(v) below) effective on the date of that notice.</w:t>
      </w:r>
    </w:p>
    <w:p>
      <w:pPr>
        <w:spacing w:after="0" w:line="154" w:lineRule="exact"/>
        <w:rPr>
          <w:rFonts w:ascii="Times New Roman" w:cs="Times New Roman" w:eastAsia="Times New Roman" w:hAnsi="Times New Roman"/>
          <w:sz w:val="18"/>
          <w:szCs w:val="18"/>
          <w:color w:val="auto"/>
        </w:rPr>
      </w:pPr>
    </w:p>
    <w:p>
      <w:pPr>
        <w:ind w:left="-1120" w:right="360" w:firstLine="1655"/>
        <w:spacing w:after="0" w:line="286" w:lineRule="auto"/>
        <w:tabs>
          <w:tab w:leader="none" w:pos="96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Unilateral Decision by Employee</w:t>
      </w:r>
      <w:r>
        <w:rPr>
          <w:rFonts w:ascii="Times New Roman" w:cs="Times New Roman" w:eastAsia="Times New Roman" w:hAnsi="Times New Roman"/>
          <w:sz w:val="18"/>
          <w:szCs w:val="18"/>
          <w:color w:val="auto"/>
        </w:rPr>
        <w:t>. Employee, at Employee’s option and upon written notice to Employer, may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effective on the date of that notice.</w:t>
      </w:r>
    </w:p>
    <w:p>
      <w:pPr>
        <w:spacing w:after="0" w:line="154" w:lineRule="exact"/>
        <w:rPr>
          <w:rFonts w:ascii="Times New Roman" w:cs="Times New Roman" w:eastAsia="Times New Roman" w:hAnsi="Times New Roman"/>
          <w:sz w:val="18"/>
          <w:szCs w:val="18"/>
          <w:color w:val="auto"/>
        </w:rPr>
      </w:pPr>
    </w:p>
    <w:p>
      <w:pPr>
        <w:ind w:left="-1120" w:right="80" w:firstLine="1663"/>
        <w:spacing w:after="0" w:line="257" w:lineRule="auto"/>
        <w:tabs>
          <w:tab w:leader="none" w:pos="9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Acts</w:t>
      </w:r>
      <w:r>
        <w:rPr>
          <w:rFonts w:ascii="Times New Roman" w:cs="Times New Roman" w:eastAsia="Times New Roman" w:hAnsi="Times New Roman"/>
          <w:sz w:val="18"/>
          <w:szCs w:val="18"/>
          <w:color w:val="auto"/>
        </w:rPr>
        <w:t>. If Employee engages in an act or acts involving a crime, moral turpitude, fraud, or dishonesty, or if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willfully violates in a material respect Employer’s Corporate Governance Guidelines, Code of Conduct, or Code of Ethics for the CEO and Senior Financial Officers, including, without limitation, the provisions thereof relating to conflicts of interest or related party transactions, Employer, at its option and upon written notice to Employee, may terminate Employee’s employment effective on the date of that notice, provided that Employer may not terminate Employee pursuant to this provision for a violation of Employer’s guidelines or policies unless Employer has first delivered a written demand to Employee that specifically identifies the violation and Employee has failed to cure the violation within 30 days after receiving such written notice.</w:t>
      </w:r>
    </w:p>
    <w:p>
      <w:pPr>
        <w:spacing w:after="0" w:line="182" w:lineRule="exact"/>
        <w:rPr>
          <w:rFonts w:ascii="Times New Roman" w:cs="Times New Roman" w:eastAsia="Times New Roman" w:hAnsi="Times New Roman"/>
          <w:sz w:val="18"/>
          <w:szCs w:val="18"/>
          <w:color w:val="auto"/>
        </w:rPr>
      </w:pPr>
    </w:p>
    <w:p>
      <w:pPr>
        <w:ind w:left="-1120" w:right="60" w:firstLine="1663"/>
        <w:spacing w:after="0" w:line="255" w:lineRule="auto"/>
        <w:tabs>
          <w:tab w:leader="none" w:pos="9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In the event of a “Change in Control” of Employer (as defined below), Employee, at Employee’s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upon written notice to Employer, may terminate Employee’s employment effective on the date of the notice (which shall not constitute a unilateral decision by Employee under Section 4(b)(iv) above) unless (A) the provisions of this Agreement remain in full force and effect as to Employee and (B) Employee suffers no reduction in Employee’s status, duties, authority, or compensation following such Change in Control, provided that Employee will be considered to suffer a reduction in Employee’s status, duties, authority, if, after the Change in Control, (1) Employee is not the chief executive officer of the company that succeeds to the business of Employer, (2) such company’s common stock is not listed on a national stock exchange (such as the New York Stock Exchange, the Nasdaq National Market, or the American Stock Exchange), or (3) such company terminates Employee or reduces Employee’s status, duties, authority, or compensation within 24 months of the Change in Control.</w:t>
      </w:r>
    </w:p>
    <w:p>
      <w:pPr>
        <w:spacing w:after="0" w:line="184" w:lineRule="exact"/>
        <w:rPr>
          <w:rFonts w:ascii="Times New Roman" w:cs="Times New Roman" w:eastAsia="Times New Roman" w:hAnsi="Times New Roman"/>
          <w:sz w:val="18"/>
          <w:szCs w:val="18"/>
          <w:color w:val="auto"/>
        </w:rPr>
      </w:pPr>
    </w:p>
    <w:p>
      <w:pPr>
        <w:ind w:left="420" w:hanging="379"/>
        <w:spacing w:after="0"/>
        <w:tabs>
          <w:tab w:leader="none" w:pos="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 of Termination.</w:t>
      </w:r>
    </w:p>
    <w:p>
      <w:pPr>
        <w:spacing w:after="0" w:line="229" w:lineRule="exact"/>
        <w:rPr>
          <w:rFonts w:ascii="Times New Roman" w:cs="Times New Roman" w:eastAsia="Times New Roman" w:hAnsi="Times New Roman"/>
          <w:sz w:val="18"/>
          <w:szCs w:val="18"/>
          <w:color w:val="auto"/>
        </w:rPr>
      </w:pPr>
    </w:p>
    <w:p>
      <w:pPr>
        <w:ind w:left="-1120" w:firstLine="1655"/>
        <w:spacing w:after="0" w:line="266" w:lineRule="auto"/>
        <w:tabs>
          <w:tab w:leader="none" w:pos="87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in the event of the termination of Employee’s employment pursuant to Sections 4(b)(i) (“Death”), 4(b)(ii) (“Disability”), 4(b)(iv) (“Unilateral Decision by Employee”), or 4(b)(v) (“Certain Acts”) above, Employee shall receive no further compensation under this Agreement.</w:t>
      </w:r>
    </w:p>
    <w:p>
      <w:pPr>
        <w:spacing w:after="0" w:line="175" w:lineRule="exact"/>
        <w:rPr>
          <w:rFonts w:ascii="Times New Roman" w:cs="Times New Roman" w:eastAsia="Times New Roman" w:hAnsi="Times New Roman"/>
          <w:sz w:val="18"/>
          <w:szCs w:val="18"/>
          <w:color w:val="auto"/>
        </w:rPr>
      </w:pPr>
    </w:p>
    <w:p>
      <w:pPr>
        <w:ind w:left="-1120" w:firstLine="1663"/>
        <w:spacing w:after="0" w:line="253" w:lineRule="auto"/>
        <w:tabs>
          <w:tab w:leader="none" w:pos="93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Employee’s employment pursuant to Section 4(b)(iii) (“Unilateral Decision of Employer”) above, Employee shall (A) for a period of 18 months after the effective date of the termination, continue to receive Employee’s base salary as provided in Section 3(a) above; (B) receive a pro rata portion of Employee’s annual cash bonus for the fiscal year in which the termination occurs to the extent earned under the then applicable Executive Annual Cash Incentive Program, such amount to be calculated based on the amount that would have been paid for such full fiscal year in the absence of the termination multiplied by the fraction, the numerator of which is the number of days in such fiscal year prior to the effective date of the termination and the denominator of which is 360 and such amount to be paid in accordance with the provisions of such plan; (C) receive the car allowance for a period of 18 months after the effective date of the termination and, at Employer’s option, either (x) receive coverage under Employer’s medical plan to the extent provided for Employee pursuant to Section 3(d) above at the effective date of the termination, such benefits to be received over the period of 18 months after the effective date of the termination, or (y) receive reimbursement for the COBRA premium for such coverage through the earlier of such 18-month period or the COBRA eligibility period; and (D) have vested a pro rata portion of stock-based awards scheduled to vest in the fiscal year of the termination in an amount equal to the amount of such stock-based compensation vesting in such fiscal year multiplied by the fraction, the numerator of which is the number of days in such fiscal year prior to the effective date of the termination and the denominator of which is 360.</w:t>
      </w:r>
    </w:p>
    <w:p>
      <w:pPr>
        <w:spacing w:after="0" w:line="189" w:lineRule="exact"/>
        <w:rPr>
          <w:rFonts w:ascii="Times New Roman" w:cs="Times New Roman" w:eastAsia="Times New Roman" w:hAnsi="Times New Roman"/>
          <w:sz w:val="18"/>
          <w:szCs w:val="18"/>
          <w:color w:val="auto"/>
        </w:rPr>
      </w:pPr>
    </w:p>
    <w:p>
      <w:pPr>
        <w:ind w:left="-1120" w:right="320" w:firstLine="1655"/>
        <w:spacing w:after="0" w:line="266" w:lineRule="auto"/>
        <w:tabs>
          <w:tab w:leader="none" w:pos="97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Employee’s employment pursuant to Section 4(b)(vi) (“Change in Control”) above, Employee shall (A) for a period of 24 months after the effective date of the termination, continue to receive Employee’s then base salary as provided in Section 3(a) above; (B) receive a lump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864870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115" w:name="page116"/>
    <w:bookmarkEnd w:id="115"/>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sum equal to two times the Employee’s annual cash bonus under the then applicable Executive Annual Cash Incentive Program in which the Employee participates, deemed payable at target, for the fiscal year in which the Employee’s termination or resignation occurs; (C) receive the car allowance for a period of 24 months after the effective date of the termination; and (D), at Employer’s option, either (x) receive coverage under Employer’s medical plan to the extent provided for Employee pursuant to Section 3(d) above at the effective date of the termination, such benefits to be received over a period of 24 months after the effective date of the termination, or, (y) receive reimbursement for the COBRA premium for such coverage through the earlier of such 24-month period or the COBRA eligibility period. In addition, all unvested stock-based compensation held by Employee in his capacity as Employee on the effective date of the termination shall vest as of the effective date of such termination.</w:t>
      </w:r>
    </w:p>
    <w:p>
      <w:pPr>
        <w:spacing w:after="0" w:line="189" w:lineRule="exact"/>
        <w:rPr>
          <w:sz w:val="20"/>
          <w:szCs w:val="20"/>
          <w:color w:val="auto"/>
        </w:rPr>
      </w:pPr>
    </w:p>
    <w:p>
      <w:pPr>
        <w:ind w:right="80" w:firstLine="1663"/>
        <w:spacing w:after="0" w:line="261" w:lineRule="auto"/>
        <w:tabs>
          <w:tab w:leader="none" w:pos="20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Employee’s employment pursuant to Sections 4(b)(i) (“Death”) or 4(b)(ii) (“Disability”) above, Employee shall receive, for the fiscal year of the notice of termination, any earned bonus, on a pro-rated basis, based on the performance goals actually achieved for the fiscal year of the notice of termination, as determined in the sole discretion of the Board of Directors of Employer or a designated committee of the Board of Directors, at the time such bonuses are paid to other employees.</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All payments by Employer to Employee hereunder are subject to Employee executing Employer’s standard release of claims. Any payments made by Employer pursuant to this Section 4(c) shall be paid on a monthly basis beginning on the first payroll date following Employee’s Separation from Service within the meaning of Section 409A of the Internal Revenue Code of 1986, as amended (“Section 409A”), and not in a lump sum and shall be treated as a series of separate payments for purposes of Section 409A. Employee shall receive no additional compensation following any termination except as provided herein. In the event of any termination, Employee shall resign all positions (including positions on the Board of Directors) with Employer and its subsidiaries. If Employee is a “specified employee” within the meaning of Section 409A, then payments shall not commence until six months following Employee’s separation from service to the extent necessary to avoid the imposition of the additional 20% tax under Section 409A (and in the case of installment payments, the first payment shall include all installment payments required by this subsection that otherwise would have been made during such six-month period). Upon the date such payment would otherwise commence, Employer shall reimburse Employee for such payments, to the extent that such payments otherwise would have been paid by Employer had such payments commenced upon Employee’s termination of employment. Any remaining payments shall be provided by Employer in accordance with the schedule and procedures specified herein. This Agreement is intended to satisfy the requirements of Section 409A with respect to amounts subject thereto, and shall be interpreted and construed consistent with such intent. Except as provided otherwise herein, no reimbursement payable to Employee pursuant to any provisions of this Agreement or pursuant to any plan or arrangement of Employer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w:t>
      </w:r>
    </w:p>
    <w:p>
      <w:pPr>
        <w:spacing w:after="0" w:line="191" w:lineRule="exact"/>
        <w:rPr>
          <w:sz w:val="20"/>
          <w:szCs w:val="20"/>
          <w:color w:val="auto"/>
        </w:rPr>
      </w:pPr>
    </w:p>
    <w:p>
      <w:pPr>
        <w:ind w:firstLine="1161"/>
        <w:spacing w:after="0" w:line="252" w:lineRule="auto"/>
        <w:tabs>
          <w:tab w:leader="none" w:pos="154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The term “Change in Control” of Employer shall mean a change in control of a nature that would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reported in response to Item 6(e) of Schedule 14A of Regulation 14A promulgated under the Securities Exchange Act of 1934 as in effect on the date of this Agreement or, if Item 6(e) is no longer in effect, any regulations issued by the Securities and Exchange Commission pursuant to the Securities Exchange Act of 1934 that serve similar purposes; provided that, without limitation, such a Change in Control shall be deemed to have occurred if and when (i) any person (as such term is used in Sections 13(d) and 14(d)(2) of the Securities Exchange Act of 1934) becomes the “beneficial owner” (as defined in Rule 13d-3 under the Securities Exchange Act of 1934) directly or indirectly of equity securities of Employer representing 20 percent or more of the combined voting power of Employer’s then-outstanding equity securities, except that this provision shall not apply to any person currently owning at least five percent or more of the combined voting power of Employer’s currently outstanding equity securities or to an acquisition of up to 20 percent of the then-outstanding voting securities that has been approved by at least 75 percent of the members of the Board of Directors who are not affiliates or associates of such person; (ii) during the period of this Agreement, individuals who, at the beginning of such period, constituted the Board of Directors of Employer (the “Original Directors”), cease for any reason to constitute at least a majority thereof unless the election or nomination for election of each new director was approved (an “Approved Director”) by the vote of a Board of Directors constituted entirely of Original Directors and/or Approved Directors;</w:t>
      </w:r>
    </w:p>
    <w:p>
      <w:pPr>
        <w:spacing w:after="0" w:line="6" w:lineRule="exact"/>
        <w:rPr>
          <w:rFonts w:ascii="Times New Roman" w:cs="Times New Roman" w:eastAsia="Times New Roman" w:hAnsi="Times New Roman"/>
          <w:sz w:val="18"/>
          <w:szCs w:val="18"/>
          <w:color w:val="auto"/>
        </w:rPr>
      </w:pPr>
    </w:p>
    <w:p>
      <w:pPr>
        <w:ind w:right="160" w:firstLine="8"/>
        <w:spacing w:after="0" w:line="260" w:lineRule="auto"/>
        <w:tabs>
          <w:tab w:leader="none" w:pos="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or exchange offer is made whereby the effect of such offer is to take over and control Employer, and such offer is consummated for the equity securities of Employer representing 20 percent or more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combined voting power of Employer’s then-outstanding voting securities; (iv) Employer is merged, consolidated, or enters into a reorganization transaction with another person and, as the result of such merger, consolidation, or reorganization, less than 75 percent of the outstanding equity securities of the surviving or resulting person shall then be owned in the aggregate by the former stockholders of Employer; or (v) Employer transfers substantially all of its assets to another person or entity that is not a wholly owned subsidiary of Employer. Sales of Employer’s Common Stock beneficially owned or controlled by Employee shall not be considered in determining whether a Change in Control has occurred.</w:t>
      </w:r>
    </w:p>
    <w:p>
      <w:pPr>
        <w:spacing w:after="0" w:line="179"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 and Confidential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161"/>
        <w:spacing w:after="0" w:line="254" w:lineRule="auto"/>
        <w:tabs>
          <w:tab w:leader="none" w:pos="153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Interests to be Protected</w:t>
      </w:r>
      <w:r>
        <w:rPr>
          <w:rFonts w:ascii="Times New Roman" w:cs="Times New Roman" w:eastAsia="Times New Roman" w:hAnsi="Times New Roman"/>
          <w:sz w:val="18"/>
          <w:szCs w:val="18"/>
          <w:color w:val="auto"/>
        </w:rPr>
        <w:t>. The parties acknowledge that Employee will perform essential services for Employer, its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stockholders during the term of Employee’s employment with Employer. Employee will be exposed to, have access to, and work with, a considerable amount of Confidential Information (as defined below). The parties also expressly recognize and acknowledge that the personnel of Employer have been trained by, and are valuable to, Employer and that Employer will incur substantial recruiting and training expenses if Employer must hire new personnel or retrain existing personnel to fill vacancies. The parties expressly recognize that it could seriously impair the goodwill and diminish the value of Employer’s business should Employee compete with Employer in any manner whatsoever. The parties acknowledge that this covenant has an extended duration; however, they agree that this covenant is reasonable and it is necessary for the protection of Employer, its stockholders, and employees. For these and other reasons, and the fact that there are many other employment opportunities available to Employee if his employment is terminated, the parties are in full and complete agreement that the following restrictive covenants are fair and reasonable and are entered into freely, voluntarily, and knowingly. Furthermore, each party was given the opportunity to consult with independent legal counsel before entering into this Agreement.</w:t>
      </w:r>
    </w:p>
    <w:p>
      <w:pPr>
        <w:spacing w:after="0" w:line="185" w:lineRule="exact"/>
        <w:rPr>
          <w:rFonts w:ascii="Times New Roman" w:cs="Times New Roman" w:eastAsia="Times New Roman" w:hAnsi="Times New Roman"/>
          <w:sz w:val="18"/>
          <w:szCs w:val="18"/>
          <w:color w:val="auto"/>
        </w:rPr>
      </w:pPr>
    </w:p>
    <w:p>
      <w:pPr>
        <w:ind w:firstLine="1154"/>
        <w:spacing w:after="0" w:line="256" w:lineRule="auto"/>
        <w:tabs>
          <w:tab w:leader="none" w:pos="153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Non-Competition</w:t>
      </w:r>
      <w:r>
        <w:rPr>
          <w:rFonts w:ascii="Times New Roman" w:cs="Times New Roman" w:eastAsia="Times New Roman" w:hAnsi="Times New Roman"/>
          <w:sz w:val="18"/>
          <w:szCs w:val="18"/>
          <w:color w:val="auto"/>
        </w:rPr>
        <w:t>. During the term of Employee’s employment with Employer and for the period of 18 months after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Employee’s employment with Employer, regardless of the reason therefor, Employee shall not (whether directly or indirectly, as owner, principal, agent, stockholder, director, officer, manager, employee, partner, participant, or in any other capacity) engage or become financially interested in any competitive business conducted within the Restricted Territory (as defined below). As used herein, the term “competitive business” shall mean any business that sells or provides or attempts to sell or provide products or services the same as or substantially similar to the products or services sold or provided by Employer during Employee’s employment hereunder, and the term “Restricted Territory” shall mean any state or other geographical area in which Employer sells products or provides services during Employee’s employment hereunder.</w:t>
      </w:r>
    </w:p>
    <w:p>
      <w:pPr>
        <w:spacing w:after="0" w:line="182" w:lineRule="exact"/>
        <w:rPr>
          <w:rFonts w:ascii="Times New Roman" w:cs="Times New Roman" w:eastAsia="Times New Roman" w:hAnsi="Times New Roman"/>
          <w:sz w:val="18"/>
          <w:szCs w:val="18"/>
          <w:color w:val="auto"/>
        </w:rPr>
      </w:pPr>
    </w:p>
    <w:p>
      <w:pPr>
        <w:ind w:right="80" w:firstLine="1154"/>
        <w:spacing w:after="0" w:line="259" w:lineRule="auto"/>
        <w:tabs>
          <w:tab w:leader="none" w:pos="15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of Employees</w:t>
      </w:r>
      <w:r>
        <w:rPr>
          <w:rFonts w:ascii="Times New Roman" w:cs="Times New Roman" w:eastAsia="Times New Roman" w:hAnsi="Times New Roman"/>
          <w:sz w:val="18"/>
          <w:szCs w:val="18"/>
          <w:color w:val="auto"/>
        </w:rPr>
        <w:t>. During the term of Employee’s employment and for a period of 18 months after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with Employer, regardless of the reason therefor, Employee shall not directly or indirectly, for Employee, or on behalf of, or in conjunction with, any other person, company, partnership, corporation, or governmental entity, solicit for employment, seek to hire, or hire any person or persons who is employed by or was employed by Employer within 12 months of the termination of Employee’s employment for the purpose of having any such employee engage in services that are the same as or similar or related to the services that such employee provided for Employer.</w:t>
      </w:r>
    </w:p>
    <w:p>
      <w:pPr>
        <w:spacing w:after="0" w:line="179" w:lineRule="exact"/>
        <w:rPr>
          <w:rFonts w:ascii="Times New Roman" w:cs="Times New Roman" w:eastAsia="Times New Roman" w:hAnsi="Times New Roman"/>
          <w:sz w:val="18"/>
          <w:szCs w:val="18"/>
          <w:color w:val="auto"/>
        </w:rPr>
      </w:pPr>
    </w:p>
    <w:p>
      <w:pPr>
        <w:ind w:right="80" w:firstLine="1154"/>
        <w:spacing w:after="0" w:line="255" w:lineRule="auto"/>
        <w:tabs>
          <w:tab w:leader="none" w:pos="153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Employee shall maintain in strict secrecy all confidential or trade secret information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Employer (the “Confidential Information”) obtained by Employee in the course of Employee’s employment, and Employee shall not, unless first authorized in writing by Employer, disclose to, or use for Employee’s benefit or for the benefit of, any person, firm, or entity at any time either during or subsequent to the term of Employee’s employment, any Confidential Information, except as required in the performance of Employee’s duties on behalf of Employer. For purposes hereof, Confidential Information shall include without limitation any materials, trade secrets, knowledge, or information with respect to management, operational, or investment policies and practices of Employer; any business methods or forms; any names or addresses of customers or data on customers or suppliers; and any business policies or other information relating to or dealing with the management, operational, or investment policies or practices of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0" w:lineRule="exact"/>
        <w:rPr>
          <w:sz w:val="20"/>
          <w:szCs w:val="20"/>
          <w:color w:val="auto"/>
        </w:rPr>
      </w:pPr>
    </w:p>
    <w:p>
      <w:pPr>
        <w:ind w:left="-517" w:right="120" w:firstLine="1161"/>
        <w:spacing w:after="0" w:line="259" w:lineRule="auto"/>
        <w:tabs>
          <w:tab w:leader="none" w:pos="101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Books, Records, Papers, and Equipment</w:t>
      </w:r>
      <w:r>
        <w:rPr>
          <w:rFonts w:ascii="Times New Roman" w:cs="Times New Roman" w:eastAsia="Times New Roman" w:hAnsi="Times New Roman"/>
          <w:sz w:val="18"/>
          <w:szCs w:val="18"/>
          <w:color w:val="auto"/>
        </w:rPr>
        <w:t>. Upon the termination of Employee’s employment with Employer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Employee shall deliver promptly to Employer all written and electronic files, lists, books, records, manuals, memoranda, drawings, and specifications; all cost, pricing, and other financial data; all other written or printed materials and computers, cell phones, PDAs, and other equipment that are the property of Employer (and any copies of them); and all other materials that may contain Confidential Information relating to the business of Employer, which Employee may then have in Employee’s possession or control, whether prepared by Employee or not.</w:t>
      </w:r>
    </w:p>
    <w:p>
      <w:pPr>
        <w:spacing w:after="0" w:line="179" w:lineRule="exact"/>
        <w:rPr>
          <w:rFonts w:ascii="Times New Roman" w:cs="Times New Roman" w:eastAsia="Times New Roman" w:hAnsi="Times New Roman"/>
          <w:sz w:val="18"/>
          <w:szCs w:val="18"/>
          <w:color w:val="auto"/>
        </w:rPr>
      </w:pPr>
    </w:p>
    <w:p>
      <w:pPr>
        <w:ind w:left="-517" w:right="80" w:firstLine="1154"/>
        <w:spacing w:after="0" w:line="268" w:lineRule="auto"/>
        <w:tabs>
          <w:tab w:leader="none" w:pos="9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Information</w:t>
      </w:r>
      <w:r>
        <w:rPr>
          <w:rFonts w:ascii="Times New Roman" w:cs="Times New Roman" w:eastAsia="Times New Roman" w:hAnsi="Times New Roman"/>
          <w:sz w:val="18"/>
          <w:szCs w:val="18"/>
          <w:color w:val="auto"/>
        </w:rPr>
        <w:t>. Employee shall disclose promptly to Employer, or its nominee, any and all ideas, designs, processes,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of any kind relating to the business of Employer, whether patentable or not, conceived or made by Employee, either alone or jointly with others, during working hours or otherwise, during the entire period of Employee’s employment with Employer or within six months thereafter.</w:t>
      </w:r>
    </w:p>
    <w:p>
      <w:pPr>
        <w:spacing w:after="0" w:line="170" w:lineRule="exact"/>
        <w:rPr>
          <w:rFonts w:ascii="Times New Roman" w:cs="Times New Roman" w:eastAsia="Times New Roman" w:hAnsi="Times New Roman"/>
          <w:sz w:val="18"/>
          <w:szCs w:val="18"/>
          <w:color w:val="auto"/>
        </w:rPr>
      </w:pPr>
    </w:p>
    <w:p>
      <w:pPr>
        <w:ind w:left="-517" w:right="20" w:firstLine="1154"/>
        <w:spacing w:after="0" w:line="268" w:lineRule="auto"/>
        <w:tabs>
          <w:tab w:leader="none" w:pos="101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Employee hereby assigns to Employer or its nominee, the entire right, title, and interest in and to all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discoveries, and improvements, whether patentable or not, that Employee may conceive or make during Employee’s employment with Employer, or within six months thereafter, and which relate to the business of Employer.</w:t>
      </w:r>
    </w:p>
    <w:p>
      <w:pPr>
        <w:spacing w:after="0" w:line="170" w:lineRule="exact"/>
        <w:rPr>
          <w:rFonts w:ascii="Times New Roman" w:cs="Times New Roman" w:eastAsia="Times New Roman" w:hAnsi="Times New Roman"/>
          <w:sz w:val="18"/>
          <w:szCs w:val="18"/>
          <w:color w:val="auto"/>
        </w:rPr>
      </w:pPr>
    </w:p>
    <w:p>
      <w:pPr>
        <w:ind w:left="-517" w:firstLine="1154"/>
        <w:spacing w:after="0" w:line="257" w:lineRule="auto"/>
        <w:tabs>
          <w:tab w:leader="none" w:pos="101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Equitable Relief</w:t>
      </w:r>
      <w:r>
        <w:rPr>
          <w:rFonts w:ascii="Times New Roman" w:cs="Times New Roman" w:eastAsia="Times New Roman" w:hAnsi="Times New Roman"/>
          <w:sz w:val="18"/>
          <w:szCs w:val="18"/>
          <w:color w:val="auto"/>
        </w:rPr>
        <w:t>. In the event a violation of any of the restrictions contained in this Section is established, Employer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preliminary and permanent injunctive relief as well as damages and an equitable accounting of all earnings, profits, and other benefits arising from such violation, which right shall be cumulative and in addition to any other rights or remedies to which Employer may be entitled. In the event of a violation of any provision of subsection (b), (c), (f), or (g) of this Section, the period for which those provisions would remain in effect shall be extended for a period of time equal to that period beginning when such violation commenced and ending when the activities constituting such violation shall have been finally terminated in good faith.</w:t>
      </w:r>
    </w:p>
    <w:p>
      <w:pPr>
        <w:spacing w:after="0" w:line="182" w:lineRule="exact"/>
        <w:rPr>
          <w:rFonts w:ascii="Times New Roman" w:cs="Times New Roman" w:eastAsia="Times New Roman" w:hAnsi="Times New Roman"/>
          <w:sz w:val="18"/>
          <w:szCs w:val="18"/>
          <w:color w:val="auto"/>
        </w:rPr>
      </w:pPr>
    </w:p>
    <w:p>
      <w:pPr>
        <w:ind w:left="-517" w:right="100" w:firstLine="1154"/>
        <w:spacing w:after="0" w:line="257" w:lineRule="auto"/>
        <w:tabs>
          <w:tab w:leader="none" w:pos="97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Separable</w:t>
      </w:r>
      <w:r>
        <w:rPr>
          <w:rFonts w:ascii="Times New Roman" w:cs="Times New Roman" w:eastAsia="Times New Roman" w:hAnsi="Times New Roman"/>
          <w:sz w:val="18"/>
          <w:szCs w:val="18"/>
          <w:color w:val="auto"/>
        </w:rPr>
        <w:t>. If the scope of any provision of this Agreement (whether in this Section 5 or otherwise) is found by a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too broad to permit enforcement to its full extent, then such provision shall be enforced to the maximum extent permitted by law. The parties agree that the scope of any provision of this Agreement may be modified by a judge in any proceeding to enforce this Agreement, so that such provision can be enforced to the maximum extent permitted by law. Each and every restriction set forth in this Section 5 is independent and severable from the others, and no such restriction shall be rendered unenforceable by virtue of the fact that, for any reason, any other or others of them may be unenforceable in whole or in part.</w:t>
      </w:r>
    </w:p>
    <w:p>
      <w:pPr>
        <w:spacing w:after="0" w:line="18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17" w:firstLine="1161"/>
        <w:spacing w:after="0" w:line="259" w:lineRule="auto"/>
        <w:tabs>
          <w:tab w:leader="none" w:pos="101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required or permitted under this Agreement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duly given, made, and received (i) if personally delivered, on the date of delivery, (ii) if by facsimile or e-mail transmission, upon receipt, (iii) if mailed, three days after deposit in the United States mail, registered or certified, return receipt requested, postage prepaid, and addressed as provided below, or (iv) if by a courier delivery service providing overnight or “next-day” delivery, on the next business day after deposit with such service addressed as follows:</w:t>
      </w:r>
    </w:p>
    <w:p>
      <w:pPr>
        <w:spacing w:after="0" w:line="75" w:lineRule="exact"/>
        <w:rPr>
          <w:sz w:val="20"/>
          <w:szCs w:val="20"/>
          <w:color w:val="auto"/>
        </w:rPr>
      </w:pPr>
    </w:p>
    <w:p>
      <w:pPr>
        <w:ind w:left="643"/>
        <w:spacing w:after="0"/>
        <w:tabs>
          <w:tab w:leader="none" w:pos="1003"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If to Employer:</w:t>
      </w:r>
    </w:p>
    <w:p>
      <w:pPr>
        <w:spacing w:after="0" w:line="225" w:lineRule="exact"/>
        <w:rPr>
          <w:sz w:val="20"/>
          <w:szCs w:val="20"/>
          <w:color w:val="auto"/>
        </w:rPr>
      </w:pPr>
    </w:p>
    <w:p>
      <w:pPr>
        <w:ind w:left="1503"/>
        <w:spacing w:after="0"/>
        <w:rPr>
          <w:sz w:val="20"/>
          <w:szCs w:val="20"/>
          <w:color w:val="auto"/>
        </w:rPr>
      </w:pPr>
      <w:r>
        <w:rPr>
          <w:rFonts w:ascii="Times New Roman" w:cs="Times New Roman" w:eastAsia="Times New Roman" w:hAnsi="Times New Roman"/>
          <w:sz w:val="18"/>
          <w:szCs w:val="18"/>
          <w:color w:val="auto"/>
        </w:rPr>
        <w:t>1852 Proffitt Springs Road</w:t>
      </w:r>
    </w:p>
    <w:p>
      <w:pPr>
        <w:spacing w:after="0" w:line="27" w:lineRule="exact"/>
        <w:rPr>
          <w:sz w:val="20"/>
          <w:szCs w:val="20"/>
          <w:color w:val="auto"/>
        </w:rPr>
      </w:pPr>
    </w:p>
    <w:p>
      <w:pPr>
        <w:ind w:left="1503"/>
        <w:spacing w:after="0"/>
        <w:rPr>
          <w:sz w:val="20"/>
          <w:szCs w:val="20"/>
          <w:color w:val="auto"/>
        </w:rPr>
      </w:pPr>
      <w:r>
        <w:rPr>
          <w:rFonts w:ascii="Times New Roman" w:cs="Times New Roman" w:eastAsia="Times New Roman" w:hAnsi="Times New Roman"/>
          <w:sz w:val="18"/>
          <w:szCs w:val="18"/>
          <w:color w:val="auto"/>
        </w:rPr>
        <w:t>Maryville, Tennessee 37801</w:t>
      </w:r>
    </w:p>
    <w:p>
      <w:pPr>
        <w:spacing w:after="0" w:line="9" w:lineRule="exact"/>
        <w:rPr>
          <w:sz w:val="20"/>
          <w:szCs w:val="20"/>
          <w:color w:val="auto"/>
        </w:rPr>
      </w:pPr>
    </w:p>
    <w:p>
      <w:pPr>
        <w:ind w:left="1503"/>
        <w:spacing w:after="0"/>
        <w:rPr>
          <w:sz w:val="20"/>
          <w:szCs w:val="20"/>
          <w:color w:val="auto"/>
        </w:rPr>
      </w:pPr>
      <w:r>
        <w:rPr>
          <w:rFonts w:ascii="Times New Roman" w:cs="Times New Roman" w:eastAsia="Times New Roman" w:hAnsi="Times New Roman"/>
          <w:sz w:val="18"/>
          <w:szCs w:val="18"/>
          <w:color w:val="auto"/>
        </w:rPr>
        <w:t>Attention: Chairman of the Board</w:t>
      </w:r>
    </w:p>
    <w:p>
      <w:pPr>
        <w:spacing w:after="0" w:line="315" w:lineRule="exact"/>
        <w:rPr>
          <w:sz w:val="20"/>
          <w:szCs w:val="20"/>
          <w:color w:val="auto"/>
        </w:rPr>
      </w:pPr>
    </w:p>
    <w:p>
      <w:pPr>
        <w:ind w:left="643"/>
        <w:spacing w:after="0"/>
        <w:tabs>
          <w:tab w:leader="none" w:pos="1003"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If to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895985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Phone:</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Either party may alter the address to which communications or copies are to be sent by giving notice of such change of address in conformity with the provisions of this Section 6 for the giving of notice.</w:t>
      </w:r>
    </w:p>
    <w:p>
      <w:pPr>
        <w:spacing w:after="0" w:line="158" w:lineRule="exact"/>
        <w:rPr>
          <w:sz w:val="20"/>
          <w:szCs w:val="20"/>
          <w:color w:val="auto"/>
        </w:rPr>
      </w:pPr>
    </w:p>
    <w:p>
      <w:pPr>
        <w:ind w:firstLine="1154"/>
        <w:spacing w:after="0" w:line="259" w:lineRule="auto"/>
        <w:tabs>
          <w:tab w:leader="none" w:pos="15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Indulgences; Waivers</w:t>
      </w:r>
      <w:r>
        <w:rPr>
          <w:rFonts w:ascii="Times New Roman" w:cs="Times New Roman" w:eastAsia="Times New Roman" w:hAnsi="Times New Roman"/>
          <w:sz w:val="18"/>
          <w:szCs w:val="18"/>
          <w:color w:val="auto"/>
        </w:rPr>
        <w:t>. Neither any failure nor any delay on the part of either party to exercise any right, remedy, power, or privilege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binding unless executed in writing by the party making the waiver.</w:t>
      </w:r>
    </w:p>
    <w:p>
      <w:pPr>
        <w:spacing w:after="0" w:line="179" w:lineRule="exact"/>
        <w:rPr>
          <w:rFonts w:ascii="Times New Roman" w:cs="Times New Roman" w:eastAsia="Times New Roman" w:hAnsi="Times New Roman"/>
          <w:sz w:val="18"/>
          <w:szCs w:val="18"/>
          <w:color w:val="auto"/>
        </w:rPr>
      </w:pPr>
    </w:p>
    <w:p>
      <w:pPr>
        <w:ind w:right="80" w:firstLine="1154"/>
        <w:spacing w:after="0" w:line="268" w:lineRule="auto"/>
        <w:tabs>
          <w:tab w:leader="none" w:pos="15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Controlling Law</w:t>
      </w:r>
      <w:r>
        <w:rPr>
          <w:rFonts w:ascii="Times New Roman" w:cs="Times New Roman" w:eastAsia="Times New Roman" w:hAnsi="Times New Roman"/>
          <w:sz w:val="18"/>
          <w:szCs w:val="18"/>
          <w:color w:val="auto"/>
        </w:rPr>
        <w:t>. This Agreement and all questions relating to its validity, interpretation, performance and enforcement,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Tennessee, notwithstanding any Tennessee or other conflict-of-interest provisions to the contrary.</w:t>
      </w:r>
    </w:p>
    <w:p>
      <w:pPr>
        <w:spacing w:after="0" w:line="170" w:lineRule="exact"/>
        <w:rPr>
          <w:rFonts w:ascii="Times New Roman" w:cs="Times New Roman" w:eastAsia="Times New Roman" w:hAnsi="Times New Roman"/>
          <w:sz w:val="18"/>
          <w:szCs w:val="18"/>
          <w:color w:val="auto"/>
        </w:rPr>
      </w:pPr>
    </w:p>
    <w:p>
      <w:pPr>
        <w:ind w:right="120" w:firstLine="1154"/>
        <w:spacing w:after="0" w:line="262" w:lineRule="auto"/>
        <w:tabs>
          <w:tab w:leader="none" w:pos="15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Nature of Agreement; Authority</w:t>
      </w:r>
      <w:r>
        <w:rPr>
          <w:rFonts w:ascii="Times New Roman" w:cs="Times New Roman" w:eastAsia="Times New Roman" w:hAnsi="Times New Roman"/>
          <w:sz w:val="18"/>
          <w:szCs w:val="18"/>
          <w:color w:val="auto"/>
        </w:rPr>
        <w:t>. This Agreement shall be binding upon and inure to the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heirs, personal representatives, successors, and assigns, except that no party may assign or transfer such party’s rights or obligations under this Agreement without the prior written consent of the other party. All decisions by Employer hereunder shall be made by the Board of Directors of Employer or a committee designated by the Board of Directors.</w:t>
      </w:r>
    </w:p>
    <w:p>
      <w:pPr>
        <w:spacing w:after="0" w:line="176" w:lineRule="exact"/>
        <w:rPr>
          <w:rFonts w:ascii="Times New Roman" w:cs="Times New Roman" w:eastAsia="Times New Roman" w:hAnsi="Times New Roman"/>
          <w:sz w:val="18"/>
          <w:szCs w:val="18"/>
          <w:color w:val="auto"/>
        </w:rPr>
      </w:pPr>
    </w:p>
    <w:p>
      <w:pPr>
        <w:jc w:val="both"/>
        <w:ind w:right="60" w:firstLine="1154"/>
        <w:spacing w:after="0" w:line="262" w:lineRule="auto"/>
        <w:tabs>
          <w:tab w:leader="none" w:pos="15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 in Counterpart</w:t>
      </w:r>
      <w:r>
        <w:rPr>
          <w:rFonts w:ascii="Times New Roman" w:cs="Times New Roman" w:eastAsia="Times New Roman" w:hAnsi="Times New Roman"/>
          <w:sz w:val="18"/>
          <w:szCs w:val="18"/>
          <w:color w:val="auto"/>
        </w:rPr>
        <w:t>. This Agreement may be executed in any number of counterparts, each of which shall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as against any party whose signature appears thereon, and all of which shall together constitute one and the same instrument. This Agreement shall become binding when one or more counterparts hereof, individually or taken together, shall bear the signatures of the parties reflected hereon as the signatories.</w:t>
      </w:r>
    </w:p>
    <w:p>
      <w:pPr>
        <w:spacing w:after="0" w:line="176" w:lineRule="exact"/>
        <w:rPr>
          <w:rFonts w:ascii="Times New Roman" w:cs="Times New Roman" w:eastAsia="Times New Roman" w:hAnsi="Times New Roman"/>
          <w:sz w:val="18"/>
          <w:szCs w:val="18"/>
          <w:color w:val="auto"/>
        </w:rPr>
      </w:pPr>
    </w:p>
    <w:p>
      <w:pPr>
        <w:jc w:val="both"/>
        <w:ind w:right="80" w:firstLine="1154"/>
        <w:spacing w:after="0" w:line="268" w:lineRule="auto"/>
        <w:tabs>
          <w:tab w:leader="none" w:pos="150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Provisions Separable</w:t>
      </w:r>
      <w:r>
        <w:rPr>
          <w:rFonts w:ascii="Times New Roman" w:cs="Times New Roman" w:eastAsia="Times New Roman" w:hAnsi="Times New Roman"/>
          <w:sz w:val="18"/>
          <w:szCs w:val="18"/>
          <w:color w:val="auto"/>
        </w:rPr>
        <w:t>. The provisions of this Agreement are independent of and separable from each other, and no provision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or rendered invalid or unenforceable by virtue of the fact that for any reason any other or others of them may be invalid or unenforceable in whole or in part.</w:t>
      </w:r>
    </w:p>
    <w:p>
      <w:pPr>
        <w:spacing w:after="0" w:line="170" w:lineRule="exact"/>
        <w:rPr>
          <w:rFonts w:ascii="Times New Roman" w:cs="Times New Roman" w:eastAsia="Times New Roman" w:hAnsi="Times New Roman"/>
          <w:sz w:val="18"/>
          <w:szCs w:val="18"/>
          <w:color w:val="auto"/>
        </w:rPr>
      </w:pPr>
    </w:p>
    <w:p>
      <w:pPr>
        <w:ind w:right="60" w:firstLine="1154"/>
        <w:spacing w:after="0" w:line="262" w:lineRule="auto"/>
        <w:tabs>
          <w:tab w:leader="none" w:pos="15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Except as herein contained, this Agreement contains the entire understanding between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supersedes all prior and contemporaneous agreements and understandings, inducements, and conditions, express or implied, oral or written. The express terms hereof control and supersede any course of performance and/or usage of the trade inconsistent with any of the terms hereof. This Agreement may not be modified or amended other than by an agreement in writing.</w:t>
      </w:r>
    </w:p>
    <w:p>
      <w:pPr>
        <w:spacing w:after="0" w:line="176" w:lineRule="exact"/>
        <w:rPr>
          <w:rFonts w:ascii="Times New Roman" w:cs="Times New Roman" w:eastAsia="Times New Roman" w:hAnsi="Times New Roman"/>
          <w:sz w:val="18"/>
          <w:szCs w:val="18"/>
          <w:color w:val="auto"/>
        </w:rPr>
      </w:pPr>
    </w:p>
    <w:p>
      <w:pPr>
        <w:ind w:right="120" w:firstLine="1154"/>
        <w:spacing w:after="0" w:line="286" w:lineRule="auto"/>
        <w:tabs>
          <w:tab w:leader="none" w:pos="15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Paragraph Headings</w:t>
      </w:r>
      <w:r>
        <w:rPr>
          <w:rFonts w:ascii="Times New Roman" w:cs="Times New Roman" w:eastAsia="Times New Roman" w:hAnsi="Times New Roman"/>
          <w:sz w:val="18"/>
          <w:szCs w:val="18"/>
          <w:color w:val="auto"/>
        </w:rPr>
        <w:t>. The paragraph headings in this Agreement are for convenience only; they form no part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its interpretation.</w:t>
      </w:r>
    </w:p>
    <w:p>
      <w:pPr>
        <w:spacing w:after="0" w:line="154" w:lineRule="exact"/>
        <w:rPr>
          <w:rFonts w:ascii="Times New Roman" w:cs="Times New Roman" w:eastAsia="Times New Roman" w:hAnsi="Times New Roman"/>
          <w:sz w:val="18"/>
          <w:szCs w:val="18"/>
          <w:color w:val="auto"/>
        </w:rPr>
      </w:pPr>
    </w:p>
    <w:p>
      <w:pPr>
        <w:ind w:right="400" w:firstLine="1154"/>
        <w:spacing w:after="0" w:line="286" w:lineRule="auto"/>
        <w:tabs>
          <w:tab w:leader="none" w:pos="14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Gender</w:t>
      </w:r>
      <w:r>
        <w:rPr>
          <w:rFonts w:ascii="Times New Roman" w:cs="Times New Roman" w:eastAsia="Times New Roman" w:hAnsi="Times New Roman"/>
          <w:sz w:val="18"/>
          <w:szCs w:val="18"/>
          <w:color w:val="auto"/>
        </w:rPr>
        <w:t>. Words used herein, regardless of the number and gender specifically used, shall be deemed and construed to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number, singular or plural, and any other gender, masculine, feminine, or neuter, as the context requires.</w:t>
      </w:r>
    </w:p>
    <w:p>
      <w:pPr>
        <w:spacing w:after="0" w:line="154" w:lineRule="exact"/>
        <w:rPr>
          <w:rFonts w:ascii="Times New Roman" w:cs="Times New Roman" w:eastAsia="Times New Roman" w:hAnsi="Times New Roman"/>
          <w:sz w:val="18"/>
          <w:szCs w:val="18"/>
          <w:color w:val="auto"/>
        </w:rPr>
      </w:pPr>
    </w:p>
    <w:p>
      <w:pPr>
        <w:ind w:right="280" w:firstLine="1154"/>
        <w:spacing w:after="0" w:line="286" w:lineRule="auto"/>
        <w:tabs>
          <w:tab w:leader="none" w:pos="14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Days</w:t>
      </w:r>
      <w:r>
        <w:rPr>
          <w:rFonts w:ascii="Times New Roman" w:cs="Times New Roman" w:eastAsia="Times New Roman" w:hAnsi="Times New Roman"/>
          <w:sz w:val="18"/>
          <w:szCs w:val="18"/>
          <w:color w:val="auto"/>
        </w:rPr>
        <w:t>. In computing the number of days for purposes of this Agreement, all days shall be counted, including Saturdays,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Sundays, and holidays; provided, however, that if the final day of any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on a Saturday, Sunday, or holiday, then the final day shall be deemed to be the next day that is not a Saturday, Sunday, or holiday.</w:t>
      </w:r>
    </w:p>
    <w:p>
      <w:pPr>
        <w:spacing w:after="0" w:line="221"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successors and assigns of the parties hereto; provided that because the obligations of Employee hereunder involve the performance of personal services, such obligations shall not be delegated by Employee. For purposes of this Agreement successors and assigns shall include, but not be limited to, any individual, corporation, trust, partnership, or other entity that acquires a majority of the stock or assets of Employer by sale, merger, consolidation, liquidation, or other form of transfer. Employer will require any successor (whether direct or indirect, by purchase, merger, consolidation, or otherwise) to all or substantially all of the business and/or assets of Employer to expressly assume and agree to perform this Agreement in the same manner and to the same extent that Employer would be required to perform it if no such succession had taken place. Without limiting the foregoing, unless the context otherwise requires, the term “Employer” includes all subsidiaries of Employer.</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00" w:lineRule="exact"/>
        <w:rPr>
          <w:sz w:val="20"/>
          <w:szCs w:val="20"/>
          <w:color w:val="auto"/>
        </w:rPr>
      </w:pPr>
    </w:p>
    <w:p>
      <w:pPr>
        <w:spacing w:after="0" w:line="29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227" w:lineRule="exact"/>
        <w:rPr>
          <w:sz w:val="20"/>
          <w:szCs w:val="20"/>
          <w:color w:val="auto"/>
        </w:rPr>
      </w:pPr>
    </w:p>
    <w:tbl>
      <w:tblPr>
        <w:tblLayout w:type="fixed"/>
        <w:tblInd w:w="6760" w:type="dxa"/>
        <w:tblCellMar>
          <w:top w:w="0" w:type="dxa"/>
          <w:left w:w="0" w:type="dxa"/>
          <w:bottom w:w="0" w:type="dxa"/>
          <w:right w:w="0" w:type="dxa"/>
        </w:tblCellMar>
      </w:tblPr>
      <w:tr>
        <w:trPr>
          <w:trHeight w:val="2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Barry M. Monheit</w:t>
            </w:r>
          </w:p>
        </w:tc>
      </w:tr>
      <w:tr>
        <w:trPr>
          <w:trHeight w:val="228"/>
        </w:trPr>
        <w:tc>
          <w:tcPr>
            <w:tcW w:w="6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Chairman — Compensation Committee</w:t>
            </w:r>
          </w:p>
        </w:tc>
      </w:tr>
    </w:tbl>
    <w:p>
      <w:pPr>
        <w:spacing w:after="0" w:line="19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Mark P. Smith</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Employment Agreement –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10.124(b)</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AMENDED AND RESTATED TRADEMARK LICENSE AGREEMENT</w:t>
      </w:r>
    </w:p>
    <w:p>
      <w:pPr>
        <w:spacing w:after="0" w:line="189" w:lineRule="exact"/>
        <w:rPr>
          <w:sz w:val="20"/>
          <w:szCs w:val="20"/>
          <w:color w:val="auto"/>
        </w:rPr>
      </w:pPr>
    </w:p>
    <w:p>
      <w:pPr>
        <w:ind w:right="380" w:firstLine="749"/>
        <w:spacing w:after="0" w:line="235" w:lineRule="auto"/>
        <w:rPr>
          <w:sz w:val="20"/>
          <w:szCs w:val="20"/>
          <w:color w:val="auto"/>
        </w:rPr>
      </w:pPr>
      <w:r>
        <w:rPr>
          <w:rFonts w:ascii="Times New Roman" w:cs="Times New Roman" w:eastAsia="Times New Roman" w:hAnsi="Times New Roman"/>
          <w:sz w:val="20"/>
          <w:szCs w:val="20"/>
          <w:color w:val="auto"/>
        </w:rPr>
        <w:t>This AMENDED AND RESTATED TRADEMARK LICENSE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and made effective on this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2024, the (“Amended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Smith &amp; Wesson Inc., a Delaware corporation having a place of business at 1852 Proffitt Springs Rd., Maryville, TN 37801 (</w:t>
      </w:r>
      <w:r>
        <w:rPr>
          <w:rFonts w:ascii="Times New Roman" w:cs="Times New Roman" w:eastAsia="Times New Roman" w:hAnsi="Times New Roman"/>
          <w:sz w:val="20"/>
          <w:szCs w:val="20"/>
          <w:b w:val="1"/>
          <w:bCs w:val="1"/>
          <w:color w:val="auto"/>
        </w:rPr>
        <w:t>“S&amp;W” or “Licensor”</w:t>
      </w:r>
      <w:r>
        <w:rPr>
          <w:rFonts w:ascii="Times New Roman" w:cs="Times New Roman" w:eastAsia="Times New Roman" w:hAnsi="Times New Roman"/>
          <w:sz w:val="20"/>
          <w:szCs w:val="20"/>
          <w:color w:val="auto"/>
        </w:rPr>
        <w:t>) and AOB Products Company, a Missouri corporation having a place of business at 1800 North Route Z, Columbia, Missouri 65202 (</w:t>
      </w:r>
      <w:r>
        <w:rPr>
          <w:rFonts w:ascii="Times New Roman" w:cs="Times New Roman" w:eastAsia="Times New Roman" w:hAnsi="Times New Roman"/>
          <w:sz w:val="20"/>
          <w:szCs w:val="20"/>
          <w:b w:val="1"/>
          <w:bCs w:val="1"/>
          <w:color w:val="auto"/>
        </w:rPr>
        <w:t>“Licensee”</w:t>
      </w:r>
      <w:r>
        <w:rPr>
          <w:rFonts w:ascii="Times New Roman" w:cs="Times New Roman" w:eastAsia="Times New Roman" w:hAnsi="Times New Roman"/>
          <w:sz w:val="20"/>
          <w:szCs w:val="20"/>
          <w:color w:val="auto"/>
        </w:rPr>
        <w:t>). Each of S&amp;W and Licensee may be referred to herein as a “party” and collectively they may be referred to herein as the “parties.”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02" w:lineRule="exact"/>
        <w:rPr>
          <w:sz w:val="20"/>
          <w:szCs w:val="20"/>
          <w:color w:val="auto"/>
        </w:rPr>
      </w:pPr>
    </w:p>
    <w:p>
      <w:pPr>
        <w:ind w:left="1140" w:right="200" w:hanging="383"/>
        <w:spacing w:after="0" w:line="273" w:lineRule="auto"/>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entered into that certain Trademark License Agreement (the “</w:t>
      </w:r>
      <w:r>
        <w:rPr>
          <w:rFonts w:ascii="Times New Roman" w:cs="Times New Roman" w:eastAsia="Times New Roman" w:hAnsi="Times New Roman"/>
          <w:sz w:val="20"/>
          <w:szCs w:val="20"/>
          <w:b w:val="1"/>
          <w:bCs w:val="1"/>
          <w:color w:val="auto"/>
        </w:rPr>
        <w:t>Original Agreement</w:t>
      </w:r>
      <w:r>
        <w:rPr>
          <w:rFonts w:ascii="Times New Roman" w:cs="Times New Roman" w:eastAsia="Times New Roman" w:hAnsi="Times New Roman"/>
          <w:sz w:val="20"/>
          <w:szCs w:val="20"/>
          <w:color w:val="auto"/>
        </w:rPr>
        <w:t>”), dated August 24, 2020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28"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S&amp;W owns certain trademarks for use on and in connection with firearms, apparel, accessories and other products;</w:t>
      </w:r>
    </w:p>
    <w:p>
      <w:pPr>
        <w:spacing w:after="0" w:line="202" w:lineRule="exact"/>
        <w:rPr>
          <w:rFonts w:ascii="Times New Roman" w:cs="Times New Roman" w:eastAsia="Times New Roman" w:hAnsi="Times New Roman"/>
          <w:sz w:val="20"/>
          <w:szCs w:val="20"/>
          <w:color w:val="auto"/>
        </w:rPr>
      </w:pPr>
    </w:p>
    <w:p>
      <w:pPr>
        <w:ind w:left="1140" w:right="60" w:hanging="383"/>
        <w:spacing w:after="0" w:line="254" w:lineRule="auto"/>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Licensee is engaged in the business of manufacturing, selling and sourcing accessories, apparel and other products, and desires to engage in the development, design, manufacture, sourcing, marketing, advertising, promoting, merchandising, shipment, distribution and sale of certain products as identified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bearing one or more of S&amp;W’s trademarks;</w:t>
      </w:r>
    </w:p>
    <w:p>
      <w:pPr>
        <w:spacing w:after="0" w:line="160" w:lineRule="exact"/>
        <w:rPr>
          <w:rFonts w:ascii="Times New Roman" w:cs="Times New Roman" w:eastAsia="Times New Roman" w:hAnsi="Times New Roman"/>
          <w:sz w:val="20"/>
          <w:szCs w:val="20"/>
          <w:color w:val="auto"/>
        </w:rPr>
      </w:pPr>
    </w:p>
    <w:p>
      <w:pPr>
        <w:ind w:left="1140" w:right="200" w:hanging="383"/>
        <w:spacing w:after="0" w:line="244" w:lineRule="auto"/>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Amended Effective Date, S&amp;W has sold, assigned, transferred, conveyed and delivered to Hawken Holding Co., LLC or an affiliate thereof certain intellectual property and other assets related to the business of the Thompson/Center firearms brand (collectively, the “</w:t>
      </w:r>
      <w:r>
        <w:rPr>
          <w:rFonts w:ascii="Times New Roman" w:cs="Times New Roman" w:eastAsia="Times New Roman" w:hAnsi="Times New Roman"/>
          <w:sz w:val="20"/>
          <w:szCs w:val="20"/>
          <w:b w:val="1"/>
          <w:bCs w:val="1"/>
          <w:color w:val="auto"/>
        </w:rPr>
        <w:t>T/C Intellectual Property</w:t>
      </w:r>
      <w:r>
        <w:rPr>
          <w:rFonts w:ascii="Times New Roman" w:cs="Times New Roman" w:eastAsia="Times New Roman" w:hAnsi="Times New Roman"/>
          <w:sz w:val="20"/>
          <w:szCs w:val="20"/>
          <w:color w:val="auto"/>
        </w:rPr>
        <w:t>”) and the parties wish to amend and restate the Original Agreement to reflect such transaction, principally through the removal of all references and obligations to the Thompson/Center brand and other corresponding marks such that any and all assets pertaining to such T/C Intellectual Property will be removed from the definitions of Licensed Trademarks, S&amp;W Intellectual Property and S&amp;W Trademarks (in each case, as defined below) from the Amended Effective Date;</w:t>
      </w:r>
    </w:p>
    <w:p>
      <w:pPr>
        <w:spacing w:after="0" w:line="158" w:lineRule="exact"/>
        <w:rPr>
          <w:rFonts w:ascii="Times New Roman" w:cs="Times New Roman" w:eastAsia="Times New Roman" w:hAnsi="Times New Roman"/>
          <w:sz w:val="20"/>
          <w:szCs w:val="20"/>
          <w:color w:val="auto"/>
        </w:rPr>
      </w:pPr>
    </w:p>
    <w:p>
      <w:pPr>
        <w:ind w:left="1140" w:right="340" w:hanging="383"/>
        <w:spacing w:after="0" w:line="269" w:lineRule="auto"/>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Effective Date as used throughout this Agreement refers to August 24, 2020; that is, the Effective Date of the Original Agreement; and</w:t>
      </w:r>
    </w:p>
    <w:p>
      <w:pPr>
        <w:spacing w:after="0" w:line="145" w:lineRule="exact"/>
        <w:rPr>
          <w:rFonts w:ascii="Times New Roman" w:cs="Times New Roman" w:eastAsia="Times New Roman" w:hAnsi="Times New Roman"/>
          <w:sz w:val="20"/>
          <w:szCs w:val="20"/>
          <w:color w:val="auto"/>
        </w:rPr>
      </w:pPr>
    </w:p>
    <w:p>
      <w:pPr>
        <w:ind w:left="1140" w:right="100" w:hanging="383"/>
        <w:spacing w:after="0" w:line="269" w:lineRule="auto"/>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and conditional upon Licensee’s compliance with the terms and conditions of this Agreement, S&amp;W agrees to grant to Licensee a license to use certain of S&amp;W’s trademarks solely as set forth herein.</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above premises and the mutual covenants and undertakings of the parties hereunder,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S&amp;W and Licensee agree that Agreement shall be deleted in its entirety and replaced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Definitions; Interpretation.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will have the following meanings: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1" w:name="page122"/>
    <w:bookmarkEnd w:id="121"/>
    <w:p>
      <w:pPr>
        <w:spacing w:after="0" w:line="172" w:lineRule="exact"/>
        <w:rPr>
          <w:sz w:val="20"/>
          <w:szCs w:val="20"/>
          <w:color w:val="auto"/>
        </w:rPr>
      </w:pPr>
    </w:p>
    <w:p>
      <w:pPr>
        <w:ind w:right="4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any entity that now or hereafter directly, or indirectly, through one or more intermediaries, Controls (defined below), or is Controlled by, or is under common Control with, a party.</w:t>
      </w:r>
    </w:p>
    <w:p>
      <w:pPr>
        <w:spacing w:after="0" w:line="125"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“Applicable Law” </w:t>
      </w:r>
      <w:r>
        <w:rPr>
          <w:rFonts w:ascii="Times New Roman" w:cs="Times New Roman" w:eastAsia="Times New Roman" w:hAnsi="Times New Roman"/>
          <w:sz w:val="20"/>
          <w:szCs w:val="20"/>
          <w:color w:val="auto"/>
        </w:rPr>
        <w:t>means all applicable statutes, laws, regulations, ordinances, executive orders, rules, judgments, orders, decrees,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directives, guidelines (to the extent mandatory), policies (to the extent mandatory) and other similar directives, whether now or hereafter in effect, of any federal, state, or local or foreign government, any political subdivision, and any governmental, quasi-governmental, judicial, public, or statutory instrumentality, administrative agency, authority, body, or other entity having jurisdiction over S&amp;W, Licensee or the Licensed Products.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“Channels of Distribution” </w:t>
      </w:r>
      <w:r>
        <w:rPr>
          <w:rFonts w:ascii="Times New Roman" w:cs="Times New Roman" w:eastAsia="Times New Roman" w:hAnsi="Times New Roman"/>
          <w:sz w:val="20"/>
          <w:szCs w:val="20"/>
          <w:color w:val="auto"/>
        </w:rPr>
        <w:t>means only those channels of distribution identified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A.</w:t>
      </w:r>
    </w:p>
    <w:p>
      <w:pPr>
        <w:spacing w:after="0" w:line="202"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“Confidential Information” </w:t>
      </w:r>
      <w:r>
        <w:rPr>
          <w:rFonts w:ascii="Times New Roman" w:cs="Times New Roman" w:eastAsia="Times New Roman" w:hAnsi="Times New Roman"/>
          <w:sz w:val="20"/>
          <w:szCs w:val="20"/>
          <w:color w:val="auto"/>
        </w:rPr>
        <w:t>means any and all information proprietary to one of the parties hereto, whether or not reduced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or other tangible medium of expression, and whether or not patented, patentable, capable of trade secret protection or protected as an unpublished or published work under the copyright laws. Confidential Information includes the terms of this Agreement (but not the existence of this Agreement), information relating to Intellectual Property and to business plans, financial matters, products, services, manufacturers, manufacturing processes and methods, costs, sources of supply, strategic marketing plans, customer lists, sales, profits, pricing methods, personnel and business relationships. Confidential Information shall not include any information that: (i) was already known to the receiving party prior to its relationship with the disclosing party, as established by the receiving party’s written records; (ii) becomes generally available to the public other than as a result of the receiving party’s breach of this Agreement; (iii) is furnished to the receiving party by a third party who is lawfully in possession of, and who lawfully conveys, such information; (iv) is subsequently developed by the receiving party independently of the information received from the disclosing party, as established by the receiving party’s written records; or (v) is ordered to be disclosed by a court or regulatory body of competent jurisdiction. Should either party be served with a request to disclose Confidential Information in a judicial or regulatory body proceeding, it will not do so before notifying the other party in writing within ten (10) days as to provide such party the opportunity to object to the disclosure to the court or regulatory body. Nothing in this paragraph is intended to cause either party to disobey a court or other lawful order or requirement.</w:t>
      </w:r>
    </w:p>
    <w:p>
      <w:pPr>
        <w:spacing w:after="0" w:line="15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“Control” </w:t>
      </w:r>
      <w:r>
        <w:rPr>
          <w:rFonts w:ascii="Times New Roman" w:cs="Times New Roman" w:eastAsia="Times New Roman" w:hAnsi="Times New Roman"/>
          <w:sz w:val="20"/>
          <w:szCs w:val="20"/>
          <w:color w:val="auto"/>
        </w:rPr>
        <w:t>means the possession, direct or indirect, of the power to direct or cause the direction of the management and policies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(defined below), whether through the ownership of voting securities, by contract or otherwise, in each case as interpreted under Rule 12b-2 of the Securities Exchange Act of 1934, as amended.</w:t>
      </w:r>
    </w:p>
    <w:p>
      <w:pPr>
        <w:spacing w:after="0" w:line="155" w:lineRule="exact"/>
        <w:rPr>
          <w:sz w:val="20"/>
          <w:szCs w:val="20"/>
          <w:color w:val="auto"/>
        </w:rPr>
      </w:pPr>
    </w:p>
    <w:p>
      <w:pPr>
        <w:ind w:right="24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“Intellectual Property” </w:t>
      </w:r>
      <w:r>
        <w:rPr>
          <w:rFonts w:ascii="Times New Roman" w:cs="Times New Roman" w:eastAsia="Times New Roman" w:hAnsi="Times New Roman"/>
          <w:sz w:val="20"/>
          <w:szCs w:val="20"/>
          <w:color w:val="auto"/>
        </w:rPr>
        <w:t>means all rights, title and interests pertaining to or arising from patents, copyrights, trade secrets,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trademarks, trade dress, rights of publicity, and all similar rights throughout the world and however denominated; all domain names; all rights and interests arising from information relating to research and development, product design, materials, manufacturing techniques, supply and distribution arrangements, marketing and advertising plans and materials, pricing and other financial information; and all rights and interests arising from inventions, discoveries, improvements, methods and processes, know how, algorithms, compositions, works of authorship, concepts, designs, styles, graphics, images, ideas, prototypes, writings, notes and patent applications, and all such rights and interests without regard to whether or not patentable or capable of trade secret or copyright protection.</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“Licensed Products” </w:t>
      </w:r>
      <w:r>
        <w:rPr>
          <w:rFonts w:ascii="Times New Roman" w:cs="Times New Roman" w:eastAsia="Times New Roman" w:hAnsi="Times New Roman"/>
          <w:sz w:val="20"/>
          <w:szCs w:val="20"/>
          <w:color w:val="auto"/>
        </w:rPr>
        <w:t>means only those products in the product categories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“Licensed Trademarks” </w:t>
      </w:r>
      <w:r>
        <w:rPr>
          <w:rFonts w:ascii="Times New Roman" w:cs="Times New Roman" w:eastAsia="Times New Roman" w:hAnsi="Times New Roman"/>
          <w:sz w:val="20"/>
          <w:szCs w:val="20"/>
          <w:color w:val="auto"/>
        </w:rPr>
        <w:t>mean only those trademarks, used either separately or in conjunction with each other, in the form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and all goodwill associated with such marks existing as of the Effective Date, and all goodwill arising thereafter whether such goodwill arises from the activities of S&amp;W or Licensee.</w:t>
      </w:r>
    </w:p>
    <w:p>
      <w:pPr>
        <w:spacing w:after="0" w:line="14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“Net Sales” </w:t>
      </w:r>
      <w:r>
        <w:rPr>
          <w:rFonts w:ascii="Times New Roman" w:cs="Times New Roman" w:eastAsia="Times New Roman" w:hAnsi="Times New Roman"/>
          <w:sz w:val="19"/>
          <w:szCs w:val="19"/>
          <w:color w:val="auto"/>
        </w:rPr>
        <w:t>means the aggregate amount booked as sales, billed, invoiced or received (whichever comes first) by Licensee for sales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other transfers of Licensed Products in arm’s length transactions in the Territory, less (i) promotional markdowns, (ii) reasonable quantity discounts actually granted to the extent customarily granted to Licensee’s customers based on volume, (iii) customer returns actually credited, (iv) to the extent separately stated on purchase orders, invoices or other documents of sale, any duties, taxes and/or other governmental fees or charges levied on the production, sale, transportation, delivery or use of the Licensed Products and paid by or on behalf of Licensee, and (v) reasonable charges for delivery or transportation provided by third parties, if separately stated on purchase orders, invoices or other documents of sale. No deductions in Net Sales may be made for: (vi) cash or other discounts (except as stated above); (vii) commissions; (viii) uncollectable accounts; (ix) taxes, fees, assessments, impositions, payments or expenses of any kind that may be incurred or paid by Licensee in connection with the royalty payments due to S&amp;W hereunder or in connection with the transfer of funds or royalties or with the conversion of any currency into United States dollars; or (x) any costs incurred in the research, design, development, manufacture, sourcing, offering for sale, sale, advertising, promotion, shipment, distribution or exploitation of the Licensed Products. In the event that any Licensed Products are sold other than in an arm’s length transaction, then Net Sales shall be deemed to be the Net Sales which would have been applied under this Agreement had such sale been to an independent arm’s length purchaser. For purposes of determining royalties owed under this Agreement, Net Sales (A) shall not include the sale or distribution of Licensed Products to Licensor or to an Affiliate of Licensor (excluding the Licensee); and (B) shall not include the sale and distribution of products acquired by Licensee from third-parties which are the subject of (i.e., licensed products under) a royalty-bearing license between a third party and Licensor.</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“Person” </w:t>
      </w:r>
      <w:r>
        <w:rPr>
          <w:rFonts w:ascii="Times New Roman" w:cs="Times New Roman" w:eastAsia="Times New Roman" w:hAnsi="Times New Roman"/>
          <w:sz w:val="20"/>
          <w:szCs w:val="20"/>
          <w:color w:val="auto"/>
        </w:rPr>
        <w:t>means any natural person, sole proprietorship, partnership, corporation, limited-liability company, firm or other entity.</w:t>
      </w:r>
    </w:p>
    <w:p>
      <w:pPr>
        <w:spacing w:after="0" w:line="202"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“S&amp;W Intellectual Property” </w:t>
      </w:r>
      <w:r>
        <w:rPr>
          <w:rFonts w:ascii="Times New Roman" w:cs="Times New Roman" w:eastAsia="Times New Roman" w:hAnsi="Times New Roman"/>
          <w:sz w:val="20"/>
          <w:szCs w:val="20"/>
          <w:color w:val="auto"/>
        </w:rPr>
        <w:t>means (i) the S&amp;W Trademarks; (ii) any marketing, advertising or promotional materials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packaging referencing or containing any Licensed Product developed or created by S&amp;W, including but not limited to domain names; (iii) all Intellectual Property owned by S&amp;W prior to the Effective Date and all Intellectual Property independently created by S&amp;W; (iv) all Intellectual Property of or relating to the Smith &amp; Wesson, M&amp;P, Performance Center, and Gemtech brands and their associated products, as well as any other brand now or in the future owned by S&amp;W; (v) all Intellectual Property created during the Term of this Agreement that is identified with S&amp;W’s core firearm business (including firearms, firearm parts, magazines and suppressors) with or without a S&amp;W Trademark, including any design, graphic, image or style approved by S&amp;W for use, or used, in connection with any Licensed Product hereunder, whether developed or created by S&amp;W or Licensee or both, that reflects any feature of any S&amp;W product (including firearms, firearm parts, magazines and suppressors), such as a grip, grip texture or palm swell on an accessory or outdoor product; and (vi) any improvements to or derivatives of any of the foregoing, by S&amp;W or Licensee or both.</w:t>
      </w:r>
    </w:p>
    <w:p>
      <w:pPr>
        <w:spacing w:after="0" w:line="155"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“S&amp;W Trademarks” </w:t>
      </w:r>
      <w:r>
        <w:rPr>
          <w:rFonts w:ascii="Times New Roman" w:cs="Times New Roman" w:eastAsia="Times New Roman" w:hAnsi="Times New Roman"/>
          <w:sz w:val="20"/>
          <w:szCs w:val="20"/>
          <w:color w:val="auto"/>
        </w:rPr>
        <w:t>means the Licensed Trademarks and all other Trademarks owned and/or used by S&amp;W and all variations,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derivations, stylizations, and versions thereof, as well as any image or depiction of a S&amp;W firearm or other product, and all goodwill associated with any of the foregoing, whether or not registered in the Territory.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worldwide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72" w:lineRule="exact"/>
        <w:rPr>
          <w:sz w:val="20"/>
          <w:szCs w:val="20"/>
          <w:color w:val="auto"/>
        </w:rPr>
      </w:pPr>
    </w:p>
    <w:p>
      <w:pPr>
        <w:ind w:right="3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“Trademark” </w:t>
      </w:r>
      <w:r>
        <w:rPr>
          <w:rFonts w:ascii="Times New Roman" w:cs="Times New Roman" w:eastAsia="Times New Roman" w:hAnsi="Times New Roman"/>
          <w:sz w:val="20"/>
          <w:szCs w:val="20"/>
          <w:color w:val="auto"/>
        </w:rPr>
        <w:t>means any trademark, trade name, service mark, logo, word, name, symbol, design (including trade dress)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combination thereof used or intended to be used to identify or distinguish a Person’s goods or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License; Restrictions.</w:t>
      </w: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Trademark License</w:t>
      </w:r>
      <w:r>
        <w:rPr>
          <w:rFonts w:ascii="Times New Roman" w:cs="Times New Roman" w:eastAsia="Times New Roman" w:hAnsi="Times New Roman"/>
          <w:sz w:val="19"/>
          <w:szCs w:val="19"/>
          <w:color w:val="auto"/>
        </w:rPr>
        <w:t>. Subject to, and conditional upon Licensee’s compliance with, the terms and conditions of this Agreement, including the rights retained by S&amp;W pursuant to Section 2.2 below, and except as otherwise set forth in this Agreement, S&amp;W hereby grants to Licensee a limited, non-transferable, exclusive right and license to use the Licensed Trademarks in the Territory and during the Initial Term and any Renewal Term(s) solely in connection with the manufacture, distribution, marketing, advertising, promotion, merchandising, shipping, and sale of the Licensed Products within the Channels of Distribution (the “Trademark License”) as further set forth in Schedule A, provided that Licensee’s right and license to use S&amp;W Trademarks relating to the business of the Gemtech brand shall be non-exclusive, and S&amp;W reserves the right to use any Licensed Trademarks in connection with Licensed Products in order for S&amp;W and its affiliates to market and sell any products purchased from Licensee shall not use the Licensed Trademarks except as expressly stated in this Agreement. Notwithstanding the foregoing, for any items that are normally included in a S&amp;W Bill of Materials, S&amp;W may sell, ship, distribute or use any Licensed Products or similar products to manufacture, or fulfill customer orders for parts for products sold by S&amp;W, or for any customer service purpose other than general retail sales of Licensed Products. Notwithstanding anything in this Agreement to the contrary, S&amp;W may manufacture, directly or through an Affiliate, or purchase from a third party, any “Promotional Products” (as herein defined). “Promotional Products” shall mean any products that will be used by S&amp;W or any Affiliate for promotional purposes or giveaway purposes, and not directly tied to a revenue generating transaction. Licensee’s exclusive rights hereunder and any other restrictions in this Agreement shall not apply to Promotional Products. Notwithstanding anything in this Agreement to the contrary, S&amp;W may manufacture, distribute, market, advertise, promote, merchandise, ship, and sell directly or through an Affiliate, or purchase from a third party, any “Bundled Products” (as herein defined). “</w:t>
      </w:r>
      <w:r>
        <w:rPr>
          <w:rFonts w:ascii="Times New Roman" w:cs="Times New Roman" w:eastAsia="Times New Roman" w:hAnsi="Times New Roman"/>
          <w:sz w:val="19"/>
          <w:szCs w:val="19"/>
          <w:b w:val="1"/>
          <w:bCs w:val="1"/>
          <w:color w:val="auto"/>
        </w:rPr>
        <w:t>Bundled Products</w:t>
      </w:r>
      <w:r>
        <w:rPr>
          <w:rFonts w:ascii="Times New Roman" w:cs="Times New Roman" w:eastAsia="Times New Roman" w:hAnsi="Times New Roman"/>
          <w:sz w:val="19"/>
          <w:szCs w:val="19"/>
          <w:color w:val="auto"/>
        </w:rPr>
        <w:t>” shall mean those products in the product categories identified in Schedule A-1 as Backpacks, Range Bags, Magazine Pouches, Messenger Bags, Molle Bag Holder, Slings, Soft Case—Long Gun and Soft Case—Pistol that will be offered by S&amp;W or any Affiliate as a component part of any firearm package sold as a single unit and tied to a revenue generating transaction, or for any customer service purpose other than general retail sales. For the avoidance of doubt, products in the product categories identified in Schedule A-1 as Backpacks, Range Bags, Magazine Pouches, Messenger Bags, Molle Bag Holder, Slings, Soft Case—Long Gun and Soft Case— Pistol cannot be sold separately (not part of a firearm bundle SKU) by S&amp;W or any Affiliate to any online or physical retailer or on any third-party website. Notwithstanding anything in this Agreement to the contrary, the exclusive rights of the Trademark License as they pertain only to those products in the product category identified in Schedule A-1 as AR Parts Kits shall expire one year after the Amended Effective Date and thereafter S&amp;W grants to Licensee a limited, non-transferable, non-exclusive right and license to use the Licensed Trademarks as they pertain to those products in the product category identified in Schedule A-1 as AR Parts Kits in the Territory and during the remainder of the Initial Term and any Renewal Term(s) solely in connection with the manufacture, distribution, marketing, advertising, promotion, merchandising, shipping, and sale of the Licensed Products within the Channels of Distribution. Except to the extent that Licensee’s rights are non-exclusive, or that S&amp;W otherwise reserves rights with respect to the Licensed Trademarks under this Agreement, during the term of this Agreement, S&amp;W shall not license any third party to use the Licensed Trademarks for the manufacture or sale of any product in any product category listed in Schedule A-1. All rights not granted to Licensee in this Agreement are reserved by and to S&amp;W.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[INTENTIONALLY OMITTED.]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Use of Licensed Trademarks and Patents.</w:t>
      </w:r>
    </w:p>
    <w:p>
      <w:pPr>
        <w:spacing w:after="0" w:line="193"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Prohibited Uses</w:t>
      </w:r>
      <w:r>
        <w:rPr>
          <w:rFonts w:ascii="Times New Roman" w:cs="Times New Roman" w:eastAsia="Times New Roman" w:hAnsi="Times New Roman"/>
          <w:sz w:val="20"/>
          <w:szCs w:val="20"/>
          <w:color w:val="auto"/>
        </w:rPr>
        <w:t>. During the Term and at all times thereafter, Licensee shall not use any of the Licensed Trademarks for any purpose other than as trademarks for the Licensed Products.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Use of Intellectual Property (Other Than S&amp;W Intellectual Property) in Connection with the Licensed Products</w:t>
      </w:r>
      <w:r>
        <w:rPr>
          <w:rFonts w:ascii="Times New Roman" w:cs="Times New Roman" w:eastAsia="Times New Roman" w:hAnsi="Times New Roman"/>
          <w:sz w:val="20"/>
          <w:szCs w:val="20"/>
          <w:color w:val="auto"/>
        </w:rPr>
        <w:t>. Licensee shall be solely responsible for ensuring that any Intellectual Property (other than S&amp;W Intellectual Property) proposed for use in connection with a Licensed Product does not infringe the Intellectual Property of any Person.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Marking</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Licensee shall comply with S&amp;W’s trademark usage guidelines, including all modifications and updates thereto, as are communicated in writing by S&amp;W to Licensee by Licensor from time to time, and shall place and display the Licensed Trademarks on and in connection with the Licensed Products only in such form and manner as comply with such trademark usage guidelines. Without limiting the foregoing, S&amp;W specifically requires Licensee to cause the Licensed Trademarks to appear on, and in connection with, all Licensed Products in the form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Licensee shall also cause to appear on the Licensed Products and on (i) their containers, packaging, labels, tags, and the like, (ii) all Promotional Materials (defined below) and (iii) all stationery, business cards, invoices and other transaction documents and business materials which display any of the Licensed Trademarks, such other legends, markings and notices as may be required by law or regulation in the Territory or as S&amp;W may reasonably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Registration and Licensing</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Licensee shall cooperate with S&amp;W in any effort by S&amp;W to register or otherwise establish or perfect its ownership of any S&amp;W Trademark or S&amp;W Intellectual Property applications that S&amp;W may desire to file, and shall execute all documents and perform such acts as S&amp;W may from time to time reasonably request in connection therewith.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Infringements.</w:t>
      </w:r>
    </w:p>
    <w:p>
      <w:pPr>
        <w:spacing w:after="0" w:line="20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Licensee shall inform S&amp;W as soon as practicable but not more than 14 days after learning of any goods or activities that infringe (or may infringe) the Licensed Trademarks, or learns of any other infringement or misappropriation of the Licensed Trademarks now or hereafter owned by S&amp;W. Licensee shall provide complete information, cooperation and assistance to S&amp;W concerning each such infringement (including reasonable cooperation and assistance in any further investigation or legal action, such as joining as a party to any lawsuit brought by S&amp;W). Upon learning of such infringement, S&amp;W will have the right, but not the obligation, at its sole discretion and expense, to take such action as S&amp;W considers necessary or appropriate to enforce S&amp;W’s rights, including legal action to suppress or eliminate such infringement or to settle any such dispute or action. S&amp;W may also seek and recover all costs, expenses, and damages resulting from such infringement, including sums that might otherwise be recoverable by or due to Licensee by operation of law or otherwise, and Licensee shall have no right to share in any amounts recovered by S&amp;W. Licensee shall have no authority to enforce the rights of S&amp;W by itself, nor shall Licensee have any right to demand or control action by S&amp;W to enforce such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License Royalties.</w:t>
      </w:r>
    </w:p>
    <w:p>
      <w:pPr>
        <w:spacing w:after="0" w:line="1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Licensee shall pay to S&amp;W on a fiscal quarterly basis a 5% ongoing aggregate royalty based on Net Sales by Licensee or any Affiliate of Licensee of the Licensed Products within the Territory for Licensed Trademarks, provided that Licensee shall pay S&amp;W a minimum quarterly royalty of $150,000.</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7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Royalty Reports</w:t>
      </w:r>
      <w:r>
        <w:rPr>
          <w:rFonts w:ascii="Times New Roman" w:cs="Times New Roman" w:eastAsia="Times New Roman" w:hAnsi="Times New Roman"/>
          <w:sz w:val="20"/>
          <w:szCs w:val="20"/>
          <w:color w:val="auto"/>
        </w:rPr>
        <w:t>. Not later than thirty (30) days after the end of each fiscal quarter, Licensee shall deliver to S&amp;W a report in a format to be approved in advance by S&amp;W containing at least the following information:</w:t>
      </w:r>
    </w:p>
    <w:p>
      <w:pPr>
        <w:spacing w:after="0" w:line="132" w:lineRule="exact"/>
        <w:rPr>
          <w:sz w:val="20"/>
          <w:szCs w:val="20"/>
          <w:color w:val="auto"/>
        </w:rPr>
      </w:pPr>
    </w:p>
    <w:p>
      <w:pPr>
        <w:ind w:left="1140" w:right="160" w:hanging="383"/>
        <w:spacing w:after="0" w:line="249" w:lineRule="auto"/>
        <w:tabs>
          <w:tab w:leader="none" w:pos="11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detailed written accounting of Licensed Products sold or otherwise disposed of during the immediately preceding quarter in the Territory, the Net Sales for such quarter and the amount of royalties due for such quarter (the “Accounting Statement”), including a breakout of each type of Licensed Product sold by product segment, applicable country and customer type (e.g., Internet, Brick &amp; Mortar, Catalog, etc.);</w:t>
      </w:r>
    </w:p>
    <w:p>
      <w:pPr>
        <w:spacing w:after="0" w:line="166"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summary of the Licensed Products sold and royalties paid during the then-current Product Year;</w:t>
      </w:r>
    </w:p>
    <w:p>
      <w:pPr>
        <w:spacing w:after="0" w:line="20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certified statement by Licensee that the report is complete and accurate.</w:t>
      </w:r>
    </w:p>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Notwithstanding the foregoing sentences, S&amp;W reserves the right to require Licensee to provide additional financial reporting information as requested by S&amp;W in its reasonable discretion.</w:t>
      </w:r>
    </w:p>
    <w:p>
      <w:pPr>
        <w:spacing w:after="0" w:line="14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Together with each quarterly royalty report, Licensee shall remit full and satisfactory payment of royalties due to S&amp;W for the immediately preceding fiscal quarter not later than thirty (30) days after the end of such quarter. Such payments shall be made by wire transfer, corporate check (subject to collection), or other method approved by S&amp;W, at the election of S&amp;W. If there is a dispute as to an amount due, Licensee shall not delay payment on undisputed amounts pending resolution of the disputed amount. When overdue, such payments shall bear interest at an annual rate of ten percent (10%) (or such lower rate as may then be the highest rate legally available) from the time such payment is due until payment is received by S&amp;W.</w:t>
      </w:r>
    </w:p>
    <w:p>
      <w:pPr>
        <w:spacing w:after="0" w:line="17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Licensee shall withhold from any royalty payments pursuant to this Agreement any sums required to be withheld on behalf of S&amp;W under the applicable tax laws of the Territory, provided, however, that Licensee shall reasonably cooperate with S&amp;W to obtain reduction or relief from any such withholding obligation. Licensee shall pay such sums as are required to be withheld to the appropriate tax authorities and shall furnish S&amp;W with the official tax receipt or other appropriate evidence of payment issued by such authorities.</w:t>
      </w:r>
    </w:p>
    <w:p>
      <w:pPr>
        <w:spacing w:after="0" w:line="15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Payments Upon Termination</w:t>
      </w:r>
      <w:r>
        <w:rPr>
          <w:rFonts w:ascii="Times New Roman" w:cs="Times New Roman" w:eastAsia="Times New Roman" w:hAnsi="Times New Roman"/>
          <w:sz w:val="20"/>
          <w:szCs w:val="20"/>
          <w:color w:val="auto"/>
        </w:rPr>
        <w:t>. If this Agreement is terminated for any reason before all payments hereunder have been made, Licensee shall within thirty (30) days thereafter submit a report and pay to S&amp;W any remaining unpaid royalties accrued during the period prior to such termination.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Records and Audit Rights.</w:t>
      </w:r>
    </w:p>
    <w:p>
      <w:pPr>
        <w:spacing w:after="0" w:line="206"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Licensee shall keep complete, true and accurate records of all operations relating to its performance hereunder, payments, marketing related expenditures and Licensed Product quality standards and make such records available for inspection by Licensor upon Licensor’s reasonable request.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Proprietary Rights.</w:t>
      </w:r>
    </w:p>
    <w:p>
      <w:pPr>
        <w:spacing w:after="0" w:line="2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S&amp;W Intellectual Property, and Licensed Trademarks (including all registrations and applications therefor and all goodwill associated therewith), are and will remain the property of S&amp;W, solely and exclusively, and may be used by Licensee solely for the Licensed Products subject to all of the terms and conditions of this Agreement. Licensee acknowledges and agrees that it has not acquired, and shall not acquire (whether by operation of law, by this Agreement or otherwise), any right, title, interest or ownership in or to the S&amp;W Intellectual Property or Licensed Trademarks or any part thereof (all of the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7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foregoing collectively, “Proprietary Rights”). Licensee shall not register any S&amp;W name or other S&amp;W Trademarks, or any confusingly similar variation, as an internet domain name. Licensee may request that S&amp;W register a domain name that uses the S&amp;W name or other S&amp;W Trademarks for use by Licensee during the term of, and in accordance with, this Agreement. Notwithstanding the foregoing, during the Term of this Agreement and any Sell-Off Period (defined further below), solely as set forth in Section 12.6, Licensee may use the S&amp;W name or other S&amp;W Trademarks at the end of a domain name solely for the purpose of identifying the location of the Licensed Products on a website. Licensee specifically acknowledges and agrees that S&amp;W is the owner of all Proprietary Rights, including but not limited to copyright rights, in S&amp;W Intellectual Property. Should any Proprietary Rights become vested in Licensee, Licensee hereby assigns any such Proprietary Rights to S&amp;W at no cost. Licensee shall provide and execute all documents necessary, in S&amp;W’s sole discretion, to effectuate and record each such assignment. Licensee shall not, during the Term or at any time thereafter: (i) do anything that, in S&amp;W’s sole discretion, could in any way damage, injure or impair the validity, subsistence, or reputation of the Licensed Trademarks; (ii) use any mark, trade name, trade dress, logo, design or style that is confusingly similar to the Licensed Trademarks; or (iii) attack, dispute or challenge the ownership, validity or enforceability of the Licensed Trademarks, the validity of this Agreement, nor shall Licensee assist others in so doing. All use of the Licensed Trademarks and all goodwill and benefit arising from such use shall inure to the benefit of S&amp;W, solely and exclusively. Without limiting any of the foregoing provisions regarding S&amp;W’s rights as to S&amp;W Intellectual Property, during the Term of this Agreement, Licensee shall not sell, as a product not branded with an S&amp;W Trademark, any products that are substantially similar to any Licensed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Term; Termination.</w:t>
      </w:r>
    </w:p>
    <w:p>
      <w:pPr>
        <w:spacing w:after="0" w:line="206"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Initial Term and Renewal Terms</w:t>
      </w:r>
      <w:r>
        <w:rPr>
          <w:rFonts w:ascii="Times New Roman" w:cs="Times New Roman" w:eastAsia="Times New Roman" w:hAnsi="Times New Roman"/>
          <w:sz w:val="20"/>
          <w:szCs w:val="20"/>
          <w:color w:val="auto"/>
        </w:rPr>
        <w:t>. This Agreement will commence on the Amended Effective Date and, will continue in full force and effect for five (5) years from May 1, 2024 (the “Initial Term”), unless earlier terminated in accordance with this Section 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9.1.1. After the Initial Term, the parties may agree in writing to one or more five-year renewal terms (each a “Renewal Term”).</w:t>
      </w:r>
    </w:p>
    <w:p>
      <w:pPr>
        <w:spacing w:after="0" w:line="1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9.1.2. In addition to the conditions on renewal set forth in Section 9.1.1, if either party wishes to modify the Royalty Rate, commencing on or after ten (10) years from the Effective Date, then not later than six (6) months prior to the expiration of the Renewal Term, the parties shall engage in good faith discussions regarding such new Royalty Rate, and if the parties are unable to agree on a new Royalty Rate, the parties will engage an independent third party (“ITP”) to set the new Royalty Rate based off the industry average rate.</w:t>
      </w:r>
    </w:p>
    <w:p>
      <w:pPr>
        <w:spacing w:after="0" w:line="16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Upon determination of such new Royalty Rate by the ITP, such Royalty Rate shall be the Royalty Rate under Section 6.1 of the Agreement, starting with the five-year renewal term as to which the modified rate was requested and continuing thereafter, provided, if either party does not agree with the rate determined by the ITP, such party may elect to not extend the Agreement and this Agreement shall not renew for such five-year renewal term, but shall instead continue for a period of twelve (12) months from the last day of the preceding renewal term at the same Royalty Rate of such preceding renewal term.</w:t>
      </w:r>
    </w:p>
    <w:p>
      <w:pPr>
        <w:spacing w:after="0" w:line="171" w:lineRule="exact"/>
        <w:rPr>
          <w:sz w:val="20"/>
          <w:szCs w:val="20"/>
          <w:color w:val="auto"/>
        </w:rPr>
      </w:pPr>
    </w:p>
    <w:p>
      <w:pPr>
        <w:ind w:right="600"/>
        <w:spacing w:after="0" w:line="254" w:lineRule="auto"/>
        <w:rPr>
          <w:sz w:val="20"/>
          <w:szCs w:val="20"/>
          <w:color w:val="auto"/>
        </w:rPr>
      </w:pPr>
      <w:r>
        <w:rPr>
          <w:rFonts w:ascii="Times New Roman" w:cs="Times New Roman" w:eastAsia="Times New Roman" w:hAnsi="Times New Roman"/>
          <w:sz w:val="20"/>
          <w:szCs w:val="20"/>
          <w:color w:val="auto"/>
        </w:rPr>
        <w:t>The cost of the ITP shall be paid by the Party that does not wish to extend the Agreement, or split equally between the parties if the Agreement is extended. For avoidance of doubt, the parties agree that the royalty rate adjustment is not a one-time event, and may be renegotiated at the end of each renewal six (6) months prior to the expiration of the Renewal Term.</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7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9.1.3 Notwithstanding the foregoing, S&amp;W may terminate this Agreement and purchase the assets of the business line selling the Products (the “Business”) at any time beginning three years from the Effective Date by paying Licensee a purchase price and termination fee equal to two (2) times the net revenues of Licensee from its sales of Licensed Products for the 12-month period preceding such termination date with an adjustment for net working capital of the Business as of the date of the closing as compared to the target working capital of the Business calculated using an average over the 12 month period preceding the date Licensor exercises its right to terminate and purchase the Business.</w:t>
      </w:r>
    </w:p>
    <w:p>
      <w:pPr>
        <w:spacing w:after="0" w:line="13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S&amp;W or Licensee may terminate this Agreement for cause if the other party breaches any of its obligations under this Agreement and fails to cure such breach within thirty (30) days after receiving notice thereof from the non-breaching party, provided such 30-day period shall be extended, upon request by the breaching party that is approved in writing by the other party, such approval not to be unreasonably withheld, if such cure cannot reasonably be completed in 30 days as long as the breaching party is diligently pursuing such cure.</w:t>
      </w:r>
    </w:p>
    <w:p>
      <w:pPr>
        <w:spacing w:after="0" w:line="17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Termination Due to Insolvency</w:t>
      </w:r>
      <w:r>
        <w:rPr>
          <w:rFonts w:ascii="Times New Roman" w:cs="Times New Roman" w:eastAsia="Times New Roman" w:hAnsi="Times New Roman"/>
          <w:sz w:val="20"/>
          <w:szCs w:val="20"/>
          <w:color w:val="auto"/>
        </w:rPr>
        <w:t>. Unless expressly prohibited by Applicable Law, S&amp;W may terminate this Agreement immediately for cause by providing notice to Licensee if Licensee: (a) commences or becomes the subject of any case or proceeding under the bankruptcy, insolvency or equivalent laws of any country in the Territory; (b) has appointed for it or for any substantial part of its property a court appointed receiver, liquidator, assignee, trustee, custodian, sequestrator or other similar official; (c) makes an assignment for the benefit of its creditors; (d) defaults on any obligation which is secured, in whole or in part, by a security interest in the Licensed Products; (e) fails generally to pay its debts as they become due; or (f) takes corporate action in furtherance of any of the foregoing (collectively, herein referred to as “Events of Insolvency”). Licensee shall immediately give S&amp;W written notice of any Event of Insolvency.</w:t>
      </w:r>
    </w:p>
    <w:p>
      <w:pPr>
        <w:spacing w:after="0" w:line="17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No Rights After Term</w:t>
      </w:r>
      <w:r>
        <w:rPr>
          <w:rFonts w:ascii="Times New Roman" w:cs="Times New Roman" w:eastAsia="Times New Roman" w:hAnsi="Times New Roman"/>
          <w:sz w:val="20"/>
          <w:szCs w:val="20"/>
          <w:color w:val="auto"/>
        </w:rPr>
        <w:t>. Licensee understands and acknowledges that, with the exception of its right to sell Remaining Inventory during the Sell-Off Period under Section 9.6, no rights under this Agreement whatsoever shall extend to Licensee beyond the expiration or termination of this Agreement. Licensee shall not be entitled to any compensatory payment in connection with the expiration or termination of this Agreement for any reason.</w:t>
      </w:r>
    </w:p>
    <w:p>
      <w:pPr>
        <w:spacing w:after="0" w:line="15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Each party shall return to the other, promptly upon the expiration or termination of this Agreement, or at any other time when requested, any and all property of the other party (including, but not limited to, all Confidential Information and copies thereof); provided, however, that S&amp;W may retain free of charge any items bearing the Licensed Trademarks, any samples supplied to it under this Agreement and any products supplied to it by Licensee.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Inventory Upon Termination or Expiration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right="60" w:hanging="3"/>
        <w:spacing w:after="0" w:line="235" w:lineRule="exact"/>
        <w:tabs>
          <w:tab w:leader="none" w:pos="107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expiration or termination of this Agreement, Licensee shall notify S&amp;W in writing detailing any inventory of Licensed Products remaining upon such expiration or termination (collectively, the “Remaining Inventory”). Licensee may sell-off (“Sell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to third parties all or any portion of the Remaining Inventory. The period for such sell-off (the “Sell-Off Period”) shall be the six (6) month period following the expiration or termination of this Agreement. Licensee’s proposed sell-off arrangements will be subject to S&amp;W’s prior written approval, and shall be subject to Licensee’s payment of royalties at the percentage rate and on the schedule set forth in Sections 6.1 and 6.2, and compliance with all other restrictions herein on the use of the Licensed Trademarks.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76" w:lineRule="exact"/>
        <w:rPr>
          <w:sz w:val="20"/>
          <w:szCs w:val="20"/>
          <w:color w:val="auto"/>
        </w:rPr>
      </w:pPr>
    </w:p>
    <w:p>
      <w:pPr>
        <w:jc w:val="both"/>
        <w:ind w:left="760" w:right="240" w:hanging="3"/>
        <w:spacing w:after="0" w:line="249" w:lineRule="auto"/>
        <w:tabs>
          <w:tab w:leader="none" w:pos="109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expiration of the Sell-Off Period, such part of any Remaining Inventory that is not otherwise sold, up to a maximum of six months’ supply based on the rolling 12 months’ sales through the termination date, shall be purchased by S&amp;W at Licensee’s reasonable cost thereof, and any Remaining Inventory that is not sold must be provided to S&amp;W free of charge or at S&amp;W’s sole option destroyed. Licensee shall make no claim against S&amp;W in connection therewith.</w:t>
      </w:r>
    </w:p>
    <w:p>
      <w:pPr>
        <w:spacing w:after="0" w:line="15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Surviving Terms</w:t>
      </w:r>
      <w:r>
        <w:rPr>
          <w:rFonts w:ascii="Times New Roman" w:cs="Times New Roman" w:eastAsia="Times New Roman" w:hAnsi="Times New Roman"/>
          <w:sz w:val="20"/>
          <w:szCs w:val="20"/>
          <w:color w:val="auto"/>
        </w:rPr>
        <w:t>. The following terms shall survive termination or expiration of this Agreement: 1, 3.1, 4, 7, 8, 9.5, 9.6, 11, 12, 13, 14, 15 and any other terms, which are expressly, or by their nature are impliedly, intended to survive. Notwithstanding the foregoing, the provisions of Section 7 (Records and Audit Rights) shall terminate one (1) year following the end of the Sell-Off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Marketing.</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Licensee shall use its best efforts to promote and expand the supply of Licensed Products throughout the Territory. Licensee shall comply with S&amp;W’s policies and procedures, as amended from time to time, and communicated in writing to Licensee with respect to intellectual property, marketing and promotional materials, and approvals. Licensee shall comply with S&amp;W’s policies and procedures for marketing materials, or obtain S&amp;W’s prior written approval, which shall not be unreasonably withheld, for any advertising, promotional, merchandising and other marketing materials for which Licensee is responsible pertaining to the Licensed Products, including all containers, packaging, labels, tags, advertisements, brochures and the like. Licensee shall, upon S&amp;W’s request from time to time, provide copies of any such marketing materials to S&amp;W. Licensee shall obtain, in writing, all necessary and applicable approvals in S&amp;W’s chain of command as identified to Licensee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Quality Control; Distribution; Consumer Inquiries.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Approval of Licensed Products</w:t>
      </w:r>
      <w:r>
        <w:rPr>
          <w:rFonts w:ascii="Times New Roman" w:cs="Times New Roman" w:eastAsia="Times New Roman" w:hAnsi="Times New Roman"/>
          <w:sz w:val="20"/>
          <w:szCs w:val="20"/>
          <w:color w:val="auto"/>
        </w:rPr>
        <w:t>. On at least an annual basis, or more frequently as necessary for the introduction of new Licensed Products during the year, Licensee shall obtain S&amp;W’s prior written approval, which shall not be unreasonably withheld, of all Licensed Products or any changes to Licensed Products. As requested by Licensor, Licensee will deliver to S&amp;W at no cost for approval by S&amp;W samples of each Licensed Product, and any material change thereto, prior to Licensee’s production manufacturing, initial presentation, sale or other use of such Licensed Products, and shall otherwise comply with S&amp;W product approval policies and procedures, as amended from time to time, and communicated in writing to Licensee. Licensee shall obtain, in writing, all necessary and applicable approvals in S&amp;W’s chain of command as identified to Licensee from time to time.</w:t>
      </w:r>
    </w:p>
    <w:p>
      <w:pPr>
        <w:spacing w:after="0" w:line="17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Product Standards</w:t>
      </w:r>
      <w:r>
        <w:rPr>
          <w:rFonts w:ascii="Times New Roman" w:cs="Times New Roman" w:eastAsia="Times New Roman" w:hAnsi="Times New Roman"/>
          <w:sz w:val="20"/>
          <w:szCs w:val="20"/>
          <w:color w:val="auto"/>
        </w:rPr>
        <w:t>. Licensee shall assure at all times that the Licensed Products: (a) are of a high quality standard consistent with the quality of S&amp;W products and otherwise conform to specifications, performance standards and quality standards of Licensee’s other premium positioned products; (b) conform to the samples submitted for approval described above, with modifications only as approved in writing by S&amp;W; (c) are sourced, manufactured, labeled, distributed, marketed, advertised, promoted and sold in accordance with all Applicable Laws and any S&amp;W codes of conduct or policies as the same may be modified, supplemented or superseded by S&amp;W from time to time (“S&amp;W Policies”); and (d) meet or exceed all government standards, Applicable Laws, manufacturing codes and the like. Licensee shall have and maintain a commercially reasonable quality assurance plan acceptable to S&amp;W to assure that the Licensed Products conform to the foregoing requirements, which plan shall be made available for inspection by S&amp;W upon its request.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7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Approval of Third Party Manufacturers/Suppliers</w:t>
      </w:r>
      <w:r>
        <w:rPr>
          <w:rFonts w:ascii="Times New Roman" w:cs="Times New Roman" w:eastAsia="Times New Roman" w:hAnsi="Times New Roman"/>
          <w:sz w:val="20"/>
          <w:szCs w:val="20"/>
          <w:color w:val="auto"/>
        </w:rPr>
        <w:t>. In no event will Licensee permit or engage any person or entity to manufacture or supply a Licensed Product or components thereof without first following all company policies and procedures relating to due diligence and approval of third-party manufacturers/suppliers. In any event, Licensee shall be fully responsible and liable for the acts and omissions of any manufacturer, whether or not approved by S&amp;W.</w:t>
      </w:r>
    </w:p>
    <w:p>
      <w:pPr>
        <w:spacing w:after="0" w:line="15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Manufacturing; Supply Chain</w:t>
      </w:r>
      <w:r>
        <w:rPr>
          <w:rFonts w:ascii="Times New Roman" w:cs="Times New Roman" w:eastAsia="Times New Roman" w:hAnsi="Times New Roman"/>
          <w:sz w:val="20"/>
          <w:szCs w:val="20"/>
          <w:color w:val="auto"/>
        </w:rPr>
        <w:t>. S&amp;W shall have the right to inspect and oversee components of Licensee’s manufacturing and supply chain to the extent necessary to protect the Licensed Trademarks, provided that in lieu of identifying any third party supplier, Licensee shall provide S&amp;W with information regarding how such supplier was selected and is measured, and such other information requested by S&amp;W regarding the quality standards employed by such supplier, which information shall be reasonably satisfactory to S&amp;W.</w:t>
      </w:r>
    </w:p>
    <w:p>
      <w:pPr>
        <w:spacing w:after="0" w:line="16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Distribution</w:t>
      </w:r>
      <w:r>
        <w:rPr>
          <w:rFonts w:ascii="Times New Roman" w:cs="Times New Roman" w:eastAsia="Times New Roman" w:hAnsi="Times New Roman"/>
          <w:sz w:val="20"/>
          <w:szCs w:val="20"/>
          <w:color w:val="auto"/>
        </w:rPr>
        <w:t>. Licensee shall not sell or distribute, and shall not permit any Affiliate of Licensee to sell or distribute, Licensed Products to any retailer or wholesaler outside the Channels of Distribution.</w:t>
      </w:r>
    </w:p>
    <w:p>
      <w:pPr>
        <w:spacing w:after="0" w:line="14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Consumer Inquiries</w:t>
      </w:r>
      <w:r>
        <w:rPr>
          <w:rFonts w:ascii="Times New Roman" w:cs="Times New Roman" w:eastAsia="Times New Roman" w:hAnsi="Times New Roman"/>
          <w:sz w:val="20"/>
          <w:szCs w:val="20"/>
          <w:color w:val="auto"/>
        </w:rPr>
        <w:t>. Licensee will at its sole cost and expense handle all product warranty and guarantee/satisfaction issues, response and compliance requirements, as well as all consumer inquiries or complaints relating in any way to any Licensed Product (collectively "Consumer Inquiries"). Licensee shall keep records of all Consumer Inquiries and shall put in place a quality assurance plan acceptable to S&amp;W for detecting and tracking and resolving quality problems reported to it by consumers. If Licensee learns of any consumer injury or alleged injury relating to a Licensed Product, Licensee shall promptly notify the Legal Department at S&amp;W. Licensee shall print on all packaging or packaging inserts for any Licensed Product contact information identifying the Licensee as the manufacturer or distributor (as the case may be) of the Licensed Product, including at least Licensee’s company name, address and email address for consumer inquiries or complaints.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Representations, Warranties and Additional Covenants.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S&amp;W Representations and Warranties</w:t>
      </w:r>
      <w:r>
        <w:rPr>
          <w:rFonts w:ascii="Times New Roman" w:cs="Times New Roman" w:eastAsia="Times New Roman" w:hAnsi="Times New Roman"/>
          <w:sz w:val="20"/>
          <w:szCs w:val="20"/>
          <w:color w:val="auto"/>
        </w:rPr>
        <w:t>. S&amp;W represents and warrants to Licensee that: (a) it is authorized to enter into this Agreement;</w:t>
      </w:r>
    </w:p>
    <w:p>
      <w:pPr>
        <w:spacing w:after="0" w:line="22" w:lineRule="exact"/>
        <w:rPr>
          <w:sz w:val="20"/>
          <w:szCs w:val="20"/>
          <w:color w:val="auto"/>
        </w:rPr>
      </w:pPr>
    </w:p>
    <w:p>
      <w:pPr>
        <w:ind w:right="160" w:firstLine="8"/>
        <w:spacing w:after="0" w:line="261" w:lineRule="auto"/>
        <w:tabs>
          <w:tab w:leader="none" w:pos="28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the right to grant the rights and licenses granted hereunder; and (c) it has not made, and will not make, any commitments to others inconsistent with, or in derogation of, such rights, provided S&amp;W makes no representations or warranties with respect to any Licensed Trademarks for use with any product outside of any jurisdiction in which and with respect to which such Licensed Trademark is registered.</w:t>
      </w:r>
    </w:p>
    <w:p>
      <w:pPr>
        <w:spacing w:after="0" w:line="15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Licensee General Representations and Warranties</w:t>
      </w:r>
      <w:r>
        <w:rPr>
          <w:rFonts w:ascii="Times New Roman" w:cs="Times New Roman" w:eastAsia="Times New Roman" w:hAnsi="Times New Roman"/>
          <w:sz w:val="20"/>
          <w:szCs w:val="20"/>
          <w:color w:val="auto"/>
        </w:rPr>
        <w:t>. Licensee represents and warrants to S&amp;W that: (a) it is authorized to enter into this Agreement; (b) it has not made, and will not make, any commitments inconsistent with, or in derogation of, the rights granted in this Agreement; (c) by entering into and performing under this Agreement it is not, and shall not be, in conflict with any prior obligations to third parties; (d) the Licensed Products and all associated materials are, and shall be, free from any claims of infringement of any third party’s proprietary or other intellectual property rights (including trade secret, patent, copyright and trademark rights); (e) the Licensed Products and all associated materials are, and shall be, free from defects in design, material and workmanship and are, and shall be, safe and suitable for their intended and foreseeable uses; (f) the Licensed Products and all associated materials are, and shall be, free from any claim of product liability; (g) the Licensed Products and all associated materials shall meet the requirements of all Applicable Laws in the Territory; and (h) Licensee will comply with all S&amp;W Policies for which Licensee has been provided with written notification.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Licensee Compliance with Conflict Minerals Laws</w:t>
      </w:r>
      <w:r>
        <w:rPr>
          <w:rFonts w:ascii="Times New Roman" w:cs="Times New Roman" w:eastAsia="Times New Roman" w:hAnsi="Times New Roman"/>
          <w:sz w:val="20"/>
          <w:szCs w:val="20"/>
          <w:color w:val="auto"/>
        </w:rPr>
        <w:t>. Licensee shall ensure that it is able to provide to S&amp;W upon request, information in sufficient detail (with certifications if requested), to enable S&amp;W to timely comply with all of its diligence, disclosure and audit requirements under Section 1502 of the</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7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Dodd-Frank Wall Street Reform and Consumer Protection Act (the "Dodd-Frank Act") and Rule 13p-1 and Form SD under the Securities Exchange Act of 1934, and any similar, applicable statutes and regulations, including due inquiry of Licensee’s suppliers (and certifications by such suppliers) identifying conflict minerals (as defined in Section 1502(e)(4) of the Dodd-Frank Act) contained in each Licensed Product and the country of origin of such conflict minerals (or, following due inquiry, why such country of origin cannot be determined).</w:t>
      </w:r>
    </w:p>
    <w:p>
      <w:pPr>
        <w:spacing w:after="0" w:line="15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Licensee Compliance with Anti-Corruption/Anti-Bribery and Import/Export Control Laws</w:t>
      </w:r>
      <w:r>
        <w:rPr>
          <w:rFonts w:ascii="Times New Roman" w:cs="Times New Roman" w:eastAsia="Times New Roman" w:hAnsi="Times New Roman"/>
          <w:sz w:val="20"/>
          <w:szCs w:val="20"/>
          <w:color w:val="auto"/>
        </w:rPr>
        <w:t>. Licensee shall: (a) comply with all applicable laws and regulations prohibiting corrupt practices and/or bribery, including, but not limited to, the United States Foreign Corrupt Practices Act (“FCPA”) and the United Kingdom Anti-Bribery Act; (b) comply with all applicable export and import laws and regulations; and (c) not directly or indirectly export, re-export, distribute or transfer any technology, Confidential Information or materials of any value to any nation, individual or entity that is prohibited or restricted by law or regulation, including, but not limited to, the U.S. Department of State International Traffic in Arms Regulations, the U.S. Department of Commerce Export Administration Regulations, the U.S. Treasury Office of Foreign Assets Control, and the U.S. Department of State’s State Sponsors of Terrorism designation. Licensee shall provide S&amp;W with such information and certifications as are from time to time reasonably requested by S&amp;W regarding Licensee’s compliance with all applicable company policies concerning anti-corruption/anti-bribery and/or import/export laws and regulations.</w:t>
      </w:r>
    </w:p>
    <w:p>
      <w:pPr>
        <w:spacing w:after="0" w:line="17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Licensee shall comply with all Applicable Laws applicable to its sale and use of Licensed Products, and all industry practices, guidelines or other standards requested by S&amp;W, including any standards relating to privacy and security of personal information and payment card information.</w:t>
      </w:r>
    </w:p>
    <w:p>
      <w:pPr>
        <w:spacing w:after="0" w:line="16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Website</w:t>
      </w:r>
      <w:r>
        <w:rPr>
          <w:rFonts w:ascii="Times New Roman" w:cs="Times New Roman" w:eastAsia="Times New Roman" w:hAnsi="Times New Roman"/>
          <w:sz w:val="20"/>
          <w:szCs w:val="20"/>
          <w:color w:val="auto"/>
        </w:rPr>
        <w:t>. During the term of this Agreement, (a) Licensor shall ensure that the website https://www.smith-wesson.com/ and any successor website that serves as Licensor's primary website during such time contains a link to Licensee's website and (b) Licensee shall have the non-exclusive right to use the website domain https://store.smith-wesson.com, which Licensee acknowledges is owned by Licensor, in connection with Licensee’s sale of Licensed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Indemnification by Licensee; Insurance.</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13.1 </w:t>
      </w:r>
      <w:r>
        <w:rPr>
          <w:rFonts w:ascii="Times New Roman" w:cs="Times New Roman" w:eastAsia="Times New Roman" w:hAnsi="Times New Roman"/>
          <w:sz w:val="19"/>
          <w:szCs w:val="19"/>
          <w:u w:val="single" w:color="auto"/>
          <w:color w:val="auto"/>
        </w:rPr>
        <w:t>Licensee Indemnity</w:t>
      </w:r>
      <w:r>
        <w:rPr>
          <w:rFonts w:ascii="Times New Roman" w:cs="Times New Roman" w:eastAsia="Times New Roman" w:hAnsi="Times New Roman"/>
          <w:sz w:val="19"/>
          <w:szCs w:val="19"/>
          <w:color w:val="auto"/>
        </w:rPr>
        <w:t>. Licensee shall indemnify and hold S&amp;W and its parent company, and their respective directors, officers, employees and agents (altogether the “S&amp;W Parties”) harmless from and against any and all claims arising out of or relating to: (a) any inaccuracy or breach of Licensee’s representations, warranties, covenants or other obligations hereunder (including those set forth in Sections 12.2, 12.3, 12.4, and 12.5); (b) the design, development, manufacture, sourcing, marketing, advertising, promotion, merchandising, shipment, importing, exporting, distribution, sale or use of any Licensed Products or Promotional Materials (including any (i) product liability claims, (ii) claims of personal injury, death or property damage, (iii) claims made under any guaranties made or warranties given (in each case, whether express or implied) with respect to such Licensed Products, (iv) any claims of infringement or misappropriation of Intellectual Property of a third party except any claim arising out of the use of the Licensed Trademark or S&amp;W’s Intellectual Property, or (v) any similar or other claim based on strict liability, negligence or warranty (whether express or implied)); or (c) any use of the Licensed Trademarks by Licensee in a manner not authorized by this License Agreement, provided however Licensee shall not have any indemnification obligations hereunder to the extent arising out of S&amp;W’s breach of this agreement, gross negligence or intentional misconduct. Any settlement of any claim as a result of Licensee’s indemnification obligations hereunder shall first require the consent of S&amp;W, and must release S&amp;W from all liability for any and all claims arising out of or relating to the matter that were or could have been asserted by the claimant/plaintiff.</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S&amp;W Indemnity</w:t>
      </w:r>
      <w:r>
        <w:rPr>
          <w:rFonts w:ascii="Times New Roman" w:cs="Times New Roman" w:eastAsia="Times New Roman" w:hAnsi="Times New Roman"/>
          <w:sz w:val="20"/>
          <w:szCs w:val="20"/>
          <w:color w:val="auto"/>
        </w:rPr>
        <w:t>. S&amp;W shall indemnify and hold Licensee and its parent company, and their respective directors, officers, employees and agents harmless from and against any and all claims arising out of (a) any inaccuracy or breach of S&amp;W’s representations, warranties, covenants or other obligations hereunder, and (b) third party claims of infringement or misappropriation of a Licensed Trademark arising from use of a Licensed Trademark in a jurisdiction and with a Licensed Product in which and as to which such Licensed Trademark is registered, provided however S&amp;W shall not have any indemnification obligations hereunder to the extent arising out of Licensee’s breach of this agreement, gross negligence or intentional misconduct.</w:t>
      </w:r>
    </w:p>
    <w:p>
      <w:pPr>
        <w:spacing w:after="0" w:line="15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Third Party Claims</w:t>
      </w:r>
      <w:r>
        <w:rPr>
          <w:rFonts w:ascii="Times New Roman" w:cs="Times New Roman" w:eastAsia="Times New Roman" w:hAnsi="Times New Roman"/>
          <w:sz w:val="20"/>
          <w:szCs w:val="20"/>
          <w:color w:val="auto"/>
        </w:rPr>
        <w:t>. If either party seeks indemnification or damages (the “Indemnified Party”) under this Agreement from the other party (the “Indemnifying Party”) for any claim asserted, against such Indemnified Party by a third party (a “Third Party Claim”), the Indemnified Party shall, promptly upon gaining knowledge of such Third Party Claim, deliver to the Indemnifying Party notice (a “Claim Notice”) of such Third Party Claim with sufficient detail as to why the Indemnifying Party is responsible for such Third Party Claim; provided, that a failure by the Indemnified Party to give such Claim Notice in the manner required pursuant to this Section 13.3 shall not limit or otherwise affect the obligations of the Indemnifying Party under this Agreement, except to the extent that such Indemnifying Party is actually prejudiced with respect to the rights available to the Indemnifying Party with respect to such Third Party Claims, and then only to the extent of any such actual prejudice. The Indemnifying Party shall have the right, at its sole option and expense, to appoint counsel of its choice, which must be reasonably satisfactory to the Indemnified Party, and to defend against, negotiate, settle or otherwise deal with such Third Party Claim in lieu of the Indemnified Party defending or settling such claim, provided the Indemnifying Party shall not have the right to defend such Third Party Claim if such Third-Party Claim seeks relief other than the payment of monetary damages or seeks the imposition of a consent order, injunction or decree that would materially restrict the future activity or conduct of the Indemnified Party, or is a criminal Legal proceeding or alleges, or seeks a finding or admission of a violation of Law or violation of the rights of any person by the Indemnified Party.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right="180" w:hanging="3"/>
        <w:spacing w:after="0" w:line="246" w:lineRule="auto"/>
        <w:tabs>
          <w:tab w:leader="none" w:pos="107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during the Term of this Agreement and for a period of three years thereafter, Licensee shall procure and maintain, at its sole cost and expense, commercial general liability insurance with limits not less than Two Million Dollars ($2,000,000) per occurrence and Five Million Dollars ($5,000,000) in the aggregate, including bodily injury and property damage and products and completed operations and advertising liability, which policy will include contractual liability coverage insuring the activities of Licensee under this Agreement.</w:t>
      </w:r>
    </w:p>
    <w:p>
      <w:pPr>
        <w:spacing w:after="0" w:line="157" w:lineRule="exact"/>
        <w:rPr>
          <w:rFonts w:ascii="Times New Roman" w:cs="Times New Roman" w:eastAsia="Times New Roman" w:hAnsi="Times New Roman"/>
          <w:sz w:val="20"/>
          <w:szCs w:val="20"/>
          <w:color w:val="auto"/>
        </w:rPr>
      </w:pPr>
    </w:p>
    <w:p>
      <w:pPr>
        <w:ind w:left="1080" w:hanging="323"/>
        <w:spacing w:after="0"/>
        <w:tabs>
          <w:tab w:leader="none" w:pos="10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 policies required pursuant to Section 13.2 must:</w:t>
      </w:r>
    </w:p>
    <w:p>
      <w:pPr>
        <w:spacing w:after="0" w:line="202" w:lineRule="exact"/>
        <w:rPr>
          <w:rFonts w:ascii="Times New Roman" w:cs="Times New Roman" w:eastAsia="Times New Roman" w:hAnsi="Times New Roman"/>
          <w:sz w:val="20"/>
          <w:szCs w:val="20"/>
          <w:color w:val="auto"/>
        </w:rPr>
      </w:pPr>
    </w:p>
    <w:p>
      <w:pPr>
        <w:ind w:left="1800" w:hanging="295"/>
        <w:spacing w:after="0"/>
        <w:tabs>
          <w:tab w:leader="none" w:pos="18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issued by insurance companies reasonably acceptable to Licensor;</w:t>
      </w:r>
    </w:p>
    <w:p>
      <w:pPr>
        <w:spacing w:after="0" w:line="202" w:lineRule="exact"/>
        <w:rPr>
          <w:rFonts w:ascii="Times New Roman" w:cs="Times New Roman" w:eastAsia="Times New Roman" w:hAnsi="Times New Roman"/>
          <w:sz w:val="20"/>
          <w:szCs w:val="20"/>
          <w:color w:val="auto"/>
        </w:rPr>
      </w:pPr>
    </w:p>
    <w:p>
      <w:pPr>
        <w:ind w:left="1500" w:right="80" w:firstLine="5"/>
        <w:spacing w:after="0" w:line="254" w:lineRule="auto"/>
        <w:tabs>
          <w:tab w:leader="none" w:pos="184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such insurance carriers give Licensor at least 30 days’ prior written notice of cancellation or non-renewal of policy coverage; provided that, prior to such cancellation, Licensee has new insurance policies in place that meet the requirements of Section 13.2;</w:t>
      </w:r>
    </w:p>
    <w:p>
      <w:pPr>
        <w:spacing w:after="0" w:line="14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right of subrogation of the insurers against Licensor or any of its Affiliates;</w:t>
      </w:r>
    </w:p>
    <w:p>
      <w:pPr>
        <w:spacing w:after="0" w:line="202" w:lineRule="exact"/>
        <w:rPr>
          <w:rFonts w:ascii="Times New Roman" w:cs="Times New Roman" w:eastAsia="Times New Roman" w:hAnsi="Times New Roman"/>
          <w:sz w:val="20"/>
          <w:szCs w:val="20"/>
          <w:color w:val="auto"/>
        </w:rPr>
      </w:pPr>
    </w:p>
    <w:p>
      <w:pPr>
        <w:ind w:left="1500" w:right="260" w:firstLine="5"/>
        <w:spacing w:after="0" w:line="269" w:lineRule="auto"/>
        <w:tabs>
          <w:tab w:leader="none" w:pos="1885"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such insurance be primary insurance and any similar insurance in the name of and/or for the benefit of Licensor is excess and non-contributory; and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76" w:lineRule="exact"/>
        <w:rPr>
          <w:sz w:val="20"/>
          <w:szCs w:val="20"/>
          <w:color w:val="auto"/>
        </w:rPr>
      </w:pPr>
    </w:p>
    <w:p>
      <w:pPr>
        <w:ind w:left="1840" w:hanging="335"/>
        <w:spacing w:after="0"/>
        <w:tabs>
          <w:tab w:leader="none" w:pos="184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Licensor and its Affiliates, including, in each case, all successors and permitted assigns, as additional insureds.</w:t>
      </w:r>
    </w:p>
    <w:p>
      <w:pPr>
        <w:spacing w:after="0" w:line="188" w:lineRule="exact"/>
        <w:rPr>
          <w:rFonts w:ascii="Times New Roman" w:cs="Times New Roman" w:eastAsia="Times New Roman" w:hAnsi="Times New Roman"/>
          <w:sz w:val="20"/>
          <w:szCs w:val="20"/>
          <w:color w:val="auto"/>
        </w:rPr>
      </w:pPr>
    </w:p>
    <w:p>
      <w:pPr>
        <w:ind w:left="760" w:right="300" w:hanging="3"/>
        <w:spacing w:after="0" w:line="269" w:lineRule="auto"/>
        <w:tabs>
          <w:tab w:leader="none" w:pos="107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Licensee shall provide Licensor with copies of the certificates of insurance and policy endorsements required by this Section 13.4 upon the written request of Licensor, and shall not do anything to invalidate such insurance.</w:t>
      </w:r>
    </w:p>
    <w:p>
      <w:pPr>
        <w:spacing w:after="0" w:line="141"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w:t>
      </w:r>
    </w:p>
    <w:p>
      <w:pPr>
        <w:spacing w:after="0" w:line="2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u w:val="single" w:color="auto"/>
          <w:color w:val="auto"/>
        </w:rPr>
        <w:t>Confidentiality and Non-Disclosure</w:t>
      </w:r>
      <w:r>
        <w:rPr>
          <w:rFonts w:ascii="Times New Roman" w:cs="Times New Roman" w:eastAsia="Times New Roman" w:hAnsi="Times New Roman"/>
          <w:sz w:val="20"/>
          <w:szCs w:val="20"/>
          <w:color w:val="auto"/>
        </w:rPr>
        <w:t>. The parties acknowledge that during the course of their performance under this Agreement, each party may learn Confidential Information of the other party. Each party agrees to take reasonable steps to protect such Confidential Information and further agrees that it shall not: (a) use such Confidential Information except as required in the normal and proper course of performing under this Agreement; (b) disclose such Confidential Information to a third party; or (c) allow a third party access to such Confidential Information (except as may otherwise be required by law) without, in each case, obtaining the prior written approval of the other party, provided, however, that such restrictions shall not apply to Confidential Information which a party has requested be subject to a confidentiality order but nonetheless is required to be revealed to an adjudicating body in the course of litigation. All Confidential Information is, and shall remain, the property of the party which supplied it. Each party shall take reasonable steps to mark its Confidential Information which is in written form with appropriate legends, provided, however, that the failure so to mark such Confidential Information shall not relieve the other party of its obligations hereunder.</w:t>
      </w:r>
    </w:p>
    <w:p>
      <w:pPr>
        <w:spacing w:after="0" w:line="16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u w:val="single" w:color="auto"/>
          <w:color w:val="auto"/>
        </w:rPr>
        <w:t>Prohibited Use of S&amp;W’s Confidential Information</w:t>
      </w:r>
      <w:r>
        <w:rPr>
          <w:rFonts w:ascii="Times New Roman" w:cs="Times New Roman" w:eastAsia="Times New Roman" w:hAnsi="Times New Roman"/>
          <w:sz w:val="20"/>
          <w:szCs w:val="20"/>
          <w:color w:val="auto"/>
        </w:rPr>
        <w:t>. Under no circumstances shall Licensee: (a) use S&amp;W Confidential Information in connection with products outside of the scope of Licensee’s business of manufacturing, selling and sourcing firearm accessories, or that are not Licensed Products; or (b) disclose S&amp;W Confidential Information to, or allow access to S&amp;W Confidential Information by, anyone not directly associated with the design, development or manufacture of Licensed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Miscellaneous.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Recalls</w:t>
      </w:r>
      <w:r>
        <w:rPr>
          <w:rFonts w:ascii="Times New Roman" w:cs="Times New Roman" w:eastAsia="Times New Roman" w:hAnsi="Times New Roman"/>
          <w:sz w:val="20"/>
          <w:szCs w:val="20"/>
          <w:color w:val="auto"/>
        </w:rPr>
        <w:t>. Licensee shall immediately notify S&amp;W in the event of any product defect or recall considerations or deliberations concerning a Licensed Product. If, at any time, S&amp;W determines that any Licensed Product sold by Licensee is defective, unsafe or otherwise harmful or potentially harmful to consumers or S&amp;W, S&amp;W shall have the right (but shall not be obligated) to require Licensee to recall such Licensed Product, provided, however, that such recall (or failure so to recall) shall not relieve Licensee of any obligations hereunder. The type and method of recall shall be subject to S&amp;W’s approval. Licensee shall bear any and all costs related to any recall of Licensed Products, whether such recall is voluntary or required by S&amp;W or any governmental authority. Licensee shall have and maintain an adequate and comprehensive lot traceability program to ensure recall effectiveness.</w:t>
      </w:r>
    </w:p>
    <w:p>
      <w:pPr>
        <w:spacing w:after="0" w:line="15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u w:val="single" w:color="auto"/>
          <w:color w:val="auto"/>
        </w:rPr>
        <w:t>Relationship of the Parties</w:t>
      </w:r>
      <w:r>
        <w:rPr>
          <w:rFonts w:ascii="Times New Roman" w:cs="Times New Roman" w:eastAsia="Times New Roman" w:hAnsi="Times New Roman"/>
          <w:sz w:val="20"/>
          <w:szCs w:val="20"/>
          <w:color w:val="auto"/>
        </w:rPr>
        <w:t>. Neither Licensee nor S&amp;W shall be construed to be the agent of the other in any respect. The parties have entered into this Agreement as independent contractors only, and nothing herein shall be construed to place the parties in the relationship of partners, joint venturers, agents or legal representatives. Neither Licensee nor S&amp;W will have the authority to obligate or bind the other in any manner as to any third party. Nothing contained herein shall be construed to restrict Licensee’s ability to set its prices with respect to unaffiliated third parties.</w:t>
      </w:r>
    </w:p>
    <w:p>
      <w:pPr>
        <w:spacing w:after="0" w:line="17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with respect to its subject matter and, as of its Effective Date, supersedes all prior agreements, understandings, commitments, negotiations and discussions with respect thereto, whether oral or written.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6"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u w:val="single" w:color="auto"/>
          <w:color w:val="auto"/>
        </w:rPr>
        <w:t>No Amendment</w:t>
      </w:r>
      <w:r>
        <w:rPr>
          <w:rFonts w:ascii="Times New Roman" w:cs="Times New Roman" w:eastAsia="Times New Roman" w:hAnsi="Times New Roman"/>
          <w:sz w:val="20"/>
          <w:szCs w:val="20"/>
          <w:color w:val="auto"/>
        </w:rPr>
        <w:t>. This Agreement may not be amended or modified in any respect, except upon mutual written agreement of the parties.</w:t>
      </w:r>
    </w:p>
    <w:p>
      <w:pPr>
        <w:spacing w:after="0" w:line="132" w:lineRule="exact"/>
        <w:rPr>
          <w:sz w:val="20"/>
          <w:szCs w:val="20"/>
          <w:color w:val="auto"/>
        </w:rPr>
      </w:pPr>
    </w:p>
    <w:p>
      <w:pPr>
        <w:jc w:val="both"/>
        <w:ind w:right="640"/>
        <w:spacing w:after="0" w:line="274"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The failure of any party to insist upon strict adherence to any provision of this Agreement on any occasion shall not be considered a waiver of such party’s right to insist upon strict adherence to such provision thereafter or to any other provision of this Agreement in any instance. Any waiver shall be in writing signed by the party against whom such waiver is sought to be enforced.</w:t>
      </w:r>
    </w:p>
    <w:p>
      <w:pPr>
        <w:spacing w:after="0" w:line="1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15.6 </w:t>
      </w:r>
      <w:r>
        <w:rPr>
          <w:rFonts w:ascii="Times New Roman" w:cs="Times New Roman" w:eastAsia="Times New Roman" w:hAnsi="Times New Roman"/>
          <w:sz w:val="20"/>
          <w:szCs w:val="20"/>
          <w:u w:val="single" w:color="auto"/>
          <w:color w:val="auto"/>
        </w:rPr>
        <w:t>Sublicensing and Assignment</w:t>
      </w:r>
      <w:r>
        <w:rPr>
          <w:rFonts w:ascii="Times New Roman" w:cs="Times New Roman" w:eastAsia="Times New Roman" w:hAnsi="Times New Roman"/>
          <w:sz w:val="20"/>
          <w:szCs w:val="20"/>
          <w:color w:val="auto"/>
        </w:rPr>
        <w:t>. This Agreement and the rights and licenses granted to Licensee are personal to Licensee. Licensee shall not sublicense any of the Licensed Trademarks or assign or transfer any of its rights or delegate any of its obligations under this Agreement without the prior written consent of S&amp;W. S&amp;W shall not unreasonably withhold its consent to a proposed sublicense or assignment by Licensee to an Affiliate of Licensee, except S&amp;W may, in its sole discretion, withhold any consent to any such proposed sublicense or assignment following a change of Control of Licensee or of any Affiliate of Licensee. Any attempted sublicense, assignment, transfer or delegation in violation of this Section 15.6 or by virtue of the operation of law shall be null and void and of no effect. This Agreement shall be binding upon, and shall inure to the benefit of, the parties’ respective successors and permitted assigns. For purposes of this Section 15.6, a “transfer” shall include the following actions by Licensee (whether effected in a single transaction or in a series of related transactions, and whether effected directly or indirectly): (a) the sale or other disposition of all or substantially all of Licensee’s business or assets (except for “ordinary course” inventory sales); (b) the transfer of effective voting or other business Control of Licensee; or (c) any other change of Control of Licensee.</w:t>
      </w:r>
    </w:p>
    <w:p>
      <w:pPr>
        <w:spacing w:after="0" w:line="17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 xml:space="preserve">15.7 </w:t>
      </w:r>
      <w:r>
        <w:rPr>
          <w:rFonts w:ascii="Times New Roman" w:cs="Times New Roman" w:eastAsia="Times New Roman" w:hAnsi="Times New Roman"/>
          <w:sz w:val="20"/>
          <w:szCs w:val="20"/>
          <w:u w:val="single" w:color="auto"/>
          <w:color w:val="auto"/>
        </w:rPr>
        <w:t>Severability; Reformation</w:t>
      </w:r>
      <w:r>
        <w:rPr>
          <w:rFonts w:ascii="Times New Roman" w:cs="Times New Roman" w:eastAsia="Times New Roman" w:hAnsi="Times New Roman"/>
          <w:sz w:val="20"/>
          <w:szCs w:val="20"/>
          <w:color w:val="auto"/>
        </w:rPr>
        <w:t>. The provisions of this Agreement shall be severable. If a court of competent jurisdiction shall declare any provision of this Agreement invalid, illegally or unenforceable, the other provisions hereof shall remain in full force and effect, and such court shall be empowered to modify, if possible, such invalid, illegal or unenforceable provision to the extent necessary to make it valid and enforceable to the maximum extent possible.</w:t>
      </w:r>
    </w:p>
    <w:p>
      <w:pPr>
        <w:spacing w:after="0" w:line="153"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 xml:space="preserve">15.8 </w:t>
      </w: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Licensee acknowledges and agrees that: (a) its failure to perform its obligations under this Agreement and its breach of any provision hereof, in any instance, shall result in immediate and irreparable damage to S&amp;W; (b) no adequate remedy at law exists for such damage; and (c) in the event of such failure or breach, S&amp;W shall be entitled to equitable relief by way of temporary, preliminary and permanent injunctions, and such other and further relief as any court of competent jurisdiction may deem just and proper, in addition to, and without prejudice to, any other relief whether in law or in equity to which S&amp;W may be entitled.</w:t>
      </w:r>
    </w:p>
    <w:p>
      <w:pPr>
        <w:spacing w:after="0" w:line="171"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0"/>
          <w:szCs w:val="20"/>
          <w:color w:val="auto"/>
        </w:rPr>
        <w:t xml:space="preserve">15.9 </w:t>
      </w:r>
      <w:r>
        <w:rPr>
          <w:rFonts w:ascii="Times New Roman" w:cs="Times New Roman" w:eastAsia="Times New Roman" w:hAnsi="Times New Roman"/>
          <w:sz w:val="20"/>
          <w:szCs w:val="20"/>
          <w:u w:val="single" w:color="auto"/>
          <w:color w:val="auto"/>
        </w:rPr>
        <w:t>Governing Law; Jurisdiction and Venue</w:t>
      </w:r>
      <w:r>
        <w:rPr>
          <w:rFonts w:ascii="Times New Roman" w:cs="Times New Roman" w:eastAsia="Times New Roman" w:hAnsi="Times New Roman"/>
          <w:sz w:val="20"/>
          <w:szCs w:val="20"/>
          <w:color w:val="auto"/>
        </w:rPr>
        <w:t>. This Agreement will be governed by and construed in accordance with the laws of the Commonwealth of Massachusetts applicable to agreements made and to be performed entirely therein. Licensee hereby consents to the exclusive jurisdiction of the courts of the Commonwealth of Massachusetts and of the United States District Court for the District of Massachusetts for resolution of all claims, differences and disputes which the parties may have regarding, or which arise under, this Agreement. Any judgment or other decision of any such court shall be enforceable, without further proceedings, against the named party anywhere in the world where such party is located, does business or has assets.</w:t>
      </w:r>
    </w:p>
    <w:p>
      <w:pPr>
        <w:spacing w:after="0" w:line="17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15.10 </w:t>
      </w:r>
      <w:r>
        <w:rPr>
          <w:rFonts w:ascii="Times New Roman" w:cs="Times New Roman" w:eastAsia="Times New Roman" w:hAnsi="Times New Roman"/>
          <w:sz w:val="20"/>
          <w:szCs w:val="20"/>
          <w:u w:val="single" w:color="auto"/>
          <w:color w:val="auto"/>
        </w:rPr>
        <w:t>Waiver of Right to Jury Trial</w:t>
      </w:r>
      <w:r>
        <w:rPr>
          <w:rFonts w:ascii="Times New Roman" w:cs="Times New Roman" w:eastAsia="Times New Roman" w:hAnsi="Times New Roman"/>
          <w:sz w:val="20"/>
          <w:szCs w:val="20"/>
          <w:color w:val="auto"/>
        </w:rPr>
        <w:t>. EACH OF THE PARTIES HEREBY WAIVES ITS RIGHTS TO A TRIAL BY JURY IN ANY LITIGATION IN ANY COURT WITH RESPECT TO, IN CONNECTION WITH, OR ARISING OUT OF, THIS AGREEMENT OR THE VALIDITY, INTERPRETATION OR ENFORCEMENT OF THIS AGREEMENT OR ANY OF THE TRANSACTIONS CONTEMPLATED HEREIN.</w:t>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4" w:name="page135"/>
    <w:bookmarkEnd w:id="134"/>
    <w:p>
      <w:pPr>
        <w:spacing w:after="0" w:line="17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15.11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Materials required to be delivered to any party hereunder shall be delivered to the address given below for such party. Unless otherwise expressly stated in this Agreement, any notice, accounting statement, consent, approval or other communication under this Agreement shall be in writing and shall be considered given: (a) upon personal delivery, (b) two (2) business days after being deposited with an “overnight” courier or “express mail” service, or (c) seven (7) business days after being mailed by registered or certified first class mail, return receipt requested, in each case addressed to the notified party at its address set forth below (or at such other address as such party may specify by notice to the others delivered in accordance with this Section 15):</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5" w:name="page136"/>
    <w:bookmarkEnd w:id="135"/>
    <w:p>
      <w:pPr>
        <w:jc w:val="center"/>
        <w:ind w:right="-219"/>
        <w:spacing w:after="0"/>
        <w:rPr>
          <w:sz w:val="20"/>
          <w:szCs w:val="20"/>
          <w:color w:val="auto"/>
        </w:rPr>
      </w:pPr>
      <w:r>
        <w:rPr>
          <w:rFonts w:ascii="Times New Roman" w:cs="Times New Roman" w:eastAsia="Times New Roman" w:hAnsi="Times New Roman"/>
          <w:sz w:val="20"/>
          <w:szCs w:val="20"/>
          <w:color w:val="auto"/>
        </w:rPr>
        <w:t>[continued on next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If to S&amp;W</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Smith &amp; Wesson Inc.</w:t>
      </w:r>
    </w:p>
    <w:p>
      <w:pPr>
        <w:ind w:left="580"/>
        <w:spacing w:after="0"/>
        <w:rPr>
          <w:sz w:val="20"/>
          <w:szCs w:val="20"/>
          <w:color w:val="auto"/>
        </w:rPr>
      </w:pPr>
      <w:r>
        <w:rPr>
          <w:rFonts w:ascii="Times New Roman" w:cs="Times New Roman" w:eastAsia="Times New Roman" w:hAnsi="Times New Roman"/>
          <w:sz w:val="20"/>
          <w:szCs w:val="20"/>
          <w:color w:val="auto"/>
        </w:rPr>
        <w:t>1852 Proffitt Springs Rd.</w:t>
      </w:r>
    </w:p>
    <w:p>
      <w:pPr>
        <w:ind w:left="580"/>
        <w:spacing w:after="0"/>
        <w:rPr>
          <w:sz w:val="20"/>
          <w:szCs w:val="20"/>
          <w:color w:val="auto"/>
        </w:rPr>
      </w:pPr>
      <w:r>
        <w:rPr>
          <w:rFonts w:ascii="Times New Roman" w:cs="Times New Roman" w:eastAsia="Times New Roman" w:hAnsi="Times New Roman"/>
          <w:sz w:val="20"/>
          <w:szCs w:val="20"/>
          <w:color w:val="auto"/>
        </w:rPr>
        <w:t>Maryville, TN 37801</w:t>
      </w:r>
    </w:p>
    <w:p>
      <w:pPr>
        <w:ind w:left="580"/>
        <w:spacing w:after="0"/>
        <w:rPr>
          <w:sz w:val="20"/>
          <w:szCs w:val="20"/>
          <w:color w:val="auto"/>
        </w:rPr>
      </w:pPr>
      <w:r>
        <w:rPr>
          <w:rFonts w:ascii="Times New Roman" w:cs="Times New Roman" w:eastAsia="Times New Roman" w:hAnsi="Times New Roman"/>
          <w:sz w:val="20"/>
          <w:szCs w:val="20"/>
          <w:color w:val="auto"/>
        </w:rPr>
        <w:t>Attn: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Smith &amp; Wesson Inc.</w:t>
      </w:r>
    </w:p>
    <w:p>
      <w:pPr>
        <w:ind w:left="580"/>
        <w:spacing w:after="0"/>
        <w:rPr>
          <w:sz w:val="20"/>
          <w:szCs w:val="20"/>
          <w:color w:val="auto"/>
        </w:rPr>
      </w:pPr>
      <w:r>
        <w:rPr>
          <w:rFonts w:ascii="Times New Roman" w:cs="Times New Roman" w:eastAsia="Times New Roman" w:hAnsi="Times New Roman"/>
          <w:sz w:val="20"/>
          <w:szCs w:val="20"/>
          <w:color w:val="auto"/>
        </w:rPr>
        <w:t>1852 Proffitt Springs Rd.</w:t>
      </w:r>
    </w:p>
    <w:p>
      <w:pPr>
        <w:ind w:left="580"/>
        <w:spacing w:after="0"/>
        <w:rPr>
          <w:sz w:val="20"/>
          <w:szCs w:val="20"/>
          <w:color w:val="auto"/>
        </w:rPr>
      </w:pPr>
      <w:r>
        <w:rPr>
          <w:rFonts w:ascii="Times New Roman" w:cs="Times New Roman" w:eastAsia="Times New Roman" w:hAnsi="Times New Roman"/>
          <w:sz w:val="20"/>
          <w:szCs w:val="20"/>
          <w:color w:val="auto"/>
        </w:rPr>
        <w:t>Maryville, TN 37801</w:t>
      </w:r>
    </w:p>
    <w:p>
      <w:pPr>
        <w:ind w:left="580"/>
        <w:spacing w:after="0"/>
        <w:rPr>
          <w:sz w:val="20"/>
          <w:szCs w:val="20"/>
          <w:color w:val="auto"/>
        </w:rPr>
      </w:pPr>
      <w:r>
        <w:rPr>
          <w:rFonts w:ascii="Times New Roman" w:cs="Times New Roman" w:eastAsia="Times New Roman" w:hAnsi="Times New Roman"/>
          <w:sz w:val="20"/>
          <w:szCs w:val="20"/>
          <w:color w:val="auto"/>
        </w:rPr>
        <w:t>Attn: Legal Department</w:t>
      </w:r>
    </w:p>
    <w:p>
      <w:pPr>
        <w:spacing w:after="0"/>
        <w:rPr>
          <w:sz w:val="20"/>
          <w:szCs w:val="20"/>
          <w:color w:val="auto"/>
        </w:rPr>
      </w:pPr>
      <w:r>
        <w:rPr>
          <w:rFonts w:ascii="Times New Roman" w:cs="Times New Roman" w:eastAsia="Times New Roman" w:hAnsi="Times New Roman"/>
          <w:sz w:val="20"/>
          <w:szCs w:val="20"/>
          <w:u w:val="single" w:color="auto"/>
          <w:color w:val="auto"/>
        </w:rPr>
        <w:t>If to Licensee</w:t>
      </w:r>
      <w:r>
        <w:rPr>
          <w:rFonts w:ascii="Times New Roman" w:cs="Times New Roman" w:eastAsia="Times New Roman" w:hAnsi="Times New Roman"/>
          <w:sz w:val="20"/>
          <w:szCs w:val="20"/>
          <w:color w:val="auto"/>
        </w:rPr>
        <w:t>:</w:t>
      </w:r>
    </w:p>
    <w:p>
      <w:pPr>
        <w:ind w:left="580"/>
        <w:spacing w:after="0"/>
        <w:rPr>
          <w:sz w:val="20"/>
          <w:szCs w:val="20"/>
          <w:color w:val="auto"/>
        </w:rPr>
      </w:pPr>
      <w:r>
        <w:rPr>
          <w:rFonts w:ascii="Times New Roman" w:cs="Times New Roman" w:eastAsia="Times New Roman" w:hAnsi="Times New Roman"/>
          <w:sz w:val="20"/>
          <w:szCs w:val="20"/>
          <w:color w:val="auto"/>
        </w:rPr>
        <w:t>AOB Products Company</w:t>
      </w:r>
    </w:p>
    <w:p>
      <w:pPr>
        <w:ind w:left="580"/>
        <w:spacing w:after="0"/>
        <w:rPr>
          <w:sz w:val="20"/>
          <w:szCs w:val="20"/>
          <w:color w:val="auto"/>
        </w:rPr>
      </w:pPr>
      <w:r>
        <w:rPr>
          <w:rFonts w:ascii="Times New Roman" w:cs="Times New Roman" w:eastAsia="Times New Roman" w:hAnsi="Times New Roman"/>
          <w:sz w:val="20"/>
          <w:szCs w:val="20"/>
          <w:color w:val="auto"/>
        </w:rPr>
        <w:t>1800 North Route Z</w:t>
      </w:r>
    </w:p>
    <w:p>
      <w:pPr>
        <w:ind w:left="580"/>
        <w:spacing w:after="0"/>
        <w:rPr>
          <w:sz w:val="20"/>
          <w:szCs w:val="20"/>
          <w:color w:val="auto"/>
        </w:rPr>
      </w:pPr>
      <w:r>
        <w:rPr>
          <w:rFonts w:ascii="Times New Roman" w:cs="Times New Roman" w:eastAsia="Times New Roman" w:hAnsi="Times New Roman"/>
          <w:sz w:val="20"/>
          <w:szCs w:val="20"/>
          <w:color w:val="auto"/>
        </w:rPr>
        <w:t>Columbia, MO 65202</w:t>
      </w:r>
    </w:p>
    <w:p>
      <w:pPr>
        <w:ind w:left="580"/>
        <w:spacing w:after="0"/>
        <w:rPr>
          <w:sz w:val="20"/>
          <w:szCs w:val="20"/>
          <w:color w:val="auto"/>
        </w:rPr>
      </w:pPr>
      <w:r>
        <w:rPr>
          <w:rFonts w:ascii="Times New Roman" w:cs="Times New Roman" w:eastAsia="Times New Roman" w:hAnsi="Times New Roman"/>
          <w:sz w:val="20"/>
          <w:szCs w:val="20"/>
          <w:color w:val="auto"/>
        </w:rPr>
        <w:t>Attn: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TD Bank, N.A.</w:t>
      </w:r>
    </w:p>
    <w:p>
      <w:pPr>
        <w:ind w:left="580"/>
        <w:spacing w:after="0"/>
        <w:rPr>
          <w:sz w:val="20"/>
          <w:szCs w:val="20"/>
          <w:color w:val="auto"/>
        </w:rPr>
      </w:pPr>
      <w:r>
        <w:rPr>
          <w:rFonts w:ascii="Times New Roman" w:cs="Times New Roman" w:eastAsia="Times New Roman" w:hAnsi="Times New Roman"/>
          <w:sz w:val="20"/>
          <w:szCs w:val="20"/>
          <w:color w:val="auto"/>
        </w:rPr>
        <w:t>2 West Main St., 2nd Floor</w:t>
      </w:r>
    </w:p>
    <w:p>
      <w:pPr>
        <w:ind w:left="580"/>
        <w:spacing w:after="0"/>
        <w:rPr>
          <w:sz w:val="20"/>
          <w:szCs w:val="20"/>
          <w:color w:val="auto"/>
        </w:rPr>
      </w:pPr>
      <w:r>
        <w:rPr>
          <w:rFonts w:ascii="Times New Roman" w:cs="Times New Roman" w:eastAsia="Times New Roman" w:hAnsi="Times New Roman"/>
          <w:sz w:val="20"/>
          <w:szCs w:val="20"/>
          <w:color w:val="auto"/>
        </w:rPr>
        <w:t>Waterbury, CT 06702</w:t>
      </w:r>
    </w:p>
    <w:p>
      <w:pPr>
        <w:ind w:left="580"/>
        <w:spacing w:after="0"/>
        <w:rPr>
          <w:sz w:val="20"/>
          <w:szCs w:val="20"/>
          <w:color w:val="auto"/>
        </w:rPr>
      </w:pPr>
      <w:r>
        <w:rPr>
          <w:rFonts w:ascii="Times New Roman" w:cs="Times New Roman" w:eastAsia="Times New Roman" w:hAnsi="Times New Roman"/>
          <w:sz w:val="20"/>
          <w:szCs w:val="20"/>
          <w:color w:val="auto"/>
        </w:rPr>
        <w:t>Attention: AOB Products Acct Manager</w:t>
      </w:r>
    </w:p>
    <w:p>
      <w:pPr>
        <w:spacing w:after="0" w:line="200" w:lineRule="exact"/>
        <w:rPr>
          <w:sz w:val="20"/>
          <w:szCs w:val="20"/>
          <w:color w:val="auto"/>
        </w:rPr>
      </w:pPr>
    </w:p>
    <w:p>
      <w:pPr>
        <w:spacing w:after="0" w:line="2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15.12 </w:t>
      </w:r>
      <w:r>
        <w:rPr>
          <w:rFonts w:ascii="Times New Roman" w:cs="Times New Roman" w:eastAsia="Times New Roman" w:hAnsi="Times New Roman"/>
          <w:sz w:val="20"/>
          <w:szCs w:val="20"/>
          <w:u w:val="single" w:color="auto"/>
          <w:color w:val="auto"/>
        </w:rPr>
        <w:t>Offer and Acceptance</w:t>
      </w:r>
      <w:r>
        <w:rPr>
          <w:rFonts w:ascii="Times New Roman" w:cs="Times New Roman" w:eastAsia="Times New Roman" w:hAnsi="Times New Roman"/>
          <w:sz w:val="20"/>
          <w:szCs w:val="20"/>
          <w:color w:val="auto"/>
        </w:rPr>
        <w:t>. This Agreement will not be effective unless and until it is fully executed by authorized officers of each of the parties.</w:t>
      </w:r>
    </w:p>
    <w:p>
      <w:pPr>
        <w:spacing w:after="0" w:line="1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[The remainder of this page is left blank intentionally.]</w:t>
      </w: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36" w:name="page137"/>
    <w:bookmarkEnd w:id="136"/>
    <w:p>
      <w:pPr>
        <w:ind w:right="2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hereto have caused this Agreement to be executed by their duly authorized officers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Amended Effective Date.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Smith &amp; Wesson Inc.</w:t>
            </w:r>
          </w:p>
        </w:tc>
        <w:tc>
          <w:tcPr>
            <w:tcW w:w="7180" w:type="dxa"/>
            <w:vAlign w:val="bottom"/>
            <w:gridSpan w:val="3"/>
          </w:tcPr>
          <w:p>
            <w:pPr>
              <w:ind w:left="540"/>
              <w:spacing w:after="0"/>
              <w:rPr>
                <w:sz w:val="20"/>
                <w:szCs w:val="20"/>
                <w:color w:val="auto"/>
              </w:rPr>
            </w:pPr>
            <w:r>
              <w:rPr>
                <w:rFonts w:ascii="Times New Roman" w:cs="Times New Roman" w:eastAsia="Times New Roman" w:hAnsi="Times New Roman"/>
                <w:sz w:val="20"/>
                <w:szCs w:val="20"/>
                <w:b w:val="1"/>
                <w:bCs w:val="1"/>
                <w:color w:val="auto"/>
              </w:rPr>
              <w:t>AOB Products Company</w:t>
            </w:r>
          </w:p>
        </w:tc>
      </w:tr>
      <w:tr>
        <w:trPr>
          <w:trHeight w:val="44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P. Smith</w:t>
            </w:r>
          </w:p>
        </w:tc>
        <w:tc>
          <w:tcPr>
            <w:tcW w:w="14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Brian D. Murphy</w:t>
            </w:r>
          </w:p>
        </w:tc>
        <w:tc>
          <w:tcPr>
            <w:tcW w:w="2260" w:type="dxa"/>
            <w:vAlign w:val="bottom"/>
          </w:tcPr>
          <w:p>
            <w:pPr>
              <w:spacing w:after="0"/>
              <w:rPr>
                <w:sz w:val="24"/>
                <w:szCs w:val="24"/>
                <w:color w:val="auto"/>
              </w:rPr>
            </w:pPr>
          </w:p>
        </w:tc>
      </w:tr>
      <w:tr>
        <w:trPr>
          <w:trHeight w:val="44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Mark P. Smith</w:t>
            </w:r>
          </w:p>
        </w:tc>
        <w:tc>
          <w:tcPr>
            <w:tcW w:w="14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Name:</w:t>
            </w: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Brian D. Murphy</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President</w:t>
            </w:r>
          </w:p>
        </w:tc>
        <w:tc>
          <w:tcPr>
            <w:tcW w:w="14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Title:</w:t>
            </w: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President</w:t>
            </w:r>
          </w:p>
        </w:tc>
      </w:tr>
      <w:tr>
        <w:trPr>
          <w:trHeight w:val="864"/>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00" w:type="dxa"/>
            <w:vAlign w:val="bottom"/>
          </w:tcPr>
          <w:p>
            <w:pPr>
              <w:jc w:val="right"/>
              <w:ind w:right="3161"/>
              <w:spacing w:after="0"/>
              <w:rPr>
                <w:sz w:val="20"/>
                <w:szCs w:val="20"/>
                <w:color w:val="auto"/>
              </w:rPr>
            </w:pPr>
            <w:r>
              <w:rPr>
                <w:rFonts w:ascii="Times New Roman" w:cs="Times New Roman" w:eastAsia="Times New Roman" w:hAnsi="Times New Roman"/>
                <w:sz w:val="20"/>
                <w:szCs w:val="20"/>
                <w:color w:val="auto"/>
              </w:rPr>
              <w:t>17</w:t>
            </w:r>
          </w:p>
        </w:tc>
        <w:tc>
          <w:tcPr>
            <w:tcW w:w="2260" w:type="dxa"/>
            <w:vAlign w:val="bottom"/>
          </w:tcPr>
          <w:p>
            <w:pPr>
              <w:spacing w:after="0"/>
              <w:rPr>
                <w:sz w:val="24"/>
                <w:szCs w:val="24"/>
                <w:color w:val="auto"/>
              </w:rPr>
            </w:pPr>
          </w:p>
        </w:tc>
      </w:tr>
      <w:tr>
        <w:trPr>
          <w:trHeight w:val="757"/>
        </w:trPr>
        <w:tc>
          <w:tcPr>
            <w:tcW w:w="9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10.127(b)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EQUIVALENTS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 September 19,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Dividend Equivalents Award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Grant Date listed above, is entered into by and between Smith &amp; Wesson Brands,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Eligible Person listed above, pursuant to the Smith &amp; Wesson Brands, Inc. 2022 Incentive Stock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WHEREAS, pursuant to Section 6(g) of the Plan, the Committee is authorized to grant Dividend Equivalents to any Eligible Person entitling the Eligible Person to receive cash, Shares, other Awards, or other property equal in value to the dividends paid with respect to a specified number of Shares, or other periodic payments;</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WHEREAS, on September 19, 2023, the Committee determined to grant Dividend Equivalents to directors and named executive officers effective immediately with respect to both future and outstanding awards of time-based restricted stock units; and</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WHEREAS, the Committee has determined that it would be in the best interests of the Company to grant Dividend Equivalents to the Company’s named executive officers with respect to the Eligible Person’s Restricted Stock Unit Awards that are outstanding as of the Grant Date and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Corresponding Awards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promises hereinafter set forth and for other good and valuable consideration, the parties hereto hereby mutually covenant and agree as follows:</w:t>
      </w:r>
    </w:p>
    <w:p>
      <w:pPr>
        <w:spacing w:after="0" w:line="162" w:lineRule="exact"/>
        <w:rPr>
          <w:sz w:val="20"/>
          <w:szCs w:val="20"/>
          <w:color w:val="auto"/>
        </w:rPr>
      </w:pPr>
    </w:p>
    <w:p>
      <w:pPr>
        <w:jc w:val="both"/>
        <w:ind w:firstLine="757"/>
        <w:spacing w:after="0" w:line="258" w:lineRule="auto"/>
        <w:tabs>
          <w:tab w:leader="none" w:pos="10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 Plan Document Receipt</w:t>
      </w:r>
      <w:r>
        <w:rPr>
          <w:rFonts w:ascii="Times New Roman" w:cs="Times New Roman" w:eastAsia="Times New Roman" w:hAnsi="Times New Roman"/>
          <w:sz w:val="18"/>
          <w:szCs w:val="18"/>
          <w:color w:val="auto"/>
        </w:rPr>
        <w:t>. This Agreement is subject in all respects to the terms and provisions of the Plan, all of which terms and provisions are made a part of and incorporated in this Agreement as if they were each expressly set forth herein. Any capitalized term not defined in this Agreement will have the same meaning as is ascribed thereto in the Plan. The Eligible Person hereby acknowledges receipt of a true and current copy of the Plan and that the Eligible Person has read the Plan carefully and fully understands its content. In the event of any conflict between the terms of this Agreement and the terms of the Plan, the terms of the Plan will control.</w:t>
      </w:r>
    </w:p>
    <w:p>
      <w:pPr>
        <w:spacing w:after="0" w:line="183"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Dividend Equivalents</w:t>
      </w:r>
      <w:r>
        <w:rPr>
          <w:rFonts w:ascii="Times New Roman" w:cs="Times New Roman" w:eastAsia="Times New Roman" w:hAnsi="Times New Roman"/>
          <w:sz w:val="18"/>
          <w:szCs w:val="18"/>
          <w:color w:val="auto"/>
        </w:rPr>
        <w:t>. Effective as of the Grant Date, the Company hereby grants Dividend Equivalents to the Eligible Person equal in number to the Shares underlying the undelivered portion of the Corresponding Awards (each such Share, the “</w:t>
      </w:r>
      <w:r>
        <w:rPr>
          <w:rFonts w:ascii="Times New Roman" w:cs="Times New Roman" w:eastAsia="Times New Roman" w:hAnsi="Times New Roman"/>
          <w:sz w:val="18"/>
          <w:szCs w:val="18"/>
          <w:u w:val="single" w:color="auto"/>
          <w:color w:val="auto"/>
        </w:rPr>
        <w:t>Corresponding Share</w:t>
      </w:r>
      <w:r>
        <w:rPr>
          <w:rFonts w:ascii="Times New Roman" w:cs="Times New Roman" w:eastAsia="Times New Roman" w:hAnsi="Times New Roman"/>
          <w:sz w:val="18"/>
          <w:szCs w:val="18"/>
          <w:color w:val="auto"/>
        </w:rPr>
        <w:t>”). If the Company declares and pays a dividend in respect of its outstanding Shares on or after the Grant Date and, on the record date for such dividend, the Eligible Person holds Corresponding Awards with respect to which Dividend Equivalents have been granted pursuant to this Agreement, then subject to Section 4 below the Eligible Person will be eligible to receive an amount in cash equal to the cash dividends the Eligible Person would have received if the Eligible Person were the holder of record, as of such record date, of the Corresponding Shares. The Eligible Person will have no rights as a stockholder with respect to any Corresponding Shares with respect to Dividend Equivalents unless and until the Eligible Person has become the holder of record of such Shares, and no adjustments will be made for rights in respect of any such Shares, except as otherwise specifically provided for in the Plan or this Agreement.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Bookkeeping</w:t>
      </w:r>
      <w:r>
        <w:rPr>
          <w:rFonts w:ascii="Times New Roman" w:cs="Times New Roman" w:eastAsia="Times New Roman" w:hAnsi="Times New Roman"/>
          <w:sz w:val="18"/>
          <w:szCs w:val="18"/>
          <w:color w:val="auto"/>
        </w:rPr>
        <w:t>. The Company will establish, with respect to each Corresponding Award, a separate Dividend Equivalent bookkeeping account for such Corresponding Awards, which will be credited (without interest) on the applicable distribution dates with an amount equal to any distributions paid during the period that such Corresponding Award remains unvested with respect to the Corresponding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8" w:name="page139"/>
    <w:bookmarkEnd w:id="138"/>
    <w:p>
      <w:pPr>
        <w:spacing w:after="0" w:line="194" w:lineRule="exact"/>
        <w:rPr>
          <w:sz w:val="20"/>
          <w:szCs w:val="20"/>
          <w:color w:val="auto"/>
        </w:rPr>
      </w:pPr>
    </w:p>
    <w:p>
      <w:pPr>
        <w:jc w:val="both"/>
        <w:ind w:firstLine="757"/>
        <w:spacing w:after="0" w:line="266" w:lineRule="auto"/>
        <w:tabs>
          <w:tab w:leader="none" w:pos="101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Notwithstanding anything to the contrary herein or in the Plan, the Company will make no distributions with respect to Dividend Equivalents unless and until such Dividend Equivalents will have become vested. Dividend Equivalents will vest on the dates the Corresponding Shares under the Corresponding Awards (if any) are delivered to the Eligible Person (each, a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Vesting Date, the Eligible Person will be entitled to receive a cash payment in an amount equal to all such dividends declared and paid on a Share from the Grant Date through and including the Vesting Date multiplied by the number of Corresponding Shares with respect to those Dividend Equivalents that vested on such Vesting Date. The cash payment (if any) will be made to the Eligible Person, less applicable income and employment tax withholdings, within 30 days after the applicable Vesting Date.</w:t>
      </w:r>
    </w:p>
    <w:p>
      <w:pPr>
        <w:spacing w:after="0" w:line="179" w:lineRule="exact"/>
        <w:rPr>
          <w:rFonts w:ascii="Times New Roman" w:cs="Times New Roman" w:eastAsia="Times New Roman" w:hAnsi="Times New Roman"/>
          <w:sz w:val="18"/>
          <w:szCs w:val="18"/>
          <w:color w:val="auto"/>
        </w:rPr>
      </w:pPr>
    </w:p>
    <w:p>
      <w:pPr>
        <w:jc w:val="both"/>
        <w:ind w:firstLine="1505"/>
        <w:spacing w:after="0" w:line="257" w:lineRule="auto"/>
        <w:tabs>
          <w:tab w:leader="none" w:pos="2036"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on the Vesting Date, dividends were declared but not yet paid on a Share, the Eligible Person will be entitled to receive a cash payment in an amount equal to (i) all such dividends declared but not yet paid on a Share from the Grant Date through and including the Vesting Date multiplied by the number of Corresponding Shares with respect to those Dividend Equivalents that vested on such Vesting Date, divided by</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on the date such dividends are paid to stockholders of the Company. The cash payment (if any) will be made to the Eligible Person, less applicable income and employment tax withholdings, within 30 days after the applicable date such dividends are paid to stockholders of the Company.</w:t>
      </w:r>
    </w:p>
    <w:p>
      <w:pPr>
        <w:spacing w:after="0" w:line="18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Unless earlier terminated in accordance with the terms and provisions of the Plan or this Agreement, a Dividend Equivalent will expire and be cancelled immediately following the earlier of (a) vesting (and cash distribution associated thereof in accordance with Section 5) of the Dividend Equivalent or (b) forfeiture or cancellation of the Corresponding Award.</w:t>
      </w:r>
    </w:p>
    <w:p>
      <w:pPr>
        <w:spacing w:after="0" w:line="17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18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ELIGIBLE PERSON</w:t>
            </w:r>
          </w:p>
        </w:tc>
      </w:tr>
      <w:tr>
        <w:trPr>
          <w:trHeight w:val="45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Smith &amp; Wesson Brands, Inc.</w:t>
            </w:r>
          </w:p>
        </w:tc>
        <w:tc>
          <w:tcPr>
            <w:tcW w:w="42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Borders>
              <w:bottom w:val="single" w:sz="8" w:color="auto"/>
            </w:tcBorders>
          </w:tcPr>
          <w:p>
            <w:pPr>
              <w:spacing w:after="0"/>
              <w:rPr>
                <w:sz w:val="24"/>
                <w:szCs w:val="24"/>
                <w:color w:val="auto"/>
              </w:rPr>
            </w:pPr>
          </w:p>
        </w:tc>
        <w:tc>
          <w:tcPr>
            <w:tcW w:w="426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Borders>
              <w:bottom w:val="single" w:sz="8" w:color="auto"/>
            </w:tcBorders>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40" w:type="dxa"/>
            <w:vAlign w:val="bottom"/>
            <w:tcBorders>
              <w:bottom w:val="single" w:sz="8" w:color="auto"/>
            </w:tcBorders>
          </w:tcPr>
          <w:p>
            <w:pPr>
              <w:spacing w:after="0"/>
              <w:rPr>
                <w:sz w:val="24"/>
                <w:szCs w:val="24"/>
                <w:color w:val="auto"/>
              </w:rPr>
            </w:pPr>
          </w:p>
        </w:tc>
        <w:tc>
          <w:tcPr>
            <w:tcW w:w="426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Name:</w:t>
            </w:r>
          </w:p>
        </w:tc>
        <w:tc>
          <w:tcPr>
            <w:tcW w:w="2920" w:type="dxa"/>
            <w:vAlign w:val="bottom"/>
            <w:tcBorders>
              <w:bottom w:val="single" w:sz="8" w:color="auto"/>
            </w:tcBorders>
          </w:tcPr>
          <w:p>
            <w:pPr>
              <w:spacing w:after="0"/>
              <w:rPr>
                <w:sz w:val="24"/>
                <w:szCs w:val="24"/>
                <w:color w:val="auto"/>
              </w:rPr>
            </w:pPr>
          </w:p>
        </w:tc>
      </w:tr>
      <w:tr>
        <w:trPr>
          <w:trHeight w:val="45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71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Title:</w:t>
            </w:r>
          </w:p>
        </w:tc>
      </w:tr>
      <w:tr>
        <w:trPr>
          <w:trHeight w:val="1769"/>
        </w:trPr>
        <w:tc>
          <w:tcPr>
            <w:tcW w:w="920" w:type="dxa"/>
            <w:vAlign w:val="bottom"/>
            <w:tcBorders>
              <w:bottom w:val="single" w:sz="8" w:color="9A9A9A"/>
            </w:tcBorders>
          </w:tcPr>
          <w:p>
            <w:pPr>
              <w:spacing w:after="0"/>
              <w:rPr>
                <w:sz w:val="24"/>
                <w:szCs w:val="24"/>
                <w:color w:val="auto"/>
              </w:rPr>
            </w:pPr>
          </w:p>
        </w:tc>
        <w:tc>
          <w:tcPr>
            <w:tcW w:w="3140" w:type="dxa"/>
            <w:vAlign w:val="bottom"/>
            <w:tcBorders>
              <w:top w:val="single" w:sz="8" w:color="auto"/>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9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906145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0" w:name="page141"/>
    <w:bookmarkEnd w:id="140"/>
    <w:p>
      <w:pPr>
        <w:ind w:left="10120"/>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SMITH &amp; WESSON BRANDS,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INSIDE INFORMATION AND INSIDER TRADING</w:t>
      </w:r>
    </w:p>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 the course of your relationship with Smith &amp; Wesson Brands, Inc. or one or more of its subsidiaries (collectively, the “Company”), you may have access to information about the Company that is not generally available to the public. A principal purpose of the federal securities laws is to prohibit so-called “insider trading”, which occurs when a person uses material non-public information (“inside information”) about a company to make decisions to buy, sell, or otherwise trade the company’s securities (including common stock, debt securities, and stock options) or to provide that information (“tip”) to others outside the company.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discusses the terms “material,” “non-public,” and “inside information”.</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Because of your relationship with the Company, you have certain responsibilities under the federal securities laws and other applicable laws and regulations with respect to inside information. The purpose of this Policy on Inside Information and Insider Trading (the “Policy”) is to describe the Company’s policies regarding the protection of material non-public information and trading and tipping, as well as the expected standards of conduct each member of the Board of Directors of the Company (a “Director” and, collectively, the “Board”), each person required to file reports under Section 16 (a “Section 16 Officer”) of the Securities Exchange Act of 1934, as amended (the “Exchange Act”) regardless of whether that person has been classified by the Board as an executive officer, and each employee of the Company with respect to these sensitive matters. You should read this Policy carefully and comply with this Policy at all times.</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These principles have been extended by federal regulators to trading on prediction markets and event contracts when based on material non-public information. This Policy, therefore, prohibits the use of material non-public information in connection with any trading on prediction markets, event contracts, or similar instruments tied to the Company, its securities, business operations, executives, products, financial performance, or similar matters.</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SCOPE</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Policy applies to every Director and Section 16 Officer of the Company, to every employee of the Company, and to any family members who reside in the household of any such person. Therefore, all references to “you” in this Policy mean you, as well as any family members. Family member means any family member who resides in your household and any family member who does not reside in your household but whose transactions in securities of the Company are directed by you or are subject to your influence or control (e.g., parents or adult children who can be expected to consult with you before they trade in securities of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1" w:name="page142"/>
    <w:bookmarkEnd w:id="141"/>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prohibits trading in certain circumstances and applies to all Directors, Section 16 Officers, and employees.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imposes special additional restrictions and applies to Directors, Section 16 Officers, and “restricted employees,” which includes the personnel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Nominations and Corporate Governance Committee may recommend, and the Board may approve, others as Section 16 Officers or make other changes in the classification of individuals as Section 16 Officers, in each case upon written notice to them. The Company’s General Counsel (the “GC”) will maintain a list of all Section 16 Officers. The Company’s Human Resources Department will maintain a list of all restricted employees, which will be reviewed quarterly with the Company’s Chief Financial Officer (the “CFO”) and may be updated from time to time after consultation with the Company’s CFO.</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term “non-restricted employees” includes all employees other than Section 16 Officers and restricted employees.</w:t>
      </w:r>
    </w:p>
    <w:p>
      <w:pPr>
        <w:spacing w:after="0" w:line="172" w:lineRule="exact"/>
        <w:rPr>
          <w:sz w:val="20"/>
          <w:szCs w:val="20"/>
          <w:color w:val="auto"/>
        </w:rPr>
      </w:pPr>
    </w:p>
    <w:p>
      <w:pPr>
        <w:ind w:left="380" w:hanging="372"/>
        <w:spacing w:after="0" w:line="242" w:lineRule="exact"/>
        <w:tabs>
          <w:tab w:leader="none" w:pos="38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FOR DIRECTORS, SECTION 16 OFFICERS, RESTRICTED EMPLOYEES, AND NON</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RESTRICTED</w:t>
      </w:r>
    </w:p>
    <w:p>
      <w:pPr>
        <w:spacing w:after="0" w:line="73" w:lineRule="exact"/>
        <w:rPr>
          <w:rFonts w:ascii="Times New Roman" w:cs="Times New Roman" w:eastAsia="Times New Roman" w:hAnsi="Times New Roman"/>
          <w:sz w:val="21"/>
          <w:szCs w:val="21"/>
          <w:b w:val="1"/>
          <w:bCs w:val="1"/>
          <w:color w:val="auto"/>
        </w:rPr>
      </w:pPr>
    </w:p>
    <w:p>
      <w:pPr>
        <w:ind w:left="38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EMPLOYEES</w:t>
      </w:r>
    </w:p>
    <w:p>
      <w:pPr>
        <w:spacing w:after="0" w:line="182"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applies to all Directors, Section 16 Officers, and employees of the Company as well as any family members, unless otherwise stated herein.</w:t>
      </w:r>
    </w:p>
    <w:p>
      <w:pPr>
        <w:spacing w:after="0" w:line="158"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General Policy Regarding Trading and Tipping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500" w:hanging="748"/>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color w:val="auto"/>
        </w:rPr>
        <w:t xml:space="preserve">You may not trade in securities of the Company (or any other entity, such as a customer, supplier, possible acquisition target, or competitor) at any time that you possess material non-public information about the Company (or about such other entity). Similarly, you may not trade in, take any position in, or otherwise participate in any prediction market, event contract, binary option, or similar instrument on any platform at any time that you possess material non-public information about the Company (or about such other entity) where the contract or instrument outcome relates to or could be materially affected by the Company, its securities, operations, executives, products, financial outcomes, or similar matters. These restrictions apply both to purchases and sales of securities and to any wagers, positions, or trades on prediction markets or event contracts, regardless of how or from whom the material non-public information has been obtained.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5 includes information about written plans, contracts, instructions, or arrangements that may be made under Rule 10b5-1 of the Exchange Act (a “Rule 10b5-1 Trading Plan”). For the avoidance of doubt, “trading” means any purchase, sale, or other transaction to acquire, transfer or dispose of securities, including derivative exercises, gifts or other contributions, pledges, exercises of stock options granted under the Company’s stock plans, sales of stock acquired upon exercise of options and trades made under an employee benefit plan (e.g., 401(k) plan).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4" w:lineRule="exact"/>
        <w:rPr>
          <w:sz w:val="20"/>
          <w:szCs w:val="20"/>
          <w:color w:val="auto"/>
        </w:rPr>
      </w:pPr>
    </w:p>
    <w:p>
      <w:pPr>
        <w:jc w:val="both"/>
        <w:ind w:left="380" w:hanging="748"/>
        <w:spacing w:after="0" w:line="282" w:lineRule="auto"/>
        <w:tabs>
          <w:tab w:leader="none" w:pos="36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color w:val="auto"/>
        </w:rPr>
        <w:t>If you are a non-restricted employee, you may trade in securities of the Company at any time and without prior approvals provided that you are not in possession of material non-public information concerning the Company.</w:t>
      </w:r>
    </w:p>
    <w:p>
      <w:pPr>
        <w:spacing w:after="0" w:line="135" w:lineRule="exact"/>
        <w:rPr>
          <w:sz w:val="20"/>
          <w:szCs w:val="20"/>
          <w:color w:val="auto"/>
        </w:rPr>
      </w:pPr>
    </w:p>
    <w:p>
      <w:pPr>
        <w:jc w:val="both"/>
        <w:ind w:left="380" w:hanging="748"/>
        <w:spacing w:after="0" w:line="244" w:lineRule="auto"/>
        <w:tabs>
          <w:tab w:leader="none" w:pos="360" w:val="left"/>
        </w:tabs>
        <w:rPr>
          <w:sz w:val="20"/>
          <w:szCs w:val="20"/>
          <w:color w:val="auto"/>
        </w:rPr>
      </w:pPr>
      <w:r>
        <w:rPr>
          <w:rFonts w:ascii="Times New Roman" w:cs="Times New Roman" w:eastAsia="Times New Roman" w:hAnsi="Times New Roman"/>
          <w:sz w:val="22"/>
          <w:szCs w:val="22"/>
          <w:color w:val="auto"/>
        </w:rPr>
        <w:t>3.2.3.</w:t>
        <w:tab/>
        <w:t xml:space="preserve">If you are a non-restricted employee and wish to enter into, amend, modify, or terminate a Rule 10b5-1 Trading Plan, you must follow the procedures set forth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and are subject to the restrictions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380" w:hanging="748"/>
        <w:spacing w:after="0" w:line="235" w:lineRule="auto"/>
        <w:tabs>
          <w:tab w:leader="none" w:pos="360" w:val="left"/>
        </w:tabs>
        <w:rPr>
          <w:sz w:val="20"/>
          <w:szCs w:val="20"/>
          <w:color w:val="auto"/>
        </w:rPr>
      </w:pPr>
      <w:r>
        <w:rPr>
          <w:rFonts w:ascii="Times New Roman" w:cs="Times New Roman" w:eastAsia="Times New Roman" w:hAnsi="Times New Roman"/>
          <w:sz w:val="22"/>
          <w:szCs w:val="22"/>
          <w:color w:val="auto"/>
        </w:rPr>
        <w:t>3.2.4.</w:t>
        <w:tab/>
        <w:t>You may not convey (or “tip”) material non-public information regarding the Company (or any other entity, such as a customer, supplier, possible acquisition target, or competitor of the Company) to any other person. The concept of unlawful tipping includes passing on such information to friends, family members, or acquaintances. You may, of course, provide such information to other Company employees or representatives on a “need to know” basis in the course of performing your job with the Company. This prohibition also applies to conveying material non-public information for use in trading on prediction markets, event contracts, or similar instruments.</w:t>
      </w:r>
    </w:p>
    <w:p>
      <w:pPr>
        <w:spacing w:after="0" w:line="183" w:lineRule="exact"/>
        <w:rPr>
          <w:sz w:val="20"/>
          <w:szCs w:val="20"/>
          <w:color w:val="auto"/>
        </w:rPr>
      </w:pPr>
    </w:p>
    <w:p>
      <w:pPr>
        <w:jc w:val="both"/>
        <w:ind w:left="380" w:hanging="748"/>
        <w:spacing w:after="0" w:line="238" w:lineRule="auto"/>
        <w:tabs>
          <w:tab w:leader="none" w:pos="360" w:val="left"/>
        </w:tabs>
        <w:rPr>
          <w:sz w:val="20"/>
          <w:szCs w:val="20"/>
          <w:color w:val="auto"/>
        </w:rPr>
      </w:pPr>
      <w:r>
        <w:rPr>
          <w:rFonts w:ascii="Times New Roman" w:cs="Times New Roman" w:eastAsia="Times New Roman" w:hAnsi="Times New Roman"/>
          <w:sz w:val="22"/>
          <w:szCs w:val="22"/>
          <w:color w:val="auto"/>
        </w:rPr>
        <w:t>3.2.5.</w:t>
        <w:tab/>
        <w:t>You may not engage in derivatives trading or hedging involving the Company’s securities or pledging or margining the Company’s common stock, which include trading in call or put options involving the Company’s securities as well as “short sales” of the Company’s securities. You may also not engage in trading in prediction markets, event contracts, or similar instruments that reference or relate to the Company’s securities, business operations, financial metrics, executives, products, or other Company-specific events.</w:t>
      </w:r>
    </w:p>
    <w:p>
      <w:pPr>
        <w:spacing w:after="0" w:line="177" w:lineRule="exact"/>
        <w:rPr>
          <w:sz w:val="20"/>
          <w:szCs w:val="20"/>
          <w:color w:val="auto"/>
        </w:rPr>
      </w:pPr>
    </w:p>
    <w:p>
      <w:pPr>
        <w:jc w:val="both"/>
        <w:ind w:left="380" w:hanging="748"/>
        <w:spacing w:after="0" w:line="244" w:lineRule="auto"/>
        <w:tabs>
          <w:tab w:leader="none" w:pos="360" w:val="left"/>
        </w:tabs>
        <w:rPr>
          <w:sz w:val="20"/>
          <w:szCs w:val="20"/>
          <w:color w:val="auto"/>
        </w:rPr>
      </w:pPr>
      <w:r>
        <w:rPr>
          <w:rFonts w:ascii="Times New Roman" w:cs="Times New Roman" w:eastAsia="Times New Roman" w:hAnsi="Times New Roman"/>
          <w:sz w:val="22"/>
          <w:szCs w:val="22"/>
          <w:color w:val="auto"/>
        </w:rPr>
        <w:t>3.2.6.</w:t>
        <w:tab/>
        <w:t>You must promptly report to the Company’s Chief Executive Officer (the “CEO”), CFO, or GC any trading in the Company’s securities by Company personnel or disclosure of material non-public information by Company personnel that you believe may violate this Policy or the securities laws of the United States.</w:t>
      </w:r>
    </w:p>
    <w:p>
      <w:pPr>
        <w:spacing w:after="0" w:line="173" w:lineRule="exact"/>
        <w:rPr>
          <w:sz w:val="20"/>
          <w:szCs w:val="20"/>
          <w:color w:val="auto"/>
        </w:rPr>
      </w:pPr>
    </w:p>
    <w:p>
      <w:pPr>
        <w:jc w:val="both"/>
        <w:ind w:left="380" w:hanging="748"/>
        <w:spacing w:after="0" w:line="244" w:lineRule="auto"/>
        <w:tabs>
          <w:tab w:leader="none" w:pos="360" w:val="left"/>
        </w:tabs>
        <w:rPr>
          <w:sz w:val="20"/>
          <w:szCs w:val="20"/>
          <w:color w:val="auto"/>
        </w:rPr>
      </w:pPr>
      <w:r>
        <w:rPr>
          <w:rFonts w:ascii="Times New Roman" w:cs="Times New Roman" w:eastAsia="Times New Roman" w:hAnsi="Times New Roman"/>
          <w:sz w:val="22"/>
          <w:szCs w:val="22"/>
          <w:color w:val="auto"/>
        </w:rPr>
        <w:t>3.2.7.</w:t>
        <w:tab/>
        <w:t xml:space="preserve">As and when circumstances require, the Company’s CFO may implement additional restrictions (including “blackout periods” as discussed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on non-restricted employees as a result of significant unannounced corporate developments.</w:t>
      </w:r>
    </w:p>
    <w:p>
      <w:pPr>
        <w:spacing w:after="0" w:line="173" w:lineRule="exact"/>
        <w:rPr>
          <w:sz w:val="20"/>
          <w:szCs w:val="20"/>
          <w:color w:val="auto"/>
        </w:rPr>
      </w:pPr>
    </w:p>
    <w:p>
      <w:pPr>
        <w:jc w:val="both"/>
        <w:ind w:left="380" w:hanging="748"/>
        <w:spacing w:after="0" w:line="236" w:lineRule="auto"/>
        <w:tabs>
          <w:tab w:leader="none" w:pos="360" w:val="left"/>
        </w:tabs>
        <w:rPr>
          <w:sz w:val="20"/>
          <w:szCs w:val="20"/>
          <w:color w:val="auto"/>
        </w:rPr>
      </w:pPr>
      <w:r>
        <w:rPr>
          <w:rFonts w:ascii="Times New Roman" w:cs="Times New Roman" w:eastAsia="Times New Roman" w:hAnsi="Times New Roman"/>
          <w:sz w:val="22"/>
          <w:szCs w:val="22"/>
          <w:color w:val="auto"/>
        </w:rPr>
        <w:t>3.2.8.</w:t>
        <w:tab/>
        <w:t>In addition to the restrictions above, you are prohibited from trading on any prediction market, event contract platform, or similar venue while in possession of, or using, material non-public information concerning the Company or any entity about which you have material non-public information by virtue of your position with the Company. Pre-clearance from the Company’s CFO is required before engaging in any trading on prediction markets or event contracts involving Company-related events or outcomes, even if you believe you are not in possession of material non-public information.</w:t>
      </w:r>
    </w:p>
    <w:p>
      <w:pPr>
        <w:spacing w:after="0" w:line="3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43" w:name="page144"/>
    <w:bookmarkEnd w:id="143"/>
    <w:p>
      <w:pPr>
        <w:spacing w:after="0" w:line="18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Certain Securities Acquired Through the Company Equity Plans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1300" w:hanging="748"/>
        <w:spacing w:after="0" w:line="235" w:lineRule="auto"/>
        <w:tabs>
          <w:tab w:leader="none" w:pos="128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2"/>
          <w:szCs w:val="22"/>
          <w:i w:val="1"/>
          <w:iCs w:val="1"/>
          <w:color w:val="auto"/>
        </w:rPr>
        <w:t xml:space="preserve">Employee Stock Purchase Plan </w:t>
      </w:r>
      <w:r>
        <w:rPr>
          <w:rFonts w:ascii="Times New Roman" w:cs="Times New Roman" w:eastAsia="Times New Roman" w:hAnsi="Times New Roman"/>
          <w:sz w:val="22"/>
          <w:szCs w:val="22"/>
          <w:color w:val="auto"/>
        </w:rPr>
        <w:t>– If you are a Section 16 Officer or an employee, the trading prohibitions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restrictions set forth in this Policy do not apply to periodic payroll contributions by you to the Company’s Employee Stock Purchase Plan (the “ESPP”) pursuant to the terms and conditions of the ESPP under an election made when you were not aware of material non-public information about the Company. However, while you are aware of material non-public information about the Company, you may not alter your instructions regarding the purchase or sale of the Company’s securities in the ESPP, including (i) electing to begin participating or ceasing to participate in the ESPP, (ii) increasing or decreasing the percentage of your payroll contributions to the ESPP; or (iii) selling the common stock issued by the Company pursuant to the ESPP, subject to the exception in </w:t>
      </w:r>
      <w:r>
        <w:rPr>
          <w:rFonts w:ascii="Times New Roman" w:cs="Times New Roman" w:eastAsia="Times New Roman" w:hAnsi="Times New Roman"/>
          <w:sz w:val="22"/>
          <w:szCs w:val="22"/>
          <w:u w:val="single" w:color="auto"/>
          <w:color w:val="auto"/>
        </w:rPr>
        <w:t>Section 4.3.2.2</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1300" w:hanging="748"/>
        <w:spacing w:after="0" w:line="236" w:lineRule="auto"/>
        <w:tabs>
          <w:tab w:leader="none" w:pos="128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2"/>
          <w:szCs w:val="22"/>
          <w:i w:val="1"/>
          <w:iCs w:val="1"/>
          <w:color w:val="auto"/>
        </w:rPr>
        <w:t xml:space="preserve">Stock Options </w:t>
      </w:r>
      <w:r>
        <w:rPr>
          <w:rFonts w:ascii="Times New Roman" w:cs="Times New Roman" w:eastAsia="Times New Roman" w:hAnsi="Times New Roman"/>
          <w:sz w:val="22"/>
          <w:szCs w:val="22"/>
          <w:color w:val="auto"/>
        </w:rPr>
        <w:t>– All sales of securities acquired through the exercise of employee stock options granted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are subject to this Policy. The exercise of employee stock options granted by the Company is exempt from this Policy if the exercise price and statutory tax withholdings are paid in cash or on a “net share basis” in which the Company withholds a portion of the shares underlying the options. This Policy, however, does apply in the case of a Broker-Assisted Cashless Exercise. A Broker-Assisted Cashless Exercise is the exercise of a stock option through a broker in which a portion of the exercised shares are sold into the market and the requisite amount of the sale proceeds are used to pay the exercise price, tax obligations, or both.</w:t>
      </w:r>
    </w:p>
    <w:p>
      <w:pPr>
        <w:spacing w:after="0" w:line="176" w:lineRule="exact"/>
        <w:rPr>
          <w:sz w:val="20"/>
          <w:szCs w:val="20"/>
          <w:color w:val="auto"/>
        </w:rPr>
      </w:pPr>
    </w:p>
    <w:p>
      <w:pPr>
        <w:jc w:val="both"/>
        <w:ind w:left="1300" w:hanging="748"/>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3.3.3.</w:t>
      </w:r>
      <w:r>
        <w:rPr>
          <w:sz w:val="20"/>
          <w:szCs w:val="20"/>
          <w:color w:val="auto"/>
        </w:rPr>
        <w:tab/>
      </w:r>
      <w:r>
        <w:rPr>
          <w:rFonts w:ascii="Times New Roman" w:cs="Times New Roman" w:eastAsia="Times New Roman" w:hAnsi="Times New Roman"/>
          <w:sz w:val="22"/>
          <w:szCs w:val="22"/>
          <w:i w:val="1"/>
          <w:iCs w:val="1"/>
          <w:color w:val="auto"/>
        </w:rPr>
        <w:t xml:space="preserve">Restricted Stock or Restricted Stock Units </w:t>
      </w:r>
      <w:r>
        <w:rPr>
          <w:rFonts w:ascii="Times New Roman" w:cs="Times New Roman" w:eastAsia="Times New Roman" w:hAnsi="Times New Roman"/>
          <w:sz w:val="22"/>
          <w:szCs w:val="22"/>
          <w:color w:val="auto"/>
        </w:rPr>
        <w:t>– The prohibitions of this Policy do not apply to the deduction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by the Company to satisfy the statutory tax withholding liability upon the vesting or delivery of restricted stock or restricted stock units (“RSUs”).</w:t>
      </w:r>
    </w:p>
    <w:p>
      <w:pPr>
        <w:spacing w:after="0" w:line="17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Safeguarding Material Non-Public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300" w:hanging="748"/>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3.4.1.</w:t>
        <w:tab/>
        <w:t>Care must be taken to safeguard the confidentiality of internal information. For example, sensitive documents should not be left lying on desks, and visitors should not be left unattended in offices containing internal Company documents.</w:t>
      </w:r>
    </w:p>
    <w:p>
      <w:pPr>
        <w:spacing w:after="0" w:line="173" w:lineRule="exact"/>
        <w:rPr>
          <w:sz w:val="20"/>
          <w:szCs w:val="20"/>
          <w:color w:val="auto"/>
        </w:rPr>
      </w:pPr>
    </w:p>
    <w:p>
      <w:pPr>
        <w:jc w:val="both"/>
        <w:ind w:left="1300" w:hanging="748"/>
        <w:spacing w:after="0" w:line="235" w:lineRule="auto"/>
        <w:tabs>
          <w:tab w:leader="none" w:pos="1280" w:val="left"/>
        </w:tabs>
        <w:rPr>
          <w:sz w:val="20"/>
          <w:szCs w:val="20"/>
          <w:color w:val="auto"/>
        </w:rPr>
      </w:pPr>
      <w:r>
        <w:rPr>
          <w:rFonts w:ascii="Times New Roman" w:cs="Times New Roman" w:eastAsia="Times New Roman" w:hAnsi="Times New Roman"/>
          <w:sz w:val="22"/>
          <w:szCs w:val="22"/>
          <w:color w:val="auto"/>
        </w:rPr>
        <w:t>3.4.2.</w:t>
        <w:tab/>
        <w:t>Before material information relating to the Company or its business has been disclosed to the general public, it must be kept in strict confidence. Such information should be discussed only with persons who are employed by or represent the Company who have a “need to know” and should be confined to as small a group as possible. The utmost care and circumspection must be exercised at all times. Therefore, conversations in public places, such as elevators, restaurants, and airplanes, should be limited to matters that do not involve information of a sensitive or confidential nature and conversations on mobile phones should be conducted with care. In addition, you should not transmit confidential information through the Internet, including social media sites, blogs, or online forums, or any electronic mail system that is not secure.</w:t>
      </w:r>
    </w:p>
    <w:p>
      <w:pPr>
        <w:spacing w:after="0" w:line="3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144" w:name="page145"/>
    <w:bookmarkEnd w:id="144"/>
    <w:p>
      <w:pPr>
        <w:spacing w:after="0" w:line="184" w:lineRule="exact"/>
        <w:rPr>
          <w:sz w:val="20"/>
          <w:szCs w:val="20"/>
          <w:color w:val="auto"/>
        </w:rPr>
      </w:pPr>
    </w:p>
    <w:p>
      <w:pPr>
        <w:ind w:left="1500" w:right="40" w:hanging="748"/>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3.4.3.</w:t>
        <w:tab/>
        <w:t>To ensure the Company’s confidences are protected to the maximum extent possible, no individuals other than specifically authorized personnel may release material information to the public or respond to inquiries from the media, analysts, or others outside the Company. If you are contacted by the media or by a securities analyst seeking information about the Company or any of its subsidiaries and if you have not been expressly authorized by the Company’s CEO or CFO to provide information to the media or to analysts, you should refer the call to the Company’s CEO or CFO.</w:t>
      </w:r>
    </w:p>
    <w:p>
      <w:pPr>
        <w:spacing w:after="0" w:line="177" w:lineRule="exact"/>
        <w:rPr>
          <w:sz w:val="20"/>
          <w:szCs w:val="20"/>
          <w:color w:val="auto"/>
        </w:rPr>
      </w:pPr>
    </w:p>
    <w:p>
      <w:pPr>
        <w:ind w:left="380" w:right="1000" w:hanging="372"/>
        <w:spacing w:after="0" w:line="262" w:lineRule="auto"/>
        <w:tabs>
          <w:tab w:leader="none" w:pos="3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 FOR DIRECTORS, SECTION 16 OFFICERS, AND/OR RESTRICTED EMPLOYEES</w:t>
      </w:r>
    </w:p>
    <w:p>
      <w:pPr>
        <w:spacing w:after="0" w:line="154"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 xml:space="preserve">Except as specifically set forth below,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applies to all Directors, Section 16 Officers, and restricted employees.</w:t>
      </w:r>
    </w:p>
    <w:p>
      <w:pPr>
        <w:spacing w:after="0" w:line="158" w:lineRule="exact"/>
        <w:rPr>
          <w:sz w:val="20"/>
          <w:szCs w:val="20"/>
          <w:color w:val="auto"/>
        </w:rPr>
      </w:pPr>
    </w:p>
    <w:p>
      <w:pPr>
        <w:jc w:val="both"/>
        <w:ind w:left="780" w:hanging="568"/>
        <w:spacing w:after="0" w:line="238" w:lineRule="auto"/>
        <w:tabs>
          <w:tab w:leader="none" w:pos="7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 To avoid improper conduct or the appearance of impropriety, Directors, Section 16 Officers,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restricted employees are prohibited from trading in the Company’s securities and entering into, amending, or modifying Rule 10b5-1 Trading Plans during times when the Company is most likely to have (or is presumed to have) material non-public information available. These “blackout periods” may vary in length and will be imposed because these persons generally have access to a range of financial and other sensitive information about the Company.</w:t>
      </w:r>
    </w:p>
    <w:p>
      <w:pPr>
        <w:spacing w:after="0" w:line="173" w:lineRule="exact"/>
        <w:rPr>
          <w:sz w:val="20"/>
          <w:szCs w:val="20"/>
          <w:color w:val="auto"/>
        </w:rPr>
      </w:pPr>
    </w:p>
    <w:p>
      <w:pPr>
        <w:jc w:val="both"/>
        <w:ind w:left="1500" w:hanging="748"/>
        <w:spacing w:after="0" w:line="241" w:lineRule="auto"/>
        <w:tabs>
          <w:tab w:leader="none" w:pos="148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2"/>
          <w:szCs w:val="22"/>
          <w:i w:val="1"/>
          <w:iCs w:val="1"/>
          <w:color w:val="auto"/>
        </w:rPr>
        <w:t xml:space="preserve">Quarterly Blackout Periods </w:t>
      </w:r>
      <w:r>
        <w:rPr>
          <w:rFonts w:ascii="Times New Roman" w:cs="Times New Roman" w:eastAsia="Times New Roman" w:hAnsi="Times New Roman"/>
          <w:sz w:val="22"/>
          <w:szCs w:val="22"/>
          <w:color w:val="auto"/>
        </w:rPr>
        <w:t>– Trading in the Company’s securities and entering into, amending, or modifying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10b5-1 Trading Plans are prohibited during the period beginning at the close of the market on the last business day of the calendar month immediately preceding the Company’s next fiscal quarter end and ending 48 hours after the public release of the Company’s quarterly and annual earnings.</w:t>
      </w:r>
    </w:p>
    <w:p>
      <w:pPr>
        <w:spacing w:after="0" w:line="172" w:lineRule="exact"/>
        <w:rPr>
          <w:sz w:val="20"/>
          <w:szCs w:val="20"/>
          <w:color w:val="auto"/>
        </w:rPr>
      </w:pPr>
    </w:p>
    <w:p>
      <w:pPr>
        <w:jc w:val="both"/>
        <w:ind w:left="1500" w:hanging="748"/>
        <w:spacing w:after="0" w:line="241" w:lineRule="auto"/>
        <w:tabs>
          <w:tab w:leader="none" w:pos="1480" w:val="left"/>
        </w:tabs>
        <w:rPr>
          <w:sz w:val="20"/>
          <w:szCs w:val="20"/>
          <w:color w:val="auto"/>
        </w:rPr>
      </w:pPr>
      <w:r>
        <w:rPr>
          <w:rFonts w:ascii="Times New Roman" w:cs="Times New Roman" w:eastAsia="Times New Roman" w:hAnsi="Times New Roman"/>
          <w:sz w:val="22"/>
          <w:szCs w:val="22"/>
          <w:color w:val="auto"/>
        </w:rPr>
        <w:t>4.2.2.</w:t>
      </w:r>
      <w:r>
        <w:rPr>
          <w:sz w:val="20"/>
          <w:szCs w:val="20"/>
          <w:color w:val="auto"/>
        </w:rPr>
        <w:tab/>
      </w:r>
      <w:r>
        <w:rPr>
          <w:rFonts w:ascii="Times New Roman" w:cs="Times New Roman" w:eastAsia="Times New Roman" w:hAnsi="Times New Roman"/>
          <w:sz w:val="22"/>
          <w:szCs w:val="22"/>
          <w:i w:val="1"/>
          <w:iCs w:val="1"/>
          <w:color w:val="auto"/>
        </w:rPr>
        <w:t xml:space="preserve">Rule 10b5-1 Trading Plan Blackout Periods for Directors and Section 16 Officers </w:t>
      </w:r>
      <w:r>
        <w:rPr>
          <w:rFonts w:ascii="Times New Roman" w:cs="Times New Roman" w:eastAsia="Times New Roman" w:hAnsi="Times New Roman"/>
          <w:sz w:val="22"/>
          <w:szCs w:val="22"/>
          <w:color w:val="auto"/>
        </w:rPr>
        <w:t>– If you are a Director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16 Officer, you may not trade, even in accordance with an approved Rule 10b5-1 Trading Plan, commencing on the first day of the two-week period prior to a Company earnings announcement and continuing until 48 hours thereafter.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0" w:lineRule="exact"/>
        <w:rPr>
          <w:sz w:val="20"/>
          <w:szCs w:val="20"/>
          <w:color w:val="auto"/>
        </w:rPr>
      </w:pPr>
    </w:p>
    <w:p>
      <w:pPr>
        <w:jc w:val="both"/>
        <w:ind w:left="1300" w:hanging="748"/>
        <w:spacing w:after="0" w:line="241" w:lineRule="auto"/>
        <w:tabs>
          <w:tab w:leader="none" w:pos="1280" w:val="left"/>
        </w:tabs>
        <w:rPr>
          <w:sz w:val="20"/>
          <w:szCs w:val="20"/>
          <w:color w:val="auto"/>
        </w:rPr>
      </w:pPr>
      <w:r>
        <w:rPr>
          <w:rFonts w:ascii="Times New Roman" w:cs="Times New Roman" w:eastAsia="Times New Roman" w:hAnsi="Times New Roman"/>
          <w:sz w:val="22"/>
          <w:szCs w:val="22"/>
          <w:color w:val="auto"/>
        </w:rPr>
        <w:t>4.2.3.</w:t>
      </w:r>
      <w:r>
        <w:rPr>
          <w:sz w:val="20"/>
          <w:szCs w:val="20"/>
          <w:color w:val="auto"/>
        </w:rPr>
        <w:tab/>
      </w:r>
      <w:r>
        <w:rPr>
          <w:rFonts w:ascii="Times New Roman" w:cs="Times New Roman" w:eastAsia="Times New Roman" w:hAnsi="Times New Roman"/>
          <w:sz w:val="22"/>
          <w:szCs w:val="22"/>
          <w:i w:val="1"/>
          <w:iCs w:val="1"/>
          <w:color w:val="auto"/>
        </w:rPr>
        <w:t xml:space="preserve">Other Blackout Periods </w:t>
      </w:r>
      <w:r>
        <w:rPr>
          <w:rFonts w:ascii="Times New Roman" w:cs="Times New Roman" w:eastAsia="Times New Roman" w:hAnsi="Times New Roman"/>
          <w:sz w:val="22"/>
          <w:szCs w:val="22"/>
          <w:color w:val="auto"/>
        </w:rPr>
        <w:t>– The Company’s CFO, from time to time, may impose additional special blackout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periods on Directors, Section 16 Officers, and restricted employees as a result of significant unannounced corporate developments. If the Company’s CFO imposes a special blackout period, she or he will notify the Directors, Section 16 Officers, and restricted employees affected.</w:t>
      </w:r>
    </w:p>
    <w:p>
      <w:pPr>
        <w:spacing w:after="0" w:line="172" w:lineRule="exact"/>
        <w:rPr>
          <w:sz w:val="20"/>
          <w:szCs w:val="20"/>
          <w:color w:val="auto"/>
        </w:rPr>
      </w:pPr>
    </w:p>
    <w:p>
      <w:pPr>
        <w:jc w:val="both"/>
        <w:ind w:left="1300" w:hanging="748"/>
        <w:spacing w:after="0" w:line="241" w:lineRule="auto"/>
        <w:tabs>
          <w:tab w:leader="none" w:pos="1280" w:val="left"/>
        </w:tabs>
        <w:rPr>
          <w:sz w:val="20"/>
          <w:szCs w:val="20"/>
          <w:color w:val="auto"/>
        </w:rPr>
      </w:pPr>
      <w:r>
        <w:rPr>
          <w:rFonts w:ascii="Times New Roman" w:cs="Times New Roman" w:eastAsia="Times New Roman" w:hAnsi="Times New Roman"/>
          <w:sz w:val="22"/>
          <w:szCs w:val="22"/>
          <w:color w:val="auto"/>
        </w:rPr>
        <w:t>4.2.4.</w:t>
      </w:r>
      <w:r>
        <w:rPr>
          <w:sz w:val="20"/>
          <w:szCs w:val="20"/>
          <w:color w:val="auto"/>
        </w:rPr>
        <w:tab/>
      </w:r>
      <w:r>
        <w:rPr>
          <w:rFonts w:ascii="Times New Roman" w:cs="Times New Roman" w:eastAsia="Times New Roman" w:hAnsi="Times New Roman"/>
          <w:sz w:val="22"/>
          <w:szCs w:val="22"/>
          <w:i w:val="1"/>
          <w:iCs w:val="1"/>
          <w:color w:val="auto"/>
        </w:rPr>
        <w:t>Prediction Market and Event Contract Restrictions During Blackout Periods</w:t>
      </w:r>
      <w:r>
        <w:rPr>
          <w:rFonts w:ascii="Times New Roman" w:cs="Times New Roman" w:eastAsia="Times New Roman" w:hAnsi="Times New Roman"/>
          <w:sz w:val="22"/>
          <w:szCs w:val="22"/>
          <w:color w:val="auto"/>
        </w:rPr>
        <w:t>. During any blackout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Section 16 Officers, and restricted employees are prohibited from trading on, or taking positions in, prediction markets or event contracts related to the Company’s securities, business operations, financial metrics, executives, products, or other Company-specific events, without prior approval from the CFO.</w:t>
      </w:r>
    </w:p>
    <w:p>
      <w:pPr>
        <w:spacing w:after="0" w:line="1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Trading Windows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1300" w:hanging="748"/>
        <w:spacing w:after="0" w:line="256" w:lineRule="auto"/>
        <w:tabs>
          <w:tab w:leader="none" w:pos="1280" w:val="left"/>
        </w:tabs>
        <w:rPr>
          <w:sz w:val="20"/>
          <w:szCs w:val="20"/>
          <w:color w:val="auto"/>
        </w:rPr>
      </w:pPr>
      <w:r>
        <w:rPr>
          <w:rFonts w:ascii="Times New Roman" w:cs="Times New Roman" w:eastAsia="Times New Roman" w:hAnsi="Times New Roman"/>
          <w:sz w:val="22"/>
          <w:szCs w:val="22"/>
          <w:color w:val="auto"/>
        </w:rPr>
        <w:t>4.3.1.</w:t>
      </w:r>
      <w:r>
        <w:rPr>
          <w:sz w:val="20"/>
          <w:szCs w:val="20"/>
          <w:color w:val="auto"/>
        </w:rPr>
        <w:tab/>
      </w:r>
      <w:r>
        <w:rPr>
          <w:rFonts w:ascii="Times New Roman" w:cs="Times New Roman" w:eastAsia="Times New Roman" w:hAnsi="Times New Roman"/>
          <w:sz w:val="21"/>
          <w:szCs w:val="21"/>
          <w:i w:val="1"/>
          <w:iCs w:val="1"/>
          <w:color w:val="auto"/>
        </w:rPr>
        <w:t xml:space="preserve">Quarterly Trading Windows </w:t>
      </w:r>
      <w:r>
        <w:rPr>
          <w:rFonts w:ascii="Times New Roman" w:cs="Times New Roman" w:eastAsia="Times New Roman" w:hAnsi="Times New Roman"/>
          <w:sz w:val="21"/>
          <w:szCs w:val="21"/>
          <w:color w:val="auto"/>
        </w:rPr>
        <w:t>– Generally, you may trade in the Company’s securities or enter into, amend,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modify a Rule 10b5-1 Trading Plan during the period beginning 48 hours after the public release of the Company’s quarterly or annual earnings and ending at the close of the market on the last day of the calendar month immediately preceding the Company’s next fiscal quarter end (the “trading window” or “open window”).</w:t>
      </w:r>
    </w:p>
    <w:p>
      <w:pPr>
        <w:spacing w:after="0" w:line="158" w:lineRule="exact"/>
        <w:rPr>
          <w:sz w:val="20"/>
          <w:szCs w:val="20"/>
          <w:color w:val="auto"/>
        </w:rPr>
      </w:pPr>
    </w:p>
    <w:p>
      <w:pPr>
        <w:ind w:left="560"/>
        <w:spacing w:after="0"/>
        <w:tabs>
          <w:tab w:leader="none" w:pos="1280" w:val="left"/>
        </w:tabs>
        <w:rPr>
          <w:sz w:val="20"/>
          <w:szCs w:val="20"/>
          <w:color w:val="auto"/>
        </w:rPr>
      </w:pPr>
      <w:r>
        <w:rPr>
          <w:rFonts w:ascii="Times New Roman" w:cs="Times New Roman" w:eastAsia="Times New Roman" w:hAnsi="Times New Roman"/>
          <w:sz w:val="22"/>
          <w:szCs w:val="22"/>
          <w:color w:val="auto"/>
        </w:rPr>
        <w:t>4.3.2.</w:t>
      </w:r>
      <w:r>
        <w:rPr>
          <w:sz w:val="20"/>
          <w:szCs w:val="20"/>
          <w:color w:val="auto"/>
        </w:rPr>
        <w:tab/>
      </w:r>
      <w:r>
        <w:rPr>
          <w:rFonts w:ascii="Times New Roman" w:cs="Times New Roman" w:eastAsia="Times New Roman" w:hAnsi="Times New Roman"/>
          <w:sz w:val="21"/>
          <w:szCs w:val="21"/>
          <w:i w:val="1"/>
          <w:iCs w:val="1"/>
          <w:color w:val="auto"/>
        </w:rPr>
        <w:t>Exceptions</w:t>
      </w:r>
    </w:p>
    <w:p>
      <w:pPr>
        <w:spacing w:after="0" w:line="210" w:lineRule="exact"/>
        <w:rPr>
          <w:sz w:val="20"/>
          <w:szCs w:val="20"/>
          <w:color w:val="auto"/>
        </w:rPr>
      </w:pPr>
    </w:p>
    <w:p>
      <w:pPr>
        <w:jc w:val="both"/>
        <w:ind w:left="2320" w:hanging="1017"/>
        <w:spacing w:after="0" w:line="239" w:lineRule="auto"/>
        <w:tabs>
          <w:tab w:leader="none" w:pos="2300" w:val="left"/>
        </w:tabs>
        <w:rPr>
          <w:sz w:val="20"/>
          <w:szCs w:val="20"/>
          <w:color w:val="auto"/>
        </w:rPr>
      </w:pPr>
      <w:r>
        <w:rPr>
          <w:rFonts w:ascii="Times New Roman" w:cs="Times New Roman" w:eastAsia="Times New Roman" w:hAnsi="Times New Roman"/>
          <w:sz w:val="22"/>
          <w:szCs w:val="22"/>
          <w:color w:val="auto"/>
        </w:rPr>
        <w:t>4.3.2.1.</w:t>
      </w:r>
      <w:r>
        <w:rPr>
          <w:sz w:val="20"/>
          <w:szCs w:val="20"/>
          <w:color w:val="auto"/>
        </w:rPr>
        <w:tab/>
      </w: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xml:space="preserve"> for Directors and Section 16 Officers, trading windows are not applicable with respect to trading pursuant to a Rule 10b5-1 Trading Plan, provided you have obtained pre-clearance from the Company’s CFO that such trading plan would not violate this Policy.</w:t>
      </w:r>
    </w:p>
    <w:p>
      <w:pPr>
        <w:spacing w:after="0" w:line="180" w:lineRule="exact"/>
        <w:rPr>
          <w:sz w:val="20"/>
          <w:szCs w:val="20"/>
          <w:color w:val="auto"/>
        </w:rPr>
      </w:pPr>
    </w:p>
    <w:p>
      <w:pPr>
        <w:jc w:val="both"/>
        <w:ind w:left="2320" w:hanging="1017"/>
        <w:spacing w:after="0" w:line="239" w:lineRule="auto"/>
        <w:tabs>
          <w:tab w:leader="none" w:pos="2300" w:val="left"/>
        </w:tabs>
        <w:rPr>
          <w:sz w:val="20"/>
          <w:szCs w:val="20"/>
          <w:color w:val="auto"/>
        </w:rPr>
      </w:pPr>
      <w:r>
        <w:rPr>
          <w:rFonts w:ascii="Times New Roman" w:cs="Times New Roman" w:eastAsia="Times New Roman" w:hAnsi="Times New Roman"/>
          <w:sz w:val="22"/>
          <w:szCs w:val="22"/>
          <w:color w:val="auto"/>
        </w:rPr>
        <w:t>4.3.2.2.</w:t>
      </w:r>
      <w:r>
        <w:rPr>
          <w:sz w:val="20"/>
          <w:szCs w:val="20"/>
          <w:color w:val="auto"/>
        </w:rPr>
        <w:tab/>
      </w:r>
      <w:r>
        <w:rPr>
          <w:rFonts w:ascii="Times New Roman" w:cs="Times New Roman" w:eastAsia="Times New Roman" w:hAnsi="Times New Roman"/>
          <w:sz w:val="22"/>
          <w:szCs w:val="22"/>
          <w:color w:val="auto"/>
        </w:rPr>
        <w:t>Except for Section 16 Officers, stock acquired pursuant to the ESPP may be sold on the next business day following acquisition regardless of whether such business day is during a trading window, provided that you are not in possession of material non-public information at the time of sale.</w:t>
      </w:r>
    </w:p>
    <w:p>
      <w:pPr>
        <w:spacing w:after="0" w:line="180" w:lineRule="exact"/>
        <w:rPr>
          <w:sz w:val="20"/>
          <w:szCs w:val="20"/>
          <w:color w:val="auto"/>
        </w:rPr>
      </w:pPr>
    </w:p>
    <w:p>
      <w:pPr>
        <w:ind w:left="560"/>
        <w:spacing w:after="0"/>
        <w:tabs>
          <w:tab w:leader="none" w:pos="1280" w:val="left"/>
        </w:tabs>
        <w:rPr>
          <w:sz w:val="20"/>
          <w:szCs w:val="20"/>
          <w:color w:val="auto"/>
        </w:rPr>
      </w:pPr>
      <w:r>
        <w:rPr>
          <w:rFonts w:ascii="Times New Roman" w:cs="Times New Roman" w:eastAsia="Times New Roman" w:hAnsi="Times New Roman"/>
          <w:sz w:val="22"/>
          <w:szCs w:val="22"/>
          <w:color w:val="auto"/>
        </w:rPr>
        <w:t>4.3.3.</w:t>
        <w:tab/>
        <w:t>In certain very limited circumstances, the Company may waive the requirement that trades be made and Rule</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10b5-1 Trading Plans be entered into, amended, or modified only during the trading window.</w:t>
      </w:r>
    </w:p>
    <w:p>
      <w:pPr>
        <w:spacing w:after="0" w:line="182" w:lineRule="exact"/>
        <w:rPr>
          <w:sz w:val="20"/>
          <w:szCs w:val="20"/>
          <w:color w:val="auto"/>
        </w:rPr>
      </w:pPr>
    </w:p>
    <w:p>
      <w:pPr>
        <w:jc w:val="both"/>
        <w:ind w:left="580" w:hanging="568"/>
        <w:spacing w:after="0" w:line="239" w:lineRule="auto"/>
        <w:tabs>
          <w:tab w:leader="none" w:pos="56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u w:val="single" w:color="auto"/>
          <w:color w:val="auto"/>
        </w:rPr>
        <w:t>Restricted Employees</w:t>
      </w:r>
      <w:r>
        <w:rPr>
          <w:rFonts w:ascii="Times New Roman" w:cs="Times New Roman" w:eastAsia="Times New Roman" w:hAnsi="Times New Roman"/>
          <w:sz w:val="22"/>
          <w:szCs w:val="22"/>
          <w:color w:val="auto"/>
        </w:rPr>
        <w:t>. If you are a restricted employee, except for trades made in accordance with an existing Rule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10b5-1 Trading Plan, you may trade in securities of the Company only (a) during a trading window, subject to limited case-by-case waivers by the CFO after consultation with the GC and (b) after you have obtained pre-clearance from the CFO.</w:t>
      </w:r>
    </w:p>
    <w:p>
      <w:pPr>
        <w:spacing w:after="0" w:line="3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146" w:name="page147"/>
    <w:bookmarkEnd w:id="146"/>
    <w:p>
      <w:pPr>
        <w:spacing w:after="0" w:line="18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Directors and Section 16 Officers</w:t>
      </w:r>
      <w:r>
        <w:rPr>
          <w:rFonts w:ascii="Times New Roman" w:cs="Times New Roman" w:eastAsia="Times New Roman" w:hAnsi="Times New Roman"/>
          <w:sz w:val="21"/>
          <w:szCs w:val="21"/>
          <w:color w:val="auto"/>
        </w:rPr>
        <w:t>. If you are a Director or a Section 16 Officer:</w:t>
      </w:r>
    </w:p>
    <w:p>
      <w:pPr>
        <w:spacing w:after="0" w:line="206" w:lineRule="exact"/>
        <w:rPr>
          <w:sz w:val="20"/>
          <w:szCs w:val="20"/>
          <w:color w:val="auto"/>
        </w:rPr>
      </w:pPr>
    </w:p>
    <w:p>
      <w:pPr>
        <w:ind w:left="560"/>
        <w:spacing w:after="0"/>
        <w:tabs>
          <w:tab w:leader="none" w:pos="1280" w:val="left"/>
        </w:tabs>
        <w:rPr>
          <w:sz w:val="20"/>
          <w:szCs w:val="20"/>
          <w:color w:val="auto"/>
        </w:rPr>
      </w:pPr>
      <w:r>
        <w:rPr>
          <w:rFonts w:ascii="Times New Roman" w:cs="Times New Roman" w:eastAsia="Times New Roman" w:hAnsi="Times New Roman"/>
          <w:sz w:val="22"/>
          <w:szCs w:val="22"/>
          <w:color w:val="auto"/>
        </w:rPr>
        <w:t>4.5.1.</w:t>
      </w:r>
      <w:r>
        <w:rPr>
          <w:sz w:val="20"/>
          <w:szCs w:val="20"/>
          <w:color w:val="auto"/>
        </w:rPr>
        <w:tab/>
      </w:r>
      <w:r>
        <w:rPr>
          <w:rFonts w:ascii="Times New Roman" w:cs="Times New Roman" w:eastAsia="Times New Roman" w:hAnsi="Times New Roman"/>
          <w:sz w:val="21"/>
          <w:szCs w:val="21"/>
          <w:color w:val="auto"/>
        </w:rPr>
        <w:t>You may trade in securities of the Company only in limited number of ways:</w:t>
      </w:r>
    </w:p>
    <w:p>
      <w:pPr>
        <w:spacing w:after="0" w:line="206" w:lineRule="exact"/>
        <w:rPr>
          <w:sz w:val="20"/>
          <w:szCs w:val="20"/>
          <w:color w:val="auto"/>
        </w:rPr>
      </w:pPr>
    </w:p>
    <w:p>
      <w:pPr>
        <w:jc w:val="both"/>
        <w:ind w:left="2320" w:hanging="1017"/>
        <w:spacing w:after="0" w:line="244" w:lineRule="auto"/>
        <w:tabs>
          <w:tab w:leader="none" w:pos="2300" w:val="left"/>
        </w:tabs>
        <w:rPr>
          <w:sz w:val="20"/>
          <w:szCs w:val="20"/>
          <w:color w:val="auto"/>
        </w:rPr>
      </w:pPr>
      <w:r>
        <w:rPr>
          <w:rFonts w:ascii="Times New Roman" w:cs="Times New Roman" w:eastAsia="Times New Roman" w:hAnsi="Times New Roman"/>
          <w:sz w:val="22"/>
          <w:szCs w:val="22"/>
          <w:color w:val="auto"/>
        </w:rPr>
        <w:t>4.5.1.1.</w:t>
      </w:r>
      <w:r>
        <w:rPr>
          <w:sz w:val="20"/>
          <w:szCs w:val="20"/>
          <w:color w:val="auto"/>
        </w:rPr>
        <w:tab/>
      </w:r>
      <w:r>
        <w:rPr>
          <w:rFonts w:ascii="Times New Roman" w:cs="Times New Roman" w:eastAsia="Times New Roman" w:hAnsi="Times New Roman"/>
          <w:sz w:val="21"/>
          <w:szCs w:val="21"/>
          <w:color w:val="auto"/>
        </w:rPr>
        <w:t>In an open window for transactions that will be completed during an open window (an “Immediate Trade”) provided that (a) the Director or Section 16 Officer sends an email to the CFO, giving not less than 24 hours nor more than 48 hours advance notice of an intention to trade in securities of the Company, (b) the Director or Section 16 Officer will be responsible directly or through the broker to report, not later than the opening of market on the day following the transaction, the date of the transaction, the number of shares involved in the transaction, the price per share of the shares involved in the transaction, and the source of the shares (ESPP, RSU, or open market purchases) and</w:t>
      </w:r>
    </w:p>
    <w:p>
      <w:pPr>
        <w:spacing w:after="0" w:line="6" w:lineRule="exact"/>
        <w:rPr>
          <w:sz w:val="20"/>
          <w:szCs w:val="20"/>
          <w:color w:val="auto"/>
        </w:rPr>
      </w:pPr>
    </w:p>
    <w:p>
      <w:pPr>
        <w:ind w:left="2320" w:firstLine="3"/>
        <w:spacing w:after="0" w:line="237" w:lineRule="auto"/>
        <w:tabs>
          <w:tab w:leader="none" w:pos="26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 or Section 16 Officer must not possess material non-public information regarding the Company at the time of the transaction, or</w:t>
      </w:r>
    </w:p>
    <w:p>
      <w:pPr>
        <w:spacing w:after="0" w:line="178" w:lineRule="exact"/>
        <w:rPr>
          <w:sz w:val="20"/>
          <w:szCs w:val="20"/>
          <w:color w:val="auto"/>
        </w:rPr>
      </w:pPr>
    </w:p>
    <w:p>
      <w:pPr>
        <w:jc w:val="both"/>
        <w:ind w:left="2320" w:hanging="1017"/>
        <w:spacing w:after="0" w:line="253" w:lineRule="exact"/>
        <w:tabs>
          <w:tab w:leader="none" w:pos="2300" w:val="left"/>
        </w:tabs>
        <w:rPr>
          <w:sz w:val="20"/>
          <w:szCs w:val="20"/>
          <w:color w:val="auto"/>
        </w:rPr>
      </w:pPr>
      <w:r>
        <w:rPr>
          <w:rFonts w:ascii="Times New Roman" w:cs="Times New Roman" w:eastAsia="Times New Roman" w:hAnsi="Times New Roman"/>
          <w:sz w:val="22"/>
          <w:szCs w:val="22"/>
          <w:color w:val="auto"/>
        </w:rPr>
        <w:t>4.5.1.2.</w:t>
      </w:r>
      <w:r>
        <w:rPr>
          <w:sz w:val="20"/>
          <w:szCs w:val="20"/>
          <w:color w:val="auto"/>
        </w:rPr>
        <w:tab/>
      </w:r>
      <w:r>
        <w:rPr>
          <w:rFonts w:ascii="Times New Roman" w:cs="Times New Roman" w:eastAsia="Times New Roman" w:hAnsi="Times New Roman"/>
          <w:sz w:val="22"/>
          <w:szCs w:val="22"/>
          <w:color w:val="auto"/>
        </w:rPr>
        <w:t xml:space="preserve">Through a Rule 10b5-1 Trading Plan (as described below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that may be entered into (a) during an open window, subject to limited case-by-case waivers by the Company’s CFO after consultation with the Company’s GC and (b) after obtaining pre-clearance of the Rule 10b5-1 Trading Plan from the Company’s CFO. The Company’s CFO must obtain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approval from the Company’s CEO for her or his own Rule 10b5-1 Trading Plan.</w:t>
      </w:r>
    </w:p>
    <w:p>
      <w:pPr>
        <w:spacing w:after="0" w:line="180" w:lineRule="exact"/>
        <w:rPr>
          <w:sz w:val="20"/>
          <w:szCs w:val="20"/>
          <w:color w:val="auto"/>
        </w:rPr>
      </w:pPr>
    </w:p>
    <w:p>
      <w:pPr>
        <w:jc w:val="both"/>
        <w:ind w:left="1300" w:hanging="748"/>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4.5.2.</w:t>
        <w:tab/>
        <w:t xml:space="preserve">Pursuant to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you may not trade, even in accordance with a previously approved Rule 10b5-1 trading plan, commencing on the first day of the two-week period prior to an earnings announcement by the Company and continuing until 48 business hours thereafter.</w:t>
      </w:r>
    </w:p>
    <w:p>
      <w:pPr>
        <w:spacing w:after="0" w:line="173" w:lineRule="exact"/>
        <w:rPr>
          <w:sz w:val="20"/>
          <w:szCs w:val="20"/>
          <w:color w:val="auto"/>
        </w:rPr>
      </w:pPr>
    </w:p>
    <w:p>
      <w:pPr>
        <w:ind w:left="580" w:hanging="568"/>
        <w:spacing w:after="0" w:line="258" w:lineRule="auto"/>
        <w:tabs>
          <w:tab w:leader="none" w:pos="56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2"/>
          <w:szCs w:val="22"/>
          <w:u w:val="single" w:color="auto"/>
          <w:color w:val="auto"/>
        </w:rPr>
        <w:t>Competitors</w:t>
      </w:r>
      <w:r>
        <w:rPr>
          <w:rFonts w:ascii="Times New Roman" w:cs="Times New Roman" w:eastAsia="Times New Roman" w:hAnsi="Times New Roman"/>
          <w:sz w:val="22"/>
          <w:szCs w:val="22"/>
          <w:color w:val="auto"/>
        </w:rPr>
        <w:t>. You may not trade in securities of Sturm, Ruger &amp; Company, Inc. or any similar competitor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 unless you have obtained pre-clearance from the Company’s CFO.</w:t>
      </w:r>
    </w:p>
    <w:p>
      <w:pPr>
        <w:spacing w:after="0" w:line="1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u w:val="single" w:color="auto"/>
          <w:color w:val="auto"/>
        </w:rPr>
        <w:t>Employee Stock Purchase Plan</w:t>
      </w:r>
      <w:r>
        <w:rPr>
          <w:rFonts w:ascii="Times New Roman" w:cs="Times New Roman" w:eastAsia="Times New Roman" w:hAnsi="Times New Roman"/>
          <w:sz w:val="21"/>
          <w:szCs w:val="21"/>
          <w:color w:val="auto"/>
        </w:rPr>
        <w:t>. If you are a Section 16 Officer or a restricted employee:</w:t>
      </w:r>
    </w:p>
    <w:p>
      <w:pPr>
        <w:spacing w:after="0" w:line="206" w:lineRule="exact"/>
        <w:rPr>
          <w:sz w:val="20"/>
          <w:szCs w:val="20"/>
          <w:color w:val="auto"/>
        </w:rPr>
      </w:pPr>
    </w:p>
    <w:p>
      <w:pPr>
        <w:jc w:val="both"/>
        <w:ind w:left="1300" w:hanging="748"/>
        <w:spacing w:after="0" w:line="238" w:lineRule="auto"/>
        <w:tabs>
          <w:tab w:leader="none" w:pos="1280" w:val="left"/>
        </w:tabs>
        <w:rPr>
          <w:sz w:val="20"/>
          <w:szCs w:val="20"/>
          <w:color w:val="auto"/>
        </w:rPr>
      </w:pPr>
      <w:r>
        <w:rPr>
          <w:rFonts w:ascii="Times New Roman" w:cs="Times New Roman" w:eastAsia="Times New Roman" w:hAnsi="Times New Roman"/>
          <w:sz w:val="22"/>
          <w:szCs w:val="22"/>
          <w:color w:val="auto"/>
        </w:rPr>
        <w:t>4.7.1.</w:t>
        <w:tab/>
        <w:t xml:space="preserve">You must obtain pre-clearance from the Company’s CFO before you may alter your instructions regarding the purchase or sale of the Company securities in the ESPP, including (i) electing to begin participating or ceasing to participate in the ESPP, (ii) increasing or decreasing the percentage of your payroll contributions to the ESPP; or (iii) selling the common stock issued by the Company pursuant to the ESPP, subject to the exception in </w:t>
      </w:r>
      <w:r>
        <w:rPr>
          <w:rFonts w:ascii="Times New Roman" w:cs="Times New Roman" w:eastAsia="Times New Roman" w:hAnsi="Times New Roman"/>
          <w:sz w:val="22"/>
          <w:szCs w:val="22"/>
          <w:u w:val="single" w:color="auto"/>
          <w:color w:val="auto"/>
        </w:rPr>
        <w:t>Section 4.3.2.2</w:t>
      </w:r>
      <w:r>
        <w:rPr>
          <w:rFonts w:ascii="Times New Roman" w:cs="Times New Roman" w:eastAsia="Times New Roman" w:hAnsi="Times New Roman"/>
          <w:sz w:val="22"/>
          <w:szCs w:val="22"/>
          <w:color w:val="auto"/>
        </w:rPr>
        <w:t>; and</w:t>
      </w:r>
    </w:p>
    <w:p>
      <w:pPr>
        <w:spacing w:after="0" w:line="36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147" w:name="page148"/>
    <w:bookmarkEnd w:id="147"/>
    <w:p>
      <w:pPr>
        <w:spacing w:after="0" w:line="18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4.7.2.</w:t>
      </w:r>
      <w:r>
        <w:rPr>
          <w:sz w:val="20"/>
          <w:szCs w:val="20"/>
          <w:color w:val="auto"/>
        </w:rPr>
        <w:tab/>
      </w:r>
      <w:r>
        <w:rPr>
          <w:rFonts w:ascii="Times New Roman" w:cs="Times New Roman" w:eastAsia="Times New Roman" w:hAnsi="Times New Roman"/>
          <w:sz w:val="21"/>
          <w:szCs w:val="21"/>
          <w:color w:val="auto"/>
        </w:rPr>
        <w:t>You may alter your instructions regarding the purchase or sale of the Company securities in the ESPP, including</w:t>
      </w:r>
    </w:p>
    <w:p>
      <w:pPr>
        <w:spacing w:after="0" w:line="14" w:lineRule="exact"/>
        <w:rPr>
          <w:sz w:val="20"/>
          <w:szCs w:val="20"/>
          <w:color w:val="auto"/>
        </w:rPr>
      </w:pPr>
    </w:p>
    <w:p>
      <w:pPr>
        <w:jc w:val="both"/>
        <w:ind w:left="1500" w:firstLine="6"/>
        <w:spacing w:after="0" w:line="234" w:lineRule="auto"/>
        <w:tabs>
          <w:tab w:leader="none" w:pos="181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electing to begin participating or ceasing to participate in the ESPP, (ii) increasing or decreasing the percentage of your payroll contributions to the ESPP; or (iii) selling the common stock issued by the Company pursuant to the ESPP, subject to the exception in </w:t>
      </w:r>
      <w:r>
        <w:rPr>
          <w:rFonts w:ascii="Times New Roman" w:cs="Times New Roman" w:eastAsia="Times New Roman" w:hAnsi="Times New Roman"/>
          <w:sz w:val="22"/>
          <w:szCs w:val="22"/>
          <w:u w:val="single" w:color="auto"/>
          <w:color w:val="auto"/>
        </w:rPr>
        <w:t>Section 4.3.2.2</w:t>
      </w:r>
      <w:r>
        <w:rPr>
          <w:rFonts w:ascii="Times New Roman" w:cs="Times New Roman" w:eastAsia="Times New Roman" w:hAnsi="Times New Roman"/>
          <w:sz w:val="22"/>
          <w:szCs w:val="22"/>
          <w:color w:val="auto"/>
        </w:rPr>
        <w:t>, only during a trading window, subject to limited case-by-case waivers by the Company’s CFO after consultation with the Company’s GC.</w:t>
      </w:r>
    </w:p>
    <w:p>
      <w:pPr>
        <w:spacing w:after="0" w:line="17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TRADING PLANS</w:t>
      </w:r>
    </w:p>
    <w:p>
      <w:pPr>
        <w:spacing w:after="0" w:line="210" w:lineRule="exact"/>
        <w:rPr>
          <w:sz w:val="20"/>
          <w:szCs w:val="20"/>
          <w:color w:val="auto"/>
        </w:rPr>
      </w:pPr>
    </w:p>
    <w:p>
      <w:pPr>
        <w:jc w:val="both"/>
        <w:ind w:left="780" w:hanging="568"/>
        <w:spacing w:after="0" w:line="250" w:lineRule="exact"/>
        <w:tabs>
          <w:tab w:leader="none" w:pos="76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 xml:space="preserve">If you are a Director, Section 16 Officer, or employee (non-restricted or restricted) and you are not effecting an Immediate Trade as set forth above in </w:t>
      </w:r>
      <w:r>
        <w:rPr>
          <w:rFonts w:ascii="Times New Roman" w:cs="Times New Roman" w:eastAsia="Times New Roman" w:hAnsi="Times New Roman"/>
          <w:sz w:val="21"/>
          <w:szCs w:val="21"/>
          <w:u w:val="single" w:color="auto"/>
          <w:color w:val="auto"/>
        </w:rPr>
        <w:t>Section 4.5.1.1</w:t>
      </w:r>
      <w:r>
        <w:rPr>
          <w:rFonts w:ascii="Times New Roman" w:cs="Times New Roman" w:eastAsia="Times New Roman" w:hAnsi="Times New Roman"/>
          <w:sz w:val="21"/>
          <w:szCs w:val="21"/>
          <w:color w:val="auto"/>
        </w:rPr>
        <w:t>, you may (i) enter into, amend, or modify a Rule 10b5-1 Trading Plan at any time you are not in possession of material non-public information about the Company and (ii) enter into, amend, or modify a Rule 10b5-1 Trading Plan only after you have obtained pre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clearance from the Company’s CFO that such Rule 10b5-1 Trading Plan would not violate this Policy (“pre-clearance”). Even if you receive pre-clearance, you may enter into, amend, or modify a Rule 10b5-1 Trading Plan only so long as you are not in possession of material non-public information about the Company. If you are a Director, Section 16 Officer, or restricted employee, you are also subject to the provisions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with respect to entering into, amending, or modifying a Rule 10b5-1 Trading Plan.</w:t>
      </w:r>
    </w:p>
    <w:p>
      <w:pPr>
        <w:spacing w:after="0" w:line="177" w:lineRule="exact"/>
        <w:rPr>
          <w:sz w:val="20"/>
          <w:szCs w:val="20"/>
          <w:color w:val="auto"/>
        </w:rPr>
      </w:pPr>
    </w:p>
    <w:p>
      <w:pPr>
        <w:jc w:val="both"/>
        <w:ind w:left="780" w:hanging="568"/>
        <w:spacing w:after="0" w:line="235" w:lineRule="auto"/>
        <w:tabs>
          <w:tab w:leader="none" w:pos="760" w:val="left"/>
        </w:tabs>
        <w:rPr>
          <w:sz w:val="20"/>
          <w:szCs w:val="20"/>
          <w:color w:val="auto"/>
        </w:rPr>
      </w:pPr>
      <w:r>
        <w:rPr>
          <w:rFonts w:ascii="Times New Roman" w:cs="Times New Roman" w:eastAsia="Times New Roman" w:hAnsi="Times New Roman"/>
          <w:sz w:val="22"/>
          <w:szCs w:val="22"/>
          <w:color w:val="auto"/>
        </w:rPr>
        <w:t>5.2.</w:t>
        <w:tab/>
        <w:t>With respect to a Director or Section 16 Officer, no trade shall be made pursuant to a new, amended, or modified Rule 10b5-1 Trading Plan entered into pursuant to Section 5.1 (including obtaining pre-clearance) until the later of (i) 90 days after the adoption or modification of the trading plan, or (ii) two business days following the filing by the Company of the quarterly report on Form 10-Q or annual report on Form 10-K for the fiscal quarter in which the plan was adopted, amended, or modified; provided that, in any event, such cooling-off period is not required to exceed 120 days following adoption or modification of the plan. With respect to an employee (non-restricted or restricted), no trade shall be made pursuant to a new, amended, or modified Rule 10b5-1 Trading Plan entered into pursuant to Section 5.1 (including obtaining pre-clearance) until 30 days after the adoption or modification of the trading plan.</w:t>
      </w:r>
    </w:p>
    <w:p>
      <w:pPr>
        <w:spacing w:after="0" w:line="178" w:lineRule="exact"/>
        <w:rPr>
          <w:sz w:val="20"/>
          <w:szCs w:val="20"/>
          <w:color w:val="auto"/>
        </w:rPr>
      </w:pPr>
    </w:p>
    <w:p>
      <w:pPr>
        <w:jc w:val="both"/>
        <w:ind w:left="780" w:hanging="568"/>
        <w:spacing w:after="0" w:line="239" w:lineRule="auto"/>
        <w:tabs>
          <w:tab w:leader="none" w:pos="760" w:val="left"/>
        </w:tabs>
        <w:rPr>
          <w:sz w:val="20"/>
          <w:szCs w:val="20"/>
          <w:color w:val="auto"/>
        </w:rPr>
      </w:pPr>
      <w:r>
        <w:rPr>
          <w:rFonts w:ascii="Times New Roman" w:cs="Times New Roman" w:eastAsia="Times New Roman" w:hAnsi="Times New Roman"/>
          <w:sz w:val="22"/>
          <w:szCs w:val="22"/>
          <w:color w:val="auto"/>
        </w:rPr>
        <w:t>5.3.</w:t>
        <w:tab/>
        <w:t>When adopting a new, amended, or modified Rule 10b5-1 Trading Plan, a Director or Section 16 Officer must include in the plan written representations certifying that he or she (i) is not aware of material nonpublic information about Company or its securities and (ii) is adopting, amending, or modifying the plan in good faith and not as part of a plan or scheme to evade the prohibitions of Exchange Act Rule 10b-5.</w:t>
      </w:r>
    </w:p>
    <w:p>
      <w:pPr>
        <w:spacing w:after="0" w:line="180" w:lineRule="exact"/>
        <w:rPr>
          <w:sz w:val="20"/>
          <w:szCs w:val="20"/>
          <w:color w:val="auto"/>
        </w:rPr>
      </w:pPr>
    </w:p>
    <w:p>
      <w:pPr>
        <w:jc w:val="both"/>
        <w:ind w:left="780" w:right="20" w:hanging="568"/>
        <w:spacing w:after="0" w:line="258" w:lineRule="auto"/>
        <w:tabs>
          <w:tab w:leader="none" w:pos="760" w:val="left"/>
        </w:tabs>
        <w:rPr>
          <w:sz w:val="20"/>
          <w:szCs w:val="20"/>
          <w:color w:val="auto"/>
        </w:rPr>
      </w:pPr>
      <w:r>
        <w:rPr>
          <w:rFonts w:ascii="Times New Roman" w:cs="Times New Roman" w:eastAsia="Times New Roman" w:hAnsi="Times New Roman"/>
          <w:sz w:val="22"/>
          <w:szCs w:val="22"/>
          <w:color w:val="auto"/>
        </w:rPr>
        <w:t>5.4.</w:t>
        <w:tab/>
        <w:t>You are generally prohibited from maintaining more than one Rule 10b5-1 Trading Plan for open market purchases or sales of the Company’s securities at any given time unless one of the following three exemptions is met: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4" w:lineRule="exact"/>
        <w:rPr>
          <w:sz w:val="20"/>
          <w:szCs w:val="20"/>
          <w:color w:val="auto"/>
        </w:rPr>
      </w:pPr>
    </w:p>
    <w:p>
      <w:pPr>
        <w:jc w:val="both"/>
        <w:ind w:left="1500" w:hanging="748"/>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5.4.1.</w:t>
        <w:tab/>
        <w:t>A person may enter into more than one plan with different broker-dealers or other agents and treat the plans as a single “plan” so long as, when taken as a whole, the “plan” complies with all of the requirements of Rule 10b5-1;</w:t>
      </w:r>
    </w:p>
    <w:p>
      <w:pPr>
        <w:spacing w:after="0" w:line="173" w:lineRule="exact"/>
        <w:rPr>
          <w:sz w:val="20"/>
          <w:szCs w:val="20"/>
          <w:color w:val="auto"/>
        </w:rPr>
      </w:pPr>
    </w:p>
    <w:p>
      <w:pPr>
        <w:jc w:val="both"/>
        <w:ind w:left="1500" w:hanging="748"/>
        <w:spacing w:after="0" w:line="239" w:lineRule="auto"/>
        <w:tabs>
          <w:tab w:leader="none" w:pos="1480" w:val="left"/>
        </w:tabs>
        <w:rPr>
          <w:sz w:val="20"/>
          <w:szCs w:val="20"/>
          <w:color w:val="auto"/>
        </w:rPr>
      </w:pPr>
      <w:r>
        <w:rPr>
          <w:rFonts w:ascii="Times New Roman" w:cs="Times New Roman" w:eastAsia="Times New Roman" w:hAnsi="Times New Roman"/>
          <w:sz w:val="22"/>
          <w:szCs w:val="22"/>
          <w:color w:val="auto"/>
        </w:rPr>
        <w:t>5.4.2.</w:t>
        <w:tab/>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and</w:t>
      </w:r>
    </w:p>
    <w:p>
      <w:pPr>
        <w:spacing w:after="0" w:line="180" w:lineRule="exact"/>
        <w:rPr>
          <w:sz w:val="20"/>
          <w:szCs w:val="20"/>
          <w:color w:val="auto"/>
        </w:rPr>
      </w:pPr>
    </w:p>
    <w:p>
      <w:pPr>
        <w:jc w:val="both"/>
        <w:ind w:left="1500" w:hanging="748"/>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5.4.3.</w:t>
        <w:tab/>
        <w:t>A person may have an additional plan set up solely to sell securities as necessary to satisfy tax-withholding obligations arising exclusively from the vesting of a compensatory award, otherwise known as “sell-to-cover” transactions.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Contact the Company’s CFO if you have questions.</w:t>
      </w:r>
    </w:p>
    <w:p>
      <w:pPr>
        <w:spacing w:after="0" w:line="206" w:lineRule="exact"/>
        <w:rPr>
          <w:sz w:val="20"/>
          <w:szCs w:val="20"/>
          <w:color w:val="auto"/>
        </w:rPr>
      </w:pPr>
    </w:p>
    <w:p>
      <w:pPr>
        <w:jc w:val="both"/>
        <w:ind w:left="780" w:hanging="568"/>
        <w:spacing w:after="0" w:line="239" w:lineRule="auto"/>
        <w:tabs>
          <w:tab w:leader="none" w:pos="760" w:val="left"/>
        </w:tabs>
        <w:rPr>
          <w:sz w:val="20"/>
          <w:szCs w:val="20"/>
          <w:color w:val="auto"/>
        </w:rPr>
      </w:pPr>
      <w:r>
        <w:rPr>
          <w:rFonts w:ascii="Times New Roman" w:cs="Times New Roman" w:eastAsia="Times New Roman" w:hAnsi="Times New Roman"/>
          <w:sz w:val="22"/>
          <w:szCs w:val="22"/>
          <w:color w:val="auto"/>
        </w:rPr>
        <w:t>5.5.</w:t>
        <w:tab/>
        <w:t>You may not enter into more than one “single-trade plan” in any 12-month period. For these purposes, “single-trade plan” means a Rule 10b5-1 Trading Plan that is designed to effect the open market purchase or sale of the total amount of the securities subject to the plan as a single transaction. Rule 10b5-1 Trading Plans for qualified sell-to-cover transactions with respect to certain compensatory awards are not included in this limit.</w:t>
      </w:r>
    </w:p>
    <w:p>
      <w:pPr>
        <w:spacing w:after="0" w:line="180" w:lineRule="exact"/>
        <w:rPr>
          <w:sz w:val="20"/>
          <w:szCs w:val="20"/>
          <w:color w:val="auto"/>
        </w:rPr>
      </w:pPr>
    </w:p>
    <w:p>
      <w:pPr>
        <w:ind w:left="780" w:right="400" w:hanging="568"/>
        <w:spacing w:after="0" w:line="258" w:lineRule="auto"/>
        <w:tabs>
          <w:tab w:leader="none" w:pos="760" w:val="left"/>
        </w:tabs>
        <w:rPr>
          <w:sz w:val="20"/>
          <w:szCs w:val="20"/>
          <w:color w:val="auto"/>
        </w:rPr>
      </w:pPr>
      <w:r>
        <w:rPr>
          <w:rFonts w:ascii="Times New Roman" w:cs="Times New Roman" w:eastAsia="Times New Roman" w:hAnsi="Times New Roman"/>
          <w:sz w:val="22"/>
          <w:szCs w:val="22"/>
          <w:color w:val="auto"/>
        </w:rPr>
        <w:t>5.6.</w:t>
        <w:tab/>
        <w:t>If you enter into a Rule 10b5-1 Trading Plan, you must do so in good faith and must act in good faith with respect to such plan.</w:t>
      </w:r>
    </w:p>
    <w:p>
      <w:pPr>
        <w:spacing w:after="0" w:line="158" w:lineRule="exact"/>
        <w:rPr>
          <w:sz w:val="20"/>
          <w:szCs w:val="20"/>
          <w:color w:val="auto"/>
        </w:rPr>
      </w:pPr>
    </w:p>
    <w:p>
      <w:pPr>
        <w:jc w:val="both"/>
        <w:ind w:left="780" w:hanging="568"/>
        <w:spacing w:after="0" w:line="238" w:lineRule="auto"/>
        <w:tabs>
          <w:tab w:leader="none" w:pos="760" w:val="left"/>
        </w:tabs>
        <w:rPr>
          <w:sz w:val="20"/>
          <w:szCs w:val="20"/>
          <w:color w:val="auto"/>
        </w:rPr>
      </w:pPr>
      <w:r>
        <w:rPr>
          <w:rFonts w:ascii="Times New Roman" w:cs="Times New Roman" w:eastAsia="Times New Roman" w:hAnsi="Times New Roman"/>
          <w:sz w:val="22"/>
          <w:szCs w:val="22"/>
          <w:color w:val="auto"/>
        </w:rPr>
        <w:t>5.7.</w:t>
        <w:tab/>
        <w:t>If you have a previously approved Rule 10b5-1 Trading Plan in place, the Company will not sign any request to amend or modify such plan following any date you cease being a Director, Section 16 Officer, or employee, subject to limited case-by-case waivers by the Company’s CFO after consultation with the Company’s GC. Keep in mind, however, you may not trade in the Company’s securities while in possession of material non-public information even after you are no longer are a Director, Section 16 Officer, or employee.</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PENALTIES FOR INSIDER TRADING VIOLATIONS</w:t>
      </w:r>
    </w:p>
    <w:p>
      <w:pPr>
        <w:spacing w:after="0" w:line="210" w:lineRule="exact"/>
        <w:rPr>
          <w:sz w:val="20"/>
          <w:szCs w:val="20"/>
          <w:color w:val="auto"/>
        </w:rPr>
      </w:pPr>
    </w:p>
    <w:p>
      <w:pPr>
        <w:jc w:val="both"/>
        <w:ind w:left="780" w:hanging="568"/>
        <w:spacing w:after="0" w:line="244" w:lineRule="auto"/>
        <w:tabs>
          <w:tab w:leader="none" w:pos="760" w:val="left"/>
        </w:tabs>
        <w:rPr>
          <w:sz w:val="20"/>
          <w:szCs w:val="20"/>
          <w:color w:val="auto"/>
        </w:rPr>
      </w:pPr>
      <w:r>
        <w:rPr>
          <w:rFonts w:ascii="Times New Roman" w:cs="Times New Roman" w:eastAsia="Times New Roman" w:hAnsi="Times New Roman"/>
          <w:sz w:val="22"/>
          <w:szCs w:val="22"/>
          <w:color w:val="auto"/>
        </w:rPr>
        <w:t>6.1.</w:t>
        <w:tab/>
        <w:t>Penalties for trading on or tipping material non-public information can be severe, including prison sentences, criminal fines, civil penalties, and civil enforcement injunctions. Given the severity of the potential penalties, compliance with this Policy is absolutely mandatory at all times.</w:t>
      </w:r>
    </w:p>
    <w:p>
      <w:pPr>
        <w:spacing w:after="0" w:line="173" w:lineRule="exact"/>
        <w:rPr>
          <w:sz w:val="20"/>
          <w:szCs w:val="20"/>
          <w:color w:val="auto"/>
        </w:rPr>
      </w:pPr>
    </w:p>
    <w:p>
      <w:pPr>
        <w:jc w:val="both"/>
        <w:ind w:left="780" w:hanging="568"/>
        <w:spacing w:after="0" w:line="239" w:lineRule="auto"/>
        <w:tabs>
          <w:tab w:leader="none" w:pos="760" w:val="left"/>
        </w:tabs>
        <w:rPr>
          <w:sz w:val="20"/>
          <w:szCs w:val="20"/>
          <w:color w:val="auto"/>
        </w:rPr>
      </w:pPr>
      <w:r>
        <w:rPr>
          <w:rFonts w:ascii="Times New Roman" w:cs="Times New Roman" w:eastAsia="Times New Roman" w:hAnsi="Times New Roman"/>
          <w:sz w:val="22"/>
          <w:szCs w:val="22"/>
          <w:color w:val="auto"/>
        </w:rPr>
        <w:t>6.2.</w:t>
        <w:tab/>
        <w:t>Trading on inside information is a crime. If you are convicted of insider trading, you can face up to $5 million in fines and a maximum 20-year prison sentence. Additional criminal liability may arise under commodities fraud or wire fraud statutes. Business entities that are found guilty of insider trading face up to $25 million in fines and participants in the scheme can also be imprisoned for up to 20 years.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4" w:lineRule="exact"/>
        <w:rPr>
          <w:sz w:val="20"/>
          <w:szCs w:val="20"/>
          <w:color w:val="auto"/>
        </w:rPr>
      </w:pPr>
    </w:p>
    <w:p>
      <w:pPr>
        <w:jc w:val="both"/>
        <w:ind w:left="780" w:hanging="568"/>
        <w:spacing w:after="0" w:line="235" w:lineRule="auto"/>
        <w:tabs>
          <w:tab w:leader="none" w:pos="760" w:val="left"/>
        </w:tabs>
        <w:rPr>
          <w:sz w:val="20"/>
          <w:szCs w:val="20"/>
          <w:color w:val="auto"/>
        </w:rPr>
      </w:pPr>
      <w:r>
        <w:rPr>
          <w:rFonts w:ascii="Times New Roman" w:cs="Times New Roman" w:eastAsia="Times New Roman" w:hAnsi="Times New Roman"/>
          <w:sz w:val="22"/>
          <w:szCs w:val="22"/>
          <w:color w:val="auto"/>
        </w:rPr>
        <w:t>6.3.</w:t>
        <w:tab/>
        <w:t>The SEC also has the authority to seek a civil monetary penalty of up to three times the amount of the profit gained or loss avoided as a result of an individual’s insider trading. The SEC may also impose control person liability on the Company for up to the greater of $1,000,000 or three times the amount of profit gained or loss avoided by insider trading. The Commodity Futures Trading Commission has parallel authority to seek civil penalties, disgorgement, and other remedies for violations involving prediction markets and event contracts. In addition to civil penalties, the SEC may seek other relief such as an injunction against future violations and disgorgement of profits resulting from illegal trading. Finally, private parties may bring actions against any person purchasing or selling a security while in the possession of material non-public information.</w:t>
      </w:r>
    </w:p>
    <w:p>
      <w:pPr>
        <w:spacing w:after="0" w:line="178" w:lineRule="exact"/>
        <w:rPr>
          <w:sz w:val="20"/>
          <w:szCs w:val="20"/>
          <w:color w:val="auto"/>
        </w:rPr>
      </w:pPr>
    </w:p>
    <w:p>
      <w:pPr>
        <w:jc w:val="both"/>
        <w:ind w:left="780" w:hanging="568"/>
        <w:spacing w:after="0" w:line="236" w:lineRule="auto"/>
        <w:tabs>
          <w:tab w:leader="none" w:pos="760" w:val="left"/>
        </w:tabs>
        <w:rPr>
          <w:sz w:val="20"/>
          <w:szCs w:val="20"/>
          <w:color w:val="auto"/>
        </w:rPr>
      </w:pPr>
      <w:r>
        <w:rPr>
          <w:rFonts w:ascii="Times New Roman" w:cs="Times New Roman" w:eastAsia="Times New Roman" w:hAnsi="Times New Roman"/>
          <w:sz w:val="22"/>
          <w:szCs w:val="22"/>
          <w:color w:val="auto"/>
        </w:rPr>
        <w:t>6.4.</w:t>
        <w:tab/>
        <w:t>On occasion, it may be necessary for legitimate business reasons to disclose material non-public information to persons outside the Company. Such persons might include outside Company auditors and legal counsel, commercial bankers, investment bankers, and companies seeking to engage in a strategic transaction with the Company. In such circumstances, the information should not be conveyed until an express agreement has been reached to maintain the information in confidence, to provide that such information is not to be used for trading purposes, and to mandate that such information may not be further disclosed other than for legitimate business reasons.</w:t>
      </w:r>
    </w:p>
    <w:p>
      <w:pPr>
        <w:spacing w:after="0" w:line="181" w:lineRule="exact"/>
        <w:rPr>
          <w:sz w:val="20"/>
          <w:szCs w:val="20"/>
          <w:color w:val="auto"/>
        </w:rPr>
      </w:pPr>
    </w:p>
    <w:p>
      <w:pPr>
        <w:jc w:val="both"/>
        <w:ind w:left="780" w:hanging="568"/>
        <w:spacing w:after="0" w:line="239" w:lineRule="auto"/>
        <w:tabs>
          <w:tab w:leader="none" w:pos="760" w:val="left"/>
        </w:tabs>
        <w:rPr>
          <w:sz w:val="20"/>
          <w:szCs w:val="20"/>
          <w:color w:val="auto"/>
        </w:rPr>
      </w:pPr>
      <w:r>
        <w:rPr>
          <w:rFonts w:ascii="Times New Roman" w:cs="Times New Roman" w:eastAsia="Times New Roman" w:hAnsi="Times New Roman"/>
          <w:sz w:val="22"/>
          <w:szCs w:val="22"/>
          <w:color w:val="auto"/>
        </w:rPr>
        <w:t>6.5.</w:t>
        <w:tab/>
        <w:t>Any Director, Section 16 Officer, or employee who violates the prohibitions against insider trading or knows of such violation by any other persons must report the violation immediately to the Company’s CEO, CFO, or GC. Upon learning of any such violations, the Company will determine whether it should publicly release any material non-public information and/or report the violation to the appropriate governmental authority.</w:t>
      </w:r>
    </w:p>
    <w:p>
      <w:pPr>
        <w:spacing w:after="0" w:line="180" w:lineRule="exact"/>
        <w:rPr>
          <w:sz w:val="20"/>
          <w:szCs w:val="20"/>
          <w:color w:val="auto"/>
        </w:rPr>
      </w:pPr>
    </w:p>
    <w:p>
      <w:pPr>
        <w:ind w:left="780" w:right="320" w:hanging="568"/>
        <w:spacing w:after="0" w:line="258" w:lineRule="auto"/>
        <w:tabs>
          <w:tab w:leader="none" w:pos="760" w:val="left"/>
        </w:tabs>
        <w:rPr>
          <w:sz w:val="20"/>
          <w:szCs w:val="20"/>
          <w:color w:val="auto"/>
        </w:rPr>
      </w:pPr>
      <w:r>
        <w:rPr>
          <w:rFonts w:ascii="Times New Roman" w:cs="Times New Roman" w:eastAsia="Times New Roman" w:hAnsi="Times New Roman"/>
          <w:sz w:val="22"/>
          <w:szCs w:val="22"/>
          <w:color w:val="auto"/>
        </w:rPr>
        <w:t>6.6.</w:t>
        <w:tab/>
        <w:t>Your failure to comply with this Policy at all times will be grounds for disciplinary action by the Company, up to and including dismissal for cause.</w:t>
      </w:r>
    </w:p>
    <w:p>
      <w:pPr>
        <w:spacing w:after="0" w:line="1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10"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Inside (or “non-public”)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500" w:hanging="748"/>
        <w:spacing w:after="0" w:line="247" w:lineRule="auto"/>
        <w:tabs>
          <w:tab w:leader="none" w:pos="148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color w:val="auto"/>
        </w:rPr>
        <w:t xml:space="preserve">Inside (or “non-public”) information is material information about the Company that has not been disclosed through wide dissemination to the public. Information generally becomes public when it has been disclosed by the Company or third parties to achieve broad, non-exclusionary distribution to the investing public through recognized channels of distribution, without favoring any person or group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public investors have had a reasonable period of time to absorb and react to the information. Generally, information which has not been available to the investing public for at least 48 business hours’ time during which the Nasdaq stock market is open for trading, after formal release is considered to be non-public. Recognized channels of distribution include press releases or other public statements, including any publicly disclosed filing with the SEC.</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4" w:lineRule="exact"/>
        <w:rPr>
          <w:sz w:val="20"/>
          <w:szCs w:val="20"/>
          <w:color w:val="auto"/>
        </w:rPr>
      </w:pPr>
    </w:p>
    <w:p>
      <w:pPr>
        <w:jc w:val="both"/>
        <w:ind w:left="1300" w:hanging="748"/>
        <w:spacing w:after="0" w:line="234" w:lineRule="auto"/>
        <w:tabs>
          <w:tab w:leader="none" w:pos="1280" w:val="left"/>
        </w:tabs>
        <w:rPr>
          <w:sz w:val="20"/>
          <w:szCs w:val="20"/>
          <w:color w:val="auto"/>
        </w:rPr>
      </w:pPr>
      <w:r>
        <w:rPr>
          <w:rFonts w:ascii="Times New Roman" w:cs="Times New Roman" w:eastAsia="Times New Roman" w:hAnsi="Times New Roman"/>
          <w:sz w:val="22"/>
          <w:szCs w:val="22"/>
          <w:color w:val="auto"/>
        </w:rPr>
        <w:t>7.1.2.</w:t>
        <w:tab/>
        <w:t>Inside or non-public information may include, among other things, strategic plans; significant capital investment plans; negotiations concerning acquisitions or dispositions; major new contracts (or the loss of a major contract); other favorable or unfavorable business or financial developments; projections or prospects; a change in control or a significant change in management; impending securities splits, securities dividends, or changes in dividends to be paid; a call of securities for redemption; and, most frequently, financial results. Furthermore, non-public information may be information available to a select group of analysts or brokers or institutional investors; undisclosed facts that are the subject of rumors, even if the rumors are widely circulated; and information that has been entrusted to the Company on a confidential basis until a public announcement of the information has been made and enough time has elapsed for the market to respond to a public announcement of the information (normally 48 hours).</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300" w:hanging="748"/>
        <w:spacing w:after="0" w:line="233" w:lineRule="auto"/>
        <w:tabs>
          <w:tab w:leader="none" w:pos="1280" w:val="left"/>
        </w:tabs>
        <w:rPr>
          <w:sz w:val="20"/>
          <w:szCs w:val="20"/>
          <w:color w:val="auto"/>
        </w:rPr>
      </w:pPr>
      <w:r>
        <w:rPr>
          <w:rFonts w:ascii="Times New Roman" w:cs="Times New Roman" w:eastAsia="Times New Roman" w:hAnsi="Times New Roman"/>
          <w:sz w:val="22"/>
          <w:szCs w:val="22"/>
          <w:color w:val="auto"/>
        </w:rPr>
        <w:t>7.2.1.</w:t>
        <w:tab/>
        <w:t>Information is material if there is a likelihood that a reasonable investor would consider it important in deciding whether to buy, hold, or sell the Company’s securities. Any information that could reasonably be expected to affect the price of the Company’s securities is material for these purposes. In this regard, potential market reaction or sensitivity to the information is a key consideration. Moreover, although multiple pieces of information may not be material individually, if the aggregate effect of those pieces, when they become public, would alter the “total mix” of available information and result in a reevaluation of the Company’s securities, then such pieces of information are considered material. Information may be material for purposes of prediction market or event contract trading even where its direct impact on the trading price of the Company’s securities is uncertain or difficult to quantify. Material information can be positive or negative. While it is not possible to identify in advance all information that will be deemed to be material, examples of potentially material information include the following:</w:t>
      </w:r>
    </w:p>
    <w:p>
      <w:pPr>
        <w:spacing w:after="0" w:line="79" w:lineRule="exact"/>
        <w:rPr>
          <w:sz w:val="20"/>
          <w:szCs w:val="20"/>
          <w:color w:val="auto"/>
        </w:rPr>
      </w:pPr>
    </w:p>
    <w:p>
      <w:pPr>
        <w:ind w:left="2060" w:hanging="755"/>
        <w:spacing w:after="0"/>
        <w:tabs>
          <w:tab w:leader="none" w:pos="20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including earnings information and quarterly results;</w:t>
      </w:r>
    </w:p>
    <w:p>
      <w:pPr>
        <w:spacing w:after="0" w:line="98"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Known but unannounced future earnings or losses;</w:t>
      </w:r>
    </w:p>
    <w:p>
      <w:pPr>
        <w:spacing w:after="0" w:line="98"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on earnings estimates;</w:t>
      </w:r>
    </w:p>
    <w:p>
      <w:pPr>
        <w:spacing w:after="0" w:line="98"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or termination of a significant financing arrangement;</w:t>
      </w:r>
    </w:p>
    <w:p>
      <w:pPr>
        <w:spacing w:after="0" w:line="98"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relating to a pending or proposed merger or other acquisition, disposition, or joint venture;</w:t>
      </w:r>
    </w:p>
    <w:p>
      <w:pPr>
        <w:spacing w:after="0" w:line="109" w:lineRule="exact"/>
        <w:rPr>
          <w:rFonts w:ascii="Times New Roman" w:cs="Times New Roman" w:eastAsia="Times New Roman" w:hAnsi="Times New Roman"/>
          <w:sz w:val="21"/>
          <w:szCs w:val="21"/>
          <w:color w:val="auto"/>
        </w:rPr>
      </w:pPr>
    </w:p>
    <w:p>
      <w:pPr>
        <w:ind w:left="2060" w:hanging="755"/>
        <w:spacing w:after="0"/>
        <w:tabs>
          <w:tab w:leader="none" w:pos="20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relating to the disposition or acquisition of significant assets;</w:t>
      </w:r>
    </w:p>
    <w:p>
      <w:pPr>
        <w:spacing w:after="0" w:line="98"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financial liquidity;</w:t>
      </w:r>
    </w:p>
    <w:p>
      <w:pPr>
        <w:spacing w:after="0" w:line="39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151" w:name="page152"/>
    <w:bookmarkEnd w:id="151"/>
    <w:p>
      <w:pPr>
        <w:spacing w:after="0" w:line="76" w:lineRule="exact"/>
        <w:rPr>
          <w:sz w:val="20"/>
          <w:szCs w:val="20"/>
          <w:color w:val="auto"/>
        </w:rPr>
      </w:pPr>
    </w:p>
    <w:p>
      <w:pPr>
        <w:ind w:left="2260" w:right="280" w:hanging="755"/>
        <w:spacing w:after="0" w:line="244" w:lineRule="auto"/>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regarding the Company’s securities, including defaults on senior securities, calls of securities for redemption, repurchase plans, stock splits, changes in dividend policy, and changes to rights of securityholders;</w:t>
      </w:r>
    </w:p>
    <w:p>
      <w:pPr>
        <w:spacing w:after="0" w:line="65"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 (public or private);</w:t>
      </w:r>
    </w:p>
    <w:p>
      <w:pPr>
        <w:spacing w:after="0" w:line="9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attacks, including, but not limited to, ransomware events;</w:t>
      </w:r>
    </w:p>
    <w:p>
      <w:pPr>
        <w:spacing w:after="0" w:line="9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increases or decreases in the amount of outstanding securities or indebtedness;</w:t>
      </w:r>
    </w:p>
    <w:p>
      <w:pPr>
        <w:spacing w:after="0" w:line="9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(whether positive or negative) in material pending litigation;</w:t>
      </w:r>
    </w:p>
    <w:p>
      <w:pPr>
        <w:spacing w:after="0" w:line="9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exposure because of actual or threatened litigation;</w:t>
      </w:r>
    </w:p>
    <w:p>
      <w:pPr>
        <w:spacing w:after="0" w:line="98" w:lineRule="exact"/>
        <w:rPr>
          <w:rFonts w:ascii="Times New Roman" w:cs="Times New Roman" w:eastAsia="Times New Roman" w:hAnsi="Times New Roman"/>
          <w:sz w:val="22"/>
          <w:szCs w:val="22"/>
          <w:color w:val="auto"/>
        </w:rPr>
      </w:pPr>
    </w:p>
    <w:p>
      <w:pPr>
        <w:ind w:left="2260" w:right="160" w:hanging="755"/>
        <w:spacing w:after="0" w:line="258" w:lineRule="auto"/>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auditors or a determination that the Company’s financial statement can no longer be relied upon;</w:t>
      </w:r>
    </w:p>
    <w:p>
      <w:pPr>
        <w:spacing w:after="0" w:line="5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w:t>
      </w:r>
    </w:p>
    <w:p>
      <w:pPr>
        <w:spacing w:after="0" w:line="98" w:lineRule="exact"/>
        <w:rPr>
          <w:rFonts w:ascii="Times New Roman" w:cs="Times New Roman" w:eastAsia="Times New Roman" w:hAnsi="Times New Roman"/>
          <w:sz w:val="22"/>
          <w:szCs w:val="22"/>
          <w:color w:val="auto"/>
        </w:rPr>
      </w:pPr>
    </w:p>
    <w:p>
      <w:pPr>
        <w:ind w:left="2260" w:right="1080" w:hanging="755"/>
        <w:spacing w:after="0" w:line="258" w:lineRule="auto"/>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compensation policy and the granting of options or payment of other compensation to Directors or Company officers;</w:t>
      </w:r>
    </w:p>
    <w:p>
      <w:pPr>
        <w:spacing w:after="0" w:line="50" w:lineRule="exact"/>
        <w:rPr>
          <w:rFonts w:ascii="Times New Roman" w:cs="Times New Roman" w:eastAsia="Times New Roman" w:hAnsi="Times New Roman"/>
          <w:sz w:val="22"/>
          <w:szCs w:val="22"/>
          <w:color w:val="auto"/>
        </w:rPr>
      </w:pPr>
    </w:p>
    <w:p>
      <w:pPr>
        <w:ind w:left="2260" w:right="340" w:hanging="755"/>
        <w:spacing w:after="0" w:line="258" w:lineRule="auto"/>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non-routine transactions with Directors, Company officers, or principal security holders; and</w:t>
      </w:r>
    </w:p>
    <w:p>
      <w:pPr>
        <w:spacing w:after="0" w:line="5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receiverships, or reorganizations.</w:t>
      </w:r>
    </w:p>
    <w:p>
      <w:pPr>
        <w:spacing w:after="0" w:line="206" w:lineRule="exact"/>
        <w:rPr>
          <w:sz w:val="20"/>
          <w:szCs w:val="20"/>
          <w:color w:val="auto"/>
        </w:rPr>
      </w:pPr>
    </w:p>
    <w:p>
      <w:pPr>
        <w:jc w:val="both"/>
        <w:ind w:left="1500" w:hanging="748"/>
        <w:spacing w:after="0" w:line="235" w:lineRule="auto"/>
        <w:tabs>
          <w:tab w:leader="none" w:pos="1480" w:val="left"/>
        </w:tabs>
        <w:rPr>
          <w:sz w:val="20"/>
          <w:szCs w:val="20"/>
          <w:color w:val="auto"/>
        </w:rPr>
      </w:pPr>
      <w:r>
        <w:rPr>
          <w:rFonts w:ascii="Times New Roman" w:cs="Times New Roman" w:eastAsia="Times New Roman" w:hAnsi="Times New Roman"/>
          <w:sz w:val="22"/>
          <w:szCs w:val="22"/>
          <w:color w:val="auto"/>
        </w:rPr>
        <w:t>7.2.2.</w:t>
        <w:tab/>
        <w:t>It can sometimes be difficult to know whether information would be considered “material.” The determination of whether information is material is almost always clearer after the fact, when the effect of that information on the market can be quantified. Although you may have information about the Company that you do not consider to be material, federal regulators and others may conclude (with the benefit of hindsight) that such information was material. Therefore, trading in the Company’s securities when you possess non-public information about the Company can be risky. When doubt exists, the information should be presumed to be material. If you are unsure whether information of which you are aware is material or non-public, you should consult with the Company’s CFO.</w:t>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REFERENCE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See also:</w:t>
      </w:r>
    </w:p>
    <w:p>
      <w:pPr>
        <w:spacing w:after="0" w:line="14" w:lineRule="exact"/>
        <w:rPr>
          <w:sz w:val="20"/>
          <w:szCs w:val="20"/>
          <w:color w:val="auto"/>
        </w:rPr>
      </w:pPr>
    </w:p>
    <w:p>
      <w:pPr>
        <w:ind w:left="1500" w:right="120"/>
        <w:spacing w:after="0" w:line="237" w:lineRule="auto"/>
        <w:rPr>
          <w:sz w:val="20"/>
          <w:szCs w:val="20"/>
          <w:color w:val="auto"/>
        </w:rPr>
      </w:pPr>
      <w:r>
        <w:rPr>
          <w:rFonts w:ascii="Times New Roman" w:cs="Times New Roman" w:eastAsia="Times New Roman" w:hAnsi="Times New Roman"/>
          <w:sz w:val="22"/>
          <w:szCs w:val="22"/>
          <w:color w:val="auto"/>
        </w:rPr>
        <w:t>INVESTOR-001A Pre-Clearance Form for Rule 10b5-1 Trading Plans – Restricted Employees, and Section 16 Officers other than Outside Directors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210" w:lineRule="exact"/>
        <w:rPr>
          <w:sz w:val="20"/>
          <w:szCs w:val="20"/>
          <w:color w:val="auto"/>
        </w:rPr>
      </w:pPr>
    </w:p>
    <w:p>
      <w:pPr>
        <w:jc w:val="both"/>
        <w:ind w:left="780" w:hanging="568"/>
        <w:spacing w:after="0" w:line="239" w:lineRule="auto"/>
        <w:tabs>
          <w:tab w:leader="none" w:pos="760" w:val="left"/>
        </w:tabs>
        <w:rPr>
          <w:sz w:val="20"/>
          <w:szCs w:val="20"/>
          <w:color w:val="auto"/>
        </w:rPr>
      </w:pPr>
      <w:r>
        <w:rPr>
          <w:rFonts w:ascii="Times New Roman" w:cs="Times New Roman" w:eastAsia="Times New Roman" w:hAnsi="Times New Roman"/>
          <w:sz w:val="22"/>
          <w:szCs w:val="22"/>
          <w:color w:val="auto"/>
        </w:rPr>
        <w:t>9.1.</w:t>
        <w:tab/>
        <w:t>Please sign, date, and return the attached Certification stating that you received the Company’s Policy on Inside Information and Insider Trading regarding insider trading and the preservation of the confidentiality of material non-public information and related procedures, and that you agree to comply with it. The Company will deem you to be bound by this Policy whether or not you sign the Certification.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 hereby certify as follows:</w:t>
      </w:r>
    </w:p>
    <w:p>
      <w:pPr>
        <w:spacing w:after="0" w:line="98" w:lineRule="exact"/>
        <w:rPr>
          <w:sz w:val="20"/>
          <w:szCs w:val="20"/>
          <w:color w:val="auto"/>
        </w:rPr>
      </w:pPr>
    </w:p>
    <w:p>
      <w:pPr>
        <w:ind w:left="2260" w:hanging="755"/>
        <w:spacing w:after="0" w:line="258" w:lineRule="auto"/>
        <w:tabs>
          <w:tab w:leader="none" w:pos="22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this Policy on Inside Information and Insider Trading, a copy of which was distributed with this Certificate;</w:t>
      </w:r>
    </w:p>
    <w:p>
      <w:pPr>
        <w:spacing w:after="0" w:line="5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complied with the policy;</w:t>
      </w:r>
    </w:p>
    <w:p>
      <w:pPr>
        <w:spacing w:after="0" w:line="9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continue to comply with the policy;</w:t>
      </w:r>
    </w:p>
    <w:p>
      <w:pPr>
        <w:spacing w:after="0" w:line="98" w:lineRule="exact"/>
        <w:rPr>
          <w:rFonts w:ascii="Times New Roman" w:cs="Times New Roman" w:eastAsia="Times New Roman" w:hAnsi="Times New Roman"/>
          <w:sz w:val="22"/>
          <w:szCs w:val="22"/>
          <w:color w:val="auto"/>
        </w:rPr>
      </w:pPr>
    </w:p>
    <w:p>
      <w:pPr>
        <w:jc w:val="both"/>
        <w:ind w:left="2260" w:right="20" w:hanging="755"/>
        <w:spacing w:after="0" w:line="244" w:lineRule="auto"/>
        <w:tabs>
          <w:tab w:leader="none" w:pos="22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either (i) make an Immediate Trade during an open window as described in Section 4.5 or (ii) request prior clearance of all Rule 10b5-1 Trading Plans and all proposed sales or acquisitions of securities of the Company, except for an Immediate Trade; and</w:t>
      </w:r>
    </w:p>
    <w:p>
      <w:pPr>
        <w:spacing w:after="0" w:line="65"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report all transactions in securities of the Company in writing to the Company’s CFO.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2540</wp:posOffset>
            </wp:positionV>
            <wp:extent cx="42005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2540</wp:posOffset>
            </wp:positionV>
            <wp:extent cx="42005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ind w:left="392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Department or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2540</wp:posOffset>
            </wp:positionV>
            <wp:extent cx="342011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2540</wp:posOffset>
            </wp:positionV>
            <wp:extent cx="342011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2540</wp:posOffset>
            </wp:positionV>
            <wp:extent cx="342011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NOTE: Certifications “d” and “e” above relate only to Directors, Section 16 Officers, and restricted employees. They do not relate to non-restricted employees.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7580" w:type="dxa"/>
            <w:vAlign w:val="bottom"/>
            <w:gridSpan w:val="4"/>
          </w:tcPr>
          <w:p>
            <w:pPr>
              <w:jc w:val="right"/>
              <w:ind w:right="50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0" w:type="dxa"/>
            <w:vAlign w:val="bottom"/>
          </w:tcPr>
          <w:p>
            <w:pPr>
              <w:spacing w:after="0"/>
              <w:rPr>
                <w:sz w:val="1"/>
                <w:szCs w:val="1"/>
                <w:color w:val="auto"/>
              </w:rPr>
            </w:pPr>
          </w:p>
        </w:tc>
      </w:tr>
      <w:tr>
        <w:trPr>
          <w:trHeight w:val="340"/>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State or Jurisdiction</w:t>
            </w:r>
          </w:p>
        </w:tc>
        <w:tc>
          <w:tcPr>
            <w:tcW w:w="0" w:type="dxa"/>
            <w:vAlign w:val="bottom"/>
          </w:tcPr>
          <w:p>
            <w:pPr>
              <w:spacing w:after="0"/>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of Organization</w:t>
            </w:r>
          </w:p>
        </w:tc>
        <w:tc>
          <w:tcPr>
            <w:tcW w:w="0" w:type="dxa"/>
            <w:vAlign w:val="bottom"/>
          </w:tcPr>
          <w:p>
            <w:pPr>
              <w:spacing w:after="0"/>
              <w:rPr>
                <w:sz w:val="1"/>
                <w:szCs w:val="1"/>
                <w:color w:val="auto"/>
              </w:rPr>
            </w:pPr>
          </w:p>
        </w:tc>
      </w:tr>
      <w:tr>
        <w:trPr>
          <w:trHeight w:val="210"/>
        </w:trPr>
        <w:tc>
          <w:tcPr>
            <w:tcW w:w="3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Smith &amp; Wesson Inc.</w:t>
            </w:r>
          </w:p>
        </w:tc>
        <w:tc>
          <w:tcPr>
            <w:tcW w:w="5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Smith &amp; Wesson Sales Company</w:t>
            </w:r>
          </w:p>
        </w:tc>
        <w:tc>
          <w:tcPr>
            <w:tcW w:w="5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9"/>
        </w:trPr>
        <w:tc>
          <w:tcPr>
            <w:tcW w:w="368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333-193001, 333-263991 and 333-267382) on Form S-8 of our reports dated June 17, 2026, with respect to the consolidated financial statements of Smith &amp; Wesson Brands, Inc. and the effectiveness of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333-193001, 333-263991, and 333-267382 on Form S-8 of our report dated June 20, 2024 (June 20, 2025, as to the retrospective application of ASU 2023-07, Segment Reporting (Topic 280): Improvements to Reportable Segment Disclosures, as presented in Note 16), relating to the consolidated financial statements of Smith &amp; Wesson Brands, Inc. appearing in this Annual Report on Form 10-K for the year ended April 30,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Smith &amp; Wesson Brands,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P. Smith</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Smith &amp; Wesson Brands,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Deana L. McPherson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Assistant Secretary</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Smith &amp; Wesson Brands, Inc. (the “Company”) for the year ended April 30, 2026, as filed with the Securities and Exchange Commission on the date hereof (the “Report”), I, Mark P. Smith, President and Chief Executive Officer of the Company, certify, to my best knowledge and belief, pursuant to 18 U.S.C. § 1350, as adopted pursuant to § 906 of the Sarbanes-Oxley Act of 2002, that:</w:t>
      </w:r>
    </w:p>
    <w:p>
      <w:pPr>
        <w:spacing w:after="0" w:line="68" w:lineRule="exact"/>
        <w:rPr>
          <w:sz w:val="20"/>
          <w:szCs w:val="20"/>
          <w:color w:val="auto"/>
        </w:rPr>
      </w:pPr>
    </w:p>
    <w:p>
      <w:pPr>
        <w:ind w:left="1020" w:right="42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P. Smith</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on Form 10-K of Smith &amp; Wesson Brands, Inc. (the “Company”) for the year ended April 30, 2026, as filed with the Securities and Exchange Commission on the date hereof (the “Report”), I, Deana L. McPherson, Executive Vice President, Chief Financial Officer, Treasurer, and Assistant Secretary of the Company, certify, to my best knowledge and belief, pursuant to 18 U.S.C. § 1350, as adopted pursuant to</w:t>
      </w:r>
    </w:p>
    <w:p>
      <w:pPr>
        <w:spacing w:after="0" w:line="1" w:lineRule="exact"/>
        <w:rPr>
          <w:sz w:val="20"/>
          <w:szCs w:val="20"/>
          <w:color w:val="auto"/>
        </w:rPr>
      </w:pPr>
    </w:p>
    <w:p>
      <w:pPr>
        <w:ind w:left="140" w:hanging="132"/>
        <w:spacing w:after="0"/>
        <w:tabs>
          <w:tab w:leader="none" w:pos="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98"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Deana L. McPherson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Assistant Secretary</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color w:val="auto"/>
        </w:rPr>
        <w:t>Exhibit 97.1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CLAWBACK POLICY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November 30, 2023)</w:t>
      </w:r>
    </w:p>
    <w:p>
      <w:pPr>
        <w:spacing w:after="0" w:line="164"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If Smith &amp; Wesson Brands, Inc. (together with its subsidiaries, the “Company”) is required to prepare an Accounting Restatement (as defined below), then the Company will recover reasonably promptly the amount of Erroneously Awarded Compensation (as defined below) Received by any current or former Executive Officer (as defined below) during the Recovery Period (as defined below).</w:t>
      </w:r>
    </w:p>
    <w:p>
      <w:pPr>
        <w:spacing w:after="0" w:line="104" w:lineRule="exact"/>
        <w:rPr>
          <w:sz w:val="20"/>
          <w:szCs w:val="20"/>
          <w:color w:val="auto"/>
        </w:rPr>
      </w:pPr>
    </w:p>
    <w:p>
      <w:pPr>
        <w:jc w:val="both"/>
        <w:ind w:right="280"/>
        <w:spacing w:after="0" w:line="241" w:lineRule="auto"/>
        <w:rPr>
          <w:sz w:val="20"/>
          <w:szCs w:val="20"/>
          <w:color w:val="auto"/>
        </w:rPr>
      </w:pPr>
      <w:r>
        <w:rPr>
          <w:rFonts w:ascii="Arial" w:cs="Arial" w:eastAsia="Arial" w:hAnsi="Arial"/>
          <w:sz w:val="20"/>
          <w:szCs w:val="20"/>
          <w:color w:val="auto"/>
        </w:rPr>
        <w:t>The Company will not be required to enforce this policy if the Compensation Committee determines that (i) recovery would be impracticable as determined by the Company’s Compensation Committee and (ii) one of the conditions of (A), (B), or (C) are satisfied:</w:t>
      </w:r>
    </w:p>
    <w:p>
      <w:pPr>
        <w:spacing w:after="0" w:line="63" w:lineRule="exact"/>
        <w:rPr>
          <w:sz w:val="20"/>
          <w:szCs w:val="20"/>
          <w:color w:val="auto"/>
        </w:rPr>
      </w:pPr>
    </w:p>
    <w:p>
      <w:pPr>
        <w:ind w:left="1020" w:right="200" w:hanging="503"/>
        <w:spacing w:after="0" w:line="237" w:lineRule="auto"/>
        <w:tabs>
          <w:tab w:leader="none" w:pos="10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direct expense paid to a third party to assist in enforcing this policy would exceed the amount to be recovered; provided, before concluding that it would be impracticable to recover any amount of Erroneously Awarded Compensation based expense of enforcement, document such reasonable attempt(s) to recover, and provide that documentation to Nasdaq).</w:t>
      </w:r>
    </w:p>
    <w:p>
      <w:pPr>
        <w:spacing w:after="0" w:line="63" w:lineRule="exact"/>
        <w:rPr>
          <w:rFonts w:ascii="Arial" w:cs="Arial" w:eastAsia="Arial" w:hAnsi="Arial"/>
          <w:sz w:val="20"/>
          <w:szCs w:val="20"/>
          <w:color w:val="auto"/>
        </w:rPr>
      </w:pPr>
    </w:p>
    <w:p>
      <w:pPr>
        <w:ind w:left="1020" w:right="40" w:hanging="503"/>
        <w:spacing w:after="0" w:line="237" w:lineRule="auto"/>
        <w:tabs>
          <w:tab w:leader="none" w:pos="10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Recovery would violate home country law where that law was adopted prior to November 28, 2022; provided,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w:t>
      </w:r>
    </w:p>
    <w:p>
      <w:pPr>
        <w:spacing w:after="0" w:line="63" w:lineRule="exact"/>
        <w:rPr>
          <w:rFonts w:ascii="Arial" w:cs="Arial" w:eastAsia="Arial" w:hAnsi="Arial"/>
          <w:sz w:val="20"/>
          <w:szCs w:val="20"/>
          <w:color w:val="auto"/>
        </w:rPr>
      </w:pPr>
    </w:p>
    <w:p>
      <w:pPr>
        <w:ind w:left="1020" w:right="20" w:hanging="503"/>
        <w:spacing w:after="0" w:line="257" w:lineRule="auto"/>
        <w:tabs>
          <w:tab w:leader="none" w:pos="10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Recovery would likely cause an otherwise tax-qualified retirement plan, under which benefits are broadly available to the Company’s employees, to fail to meet the requirements of the Internal Revenue Code.</w:t>
      </w:r>
    </w:p>
    <w:p>
      <w:pPr>
        <w:spacing w:after="0" w:line="74"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The Company is prohibited from indemnifying any current or former Executive Officer against the loss of any Erroneously Awarded Compensation or paying or reimbursing such Executive Officers for insurance premiums to recover losses incurred under this policy.</w:t>
      </w:r>
    </w:p>
    <w:p>
      <w:pPr>
        <w:spacing w:after="0" w:line="104"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This policy is intended to comply with Nasdaq Listing Rule 5608, as required by Section 10D of the Securities Exchange Act of 1934, as amended (Exchange Act) and Rule 10D-1 promulgated thereunder. The Compensation Committee shall have express discretionary authority to interpret and administer this policy and to make all determinations with respect to this policy in its sole discretion which shall be final and binding on all parties.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policy:</w:t>
      </w:r>
    </w:p>
    <w:p>
      <w:pPr>
        <w:spacing w:after="0" w:line="94" w:lineRule="exact"/>
        <w:rPr>
          <w:sz w:val="20"/>
          <w:szCs w:val="20"/>
          <w:color w:val="auto"/>
        </w:rPr>
      </w:pPr>
    </w:p>
    <w:p>
      <w:pPr>
        <w:ind w:left="1020" w:hanging="503"/>
        <w:spacing w:after="0" w:line="234" w:lineRule="auto"/>
        <w:tabs>
          <w:tab w:leader="none" w:pos="1020" w:val="left"/>
        </w:tabs>
        <w:numPr>
          <w:ilvl w:val="0"/>
          <w:numId w:val="104"/>
        </w:numPr>
        <w:rPr>
          <w:rFonts w:ascii="Times New Roman" w:cs="Times New Roman" w:eastAsia="Times New Roman" w:hAnsi="Times New Roman"/>
          <w:sz w:val="20"/>
          <w:szCs w:val="20"/>
          <w:color w:val="auto"/>
        </w:rPr>
      </w:pPr>
      <w:r>
        <w:rPr>
          <w:rFonts w:ascii="Arial" w:cs="Arial" w:eastAsia="Arial" w:hAnsi="Arial"/>
          <w:sz w:val="20"/>
          <w:szCs w:val="20"/>
          <w:color w:val="auto"/>
        </w:rPr>
        <w:t>“Accounting Restatement” means an accounting restatement triggered by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2" w:name="page163"/>
    <w:bookmarkEnd w:id="162"/>
    <w:p>
      <w:pPr>
        <w:spacing w:after="0" w:line="83" w:lineRule="exact"/>
        <w:rPr>
          <w:sz w:val="20"/>
          <w:szCs w:val="20"/>
          <w:color w:val="auto"/>
        </w:rPr>
      </w:pPr>
    </w:p>
    <w:p>
      <w:pPr>
        <w:ind w:left="503" w:right="40" w:hanging="503"/>
        <w:spacing w:after="0" w:line="241" w:lineRule="auto"/>
        <w:tabs>
          <w:tab w:leader="none" w:pos="503"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20"/>
          <w:szCs w:val="20"/>
          <w:color w:val="auto"/>
        </w:rPr>
        <w:t>“Executive Officer” has the meaning of the term “officer” as set forth in Exchange Act Rule 16a- 1. Identification of an Executive Officer for purposes of this policy and Nasdaq Listing Rule 5608 would include at a minimum executive officers identified pursuant to 17 CFR 229.401(b).</w:t>
      </w:r>
    </w:p>
    <w:p>
      <w:pPr>
        <w:spacing w:after="0" w:line="62" w:lineRule="exact"/>
        <w:rPr>
          <w:rFonts w:ascii="Times New Roman" w:cs="Times New Roman" w:eastAsia="Times New Roman" w:hAnsi="Times New Roman"/>
          <w:sz w:val="20"/>
          <w:szCs w:val="20"/>
          <w:color w:val="auto"/>
        </w:rPr>
      </w:pPr>
    </w:p>
    <w:p>
      <w:pPr>
        <w:ind w:left="503" w:right="200" w:hanging="503"/>
        <w:spacing w:after="0" w:line="236" w:lineRule="auto"/>
        <w:tabs>
          <w:tab w:leader="none" w:pos="503"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20"/>
          <w:szCs w:val="20"/>
          <w:color w:val="auto"/>
        </w:rPr>
        <w:t>“Erroneously Awarded Compensation” means the amount of Incentive-Based Compensation Received by an Executive Officer that exceeds the amount of Incentive-Based Compensation that otherwise would have been Received had it been determined based on the restated amounts, which amount must be computed without regard to any taxes paid.</w:t>
      </w:r>
    </w:p>
    <w:p>
      <w:pPr>
        <w:spacing w:after="0" w:line="66"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Reporting Measure”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spacing w:after="0" w:line="66" w:lineRule="exact"/>
        <w:rPr>
          <w:rFonts w:ascii="Times New Roman" w:cs="Times New Roman" w:eastAsia="Times New Roman" w:hAnsi="Times New Roman"/>
          <w:sz w:val="20"/>
          <w:szCs w:val="20"/>
          <w:color w:val="auto"/>
        </w:rPr>
      </w:pPr>
    </w:p>
    <w:p>
      <w:pPr>
        <w:ind w:left="503" w:right="80" w:hanging="503"/>
        <w:spacing w:after="0" w:line="256" w:lineRule="auto"/>
        <w:tabs>
          <w:tab w:leader="none" w:pos="503"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20"/>
          <w:szCs w:val="20"/>
          <w:color w:val="auto"/>
        </w:rPr>
        <w:t>“Incentive-Based Compensation” means any compensation that is granted, earned or vested based wholly or in part upon the attainment of any Financial Reporting Measure.</w:t>
      </w:r>
    </w:p>
    <w:p>
      <w:pPr>
        <w:spacing w:after="0" w:line="48" w:lineRule="exact"/>
        <w:rPr>
          <w:rFonts w:ascii="Times New Roman" w:cs="Times New Roman" w:eastAsia="Times New Roman" w:hAnsi="Times New Roman"/>
          <w:sz w:val="20"/>
          <w:szCs w:val="20"/>
          <w:color w:val="auto"/>
        </w:rPr>
      </w:pPr>
    </w:p>
    <w:p>
      <w:pPr>
        <w:ind w:left="503" w:hanging="503"/>
        <w:spacing w:after="0" w:line="241" w:lineRule="auto"/>
        <w:tabs>
          <w:tab w:leader="none" w:pos="503"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20"/>
          <w:szCs w:val="20"/>
          <w:color w:val="auto"/>
        </w:rPr>
        <w:t>“Received” with respect to Incentive-Based Compensation means the fiscal period during which the Financial Reporting Measure specified in the Incentive-Based Compensation award is attained, even if the payment or grant of the Incentive-Based Compensation occurs after the end of that period.</w:t>
      </w:r>
    </w:p>
    <w:p>
      <w:pPr>
        <w:spacing w:after="0" w:line="62" w:lineRule="exact"/>
        <w:rPr>
          <w:rFonts w:ascii="Times New Roman" w:cs="Times New Roman" w:eastAsia="Times New Roman" w:hAnsi="Times New Roman"/>
          <w:sz w:val="20"/>
          <w:szCs w:val="20"/>
          <w:color w:val="auto"/>
        </w:rPr>
      </w:pPr>
    </w:p>
    <w:p>
      <w:pPr>
        <w:ind w:left="503" w:right="20" w:hanging="503"/>
        <w:spacing w:after="0" w:line="230" w:lineRule="auto"/>
        <w:tabs>
          <w:tab w:leader="none" w:pos="503"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20"/>
          <w:szCs w:val="20"/>
          <w:color w:val="auto"/>
        </w:rPr>
        <w:t>“Recovery Period” means the three completed fiscal years immediately preceding the date that the Company is required to prepare an Accounting Restatement, which date is the earlier to occur of (a) the date the Board of Directors, a Board committee, or the officer or officer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these last three completed fiscal years, the Recovery Period also applies to any transition period (that results from a change in the Company’s fiscal year) within or immediately following those three completed fiscal years. However, a transition period between the last day of the Company’s previous fiscal year end and the first day of its new fiscal year that comprises a period of nine to 12 months would be deemed a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864235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63" w:name="page164"/>
    <w:bookmarkEnd w:id="1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lowerLetter"/>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1)"/>
      <w:numFmt w:val="lowerLetter"/>
      <w:start w:val="2"/>
    </w:lvl>
  </w:abstractNum>
  <w:abstractNum w:abstractNumId="20">
    <w:nsid w:val="77AE35EB"/>
    <w:multiLevelType w:val="hybridMultilevel"/>
    <w:lvl w:ilvl="0">
      <w:lvlJc w:val="left"/>
      <w:lvlText w:val="*"/>
      <w:numFmt w:val="bullet"/>
      <w:start w:val="1"/>
    </w:lvl>
    <w:lvl w:ilvl="1">
      <w:lvlJc w:val="left"/>
      <w:lvlText w:val="%2"/>
      <w:numFmt w:val="decimal"/>
      <w:start w:val="104"/>
    </w:lvl>
  </w:abstractNum>
  <w:abstractNum w:abstractNumId="21">
    <w:nsid w:val="579BE4F1"/>
    <w:multiLevelType w:val="hybridMultilevel"/>
    <w:lvl w:ilvl="0">
      <w:lvlJc w:val="left"/>
      <w:lvlText w:val="**"/>
      <w:numFmt w:val="bullet"/>
      <w:start w:val="1"/>
    </w:lvl>
    <w:lvl w:ilvl="1">
      <w:lvlJc w:val="left"/>
      <w:lvlText w:val="%2"/>
      <w:numFmt w:val="decimal"/>
      <w:start w:val="1"/>
    </w:lvl>
  </w:abstractNum>
  <w:abstractNum w:abstractNumId="22">
    <w:nsid w:val="310C50B3"/>
    <w:multiLevelType w:val="hybridMultilevel"/>
    <w:lvl w:ilvl="0">
      <w:lvlJc w:val="left"/>
      <w:lvlText w:val="***"/>
      <w:numFmt w:val="bullet"/>
      <w:start w:val="1"/>
    </w:lvl>
    <w:lvl w:ilvl="1">
      <w:lvlJc w:val="left"/>
      <w:lvlText w:val="%2"/>
      <w:numFmt w:val="decimal"/>
      <w:start w:val="1"/>
    </w:lvl>
  </w:abstractNum>
  <w:abstractNum w:abstractNumId="23">
    <w:nsid w:val="5FF87E05"/>
    <w:multiLevelType w:val="hybridMultilevel"/>
    <w:lvl w:ilvl="0">
      <w:lvlJc w:val="left"/>
      <w:lvlText w:val="(%1)"/>
      <w:numFmt w:val="decimal"/>
      <w:start w:val="1"/>
    </w:lvl>
  </w:abstractNum>
  <w:abstractNum w:abstractNumId="24">
    <w:nsid w:val="2F305DEF"/>
    <w:multiLevelType w:val="hybridMultilevel"/>
    <w:lvl w:ilvl="0">
      <w:lvlJc w:val="left"/>
      <w:lvlText w:val="(%1)"/>
      <w:numFmt w:val="decimal"/>
      <w:start w:val="14"/>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decimal"/>
      <w:start w:val="11"/>
    </w:lvl>
  </w:abstractNum>
  <w:abstractNum w:abstractNumId="28">
    <w:nsid w:val="1F48EAA1"/>
    <w:multiLevelType w:val="hybridMultilevel"/>
    <w:lvl w:ilvl="0">
      <w:lvlJc w:val="left"/>
      <w:lvlText w:val="(%1)"/>
      <w:numFmt w:val="lowerLetter"/>
      <w:start w:val="1"/>
    </w:lvl>
  </w:abstractNum>
  <w:abstractNum w:abstractNumId="29">
    <w:nsid w:val="1381823A"/>
    <w:multiLevelType w:val="hybridMultilevel"/>
    <w:lvl w:ilvl="0">
      <w:lvlJc w:val="left"/>
      <w:lvlText w:val="(%1)"/>
      <w:numFmt w:val="lowerLetter"/>
      <w:start w:val="1"/>
    </w:lvl>
  </w:abstractNum>
  <w:abstractNum w:abstractNumId="30">
    <w:nsid w:val="5DB70AE5"/>
    <w:multiLevelType w:val="hybridMultilevel"/>
    <w:lvl w:ilvl="0">
      <w:lvlJc w:val="left"/>
      <w:lvlText w:val="(%1)"/>
      <w:numFmt w:val="lowerLetter"/>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1)"/>
      <w:numFmt w:val="lowerLetter"/>
      <w:start w:val="1"/>
    </w:lvl>
  </w:abstractNum>
  <w:abstractNum w:abstractNumId="33">
    <w:nsid w:val="15014ACB"/>
    <w:multiLevelType w:val="hybridMultilevel"/>
    <w:lvl w:ilvl="0">
      <w:lvlJc w:val="left"/>
      <w:lvlText w:val="(%1)"/>
      <w:numFmt w:val="lowerLetter"/>
      <w:start w:val="1"/>
    </w:lvl>
  </w:abstractNum>
  <w:abstractNum w:abstractNumId="34">
    <w:nsid w:val="5F5E7FD0"/>
    <w:multiLevelType w:val="hybridMultilevel"/>
    <w:lvl w:ilvl="0">
      <w:lvlJc w:val="left"/>
      <w:lvlText w:val="%1."/>
      <w:numFmt w:val="decimal"/>
      <w:start w:val="1"/>
    </w:lvl>
  </w:abstractNum>
  <w:abstractNum w:abstractNumId="35">
    <w:nsid w:val="98A3148"/>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36">
    <w:nsid w:val="799D0247"/>
    <w:multiLevelType w:val="hybridMultilevel"/>
    <w:lvl w:ilvl="0">
      <w:lvlJc w:val="left"/>
      <w:lvlText w:val="%1"/>
      <w:numFmt w:val="decimal"/>
      <w:start w:val="24"/>
    </w:lvl>
    <w:lvl w:ilvl="1">
      <w:lvlJc w:val="left"/>
      <w:lvlText w:val="%2"/>
      <w:numFmt w:val="decimal"/>
      <w:start w:val="1"/>
    </w:lvl>
    <w:lvl w:ilvl="2">
      <w:lvlJc w:val="left"/>
      <w:lvlText w:val="%3"/>
      <w:numFmt w:val="lowerRoman"/>
      <w:start w:val="1"/>
    </w:lvl>
  </w:abstractNum>
  <w:abstractNum w:abstractNumId="37">
    <w:nsid w:val="6B94764"/>
    <w:multiLevelType w:val="hybridMultilevel"/>
    <w:lvl w:ilvl="0">
      <w:lvlJc w:val="left"/>
      <w:lvlText w:val="%1"/>
      <w:numFmt w:val="decimal"/>
      <w:start w:val="1"/>
    </w:lvl>
    <w:lvl w:ilvl="1">
      <w:lvlJc w:val="left"/>
      <w:lvlText w:val="(%2)"/>
      <w:numFmt w:val="decimal"/>
      <w:start w:val="6"/>
    </w:lvl>
  </w:abstractNum>
  <w:abstractNum w:abstractNumId="38">
    <w:nsid w:val="42C296BD"/>
    <w:multiLevelType w:val="hybridMultilevel"/>
    <w:lvl w:ilvl="0">
      <w:lvlJc w:val="left"/>
      <w:lvlText w:val="%1."/>
      <w:numFmt w:val="decimal"/>
      <w:start w:val="3"/>
    </w:lvl>
    <w:lvl w:ilvl="1">
      <w:lvlJc w:val="left"/>
      <w:lvlText w:val="%2"/>
      <w:numFmt w:val="decimal"/>
      <w:start w:val="1"/>
    </w:lvl>
  </w:abstractNum>
  <w:abstractNum w:abstractNumId="39">
    <w:nsid w:val="168E121F"/>
    <w:multiLevelType w:val="hybridMultilevel"/>
    <w:lvl w:ilvl="0">
      <w:lvlJc w:val="left"/>
      <w:lvlText w:val="%1."/>
      <w:numFmt w:val="decimal"/>
      <w:start w:val="4"/>
    </w:lvl>
  </w:abstractNum>
  <w:abstractNum w:abstractNumId="40">
    <w:nsid w:val="1EBA5D23"/>
    <w:multiLevelType w:val="hybridMultilevel"/>
    <w:lvl w:ilvl="0">
      <w:lvlJc w:val="left"/>
      <w:lvlText w:val="(%1)"/>
      <w:numFmt w:val="lowerLetter"/>
      <w:start w:val="1"/>
    </w:lvl>
  </w:abstractNum>
  <w:abstractNum w:abstractNumId="41">
    <w:nsid w:val="661E3F1E"/>
    <w:multiLevelType w:val="hybridMultilevel"/>
    <w:lvl w:ilvl="0">
      <w:lvlJc w:val="left"/>
      <w:lvlText w:val="%1."/>
      <w:numFmt w:val="decimal"/>
      <w:start w:val="5"/>
    </w:lvl>
  </w:abstractNum>
  <w:abstractNum w:abstractNumId="42">
    <w:nsid w:val="5DC79EA8"/>
    <w:multiLevelType w:val="hybridMultilevel"/>
    <w:lvl w:ilvl="0">
      <w:lvlJc w:val="left"/>
      <w:lvlText w:val="(%1)"/>
      <w:numFmt w:val="lowerLetter"/>
      <w:start w:val="1"/>
    </w:lvl>
  </w:abstractNum>
  <w:abstractNum w:abstractNumId="43">
    <w:nsid w:val="540A471C"/>
    <w:multiLevelType w:val="hybridMultilevel"/>
    <w:lvl w:ilvl="0">
      <w:lvlJc w:val="left"/>
      <w:lvlText w:val="%1."/>
      <w:numFmt w:val="decimal"/>
      <w:start w:val="6"/>
    </w:lvl>
  </w:abstractNum>
  <w:abstractNum w:abstractNumId="44">
    <w:nsid w:val="7BD3EE7B"/>
    <w:multiLevelType w:val="hybridMultilevel"/>
    <w:lvl w:ilvl="0">
      <w:lvlJc w:val="left"/>
      <w:lvlText w:val="%1."/>
      <w:numFmt w:val="decimal"/>
      <w:start w:val="7"/>
    </w:lvl>
  </w:abstractNum>
  <w:abstractNum w:abstractNumId="45">
    <w:nsid w:val="51D9C564"/>
    <w:multiLevelType w:val="hybridMultilevel"/>
    <w:lvl w:ilvl="0">
      <w:lvlJc w:val="left"/>
      <w:lvlText w:val="%1."/>
      <w:numFmt w:val="decimal"/>
      <w:start w:val="8"/>
    </w:lvl>
  </w:abstractNum>
  <w:abstractNum w:abstractNumId="46">
    <w:nsid w:val="613EFDC5"/>
    <w:multiLevelType w:val="hybridMultilevel"/>
    <w:lvl w:ilvl="0">
      <w:lvlJc w:val="left"/>
      <w:lvlText w:val="%1."/>
      <w:numFmt w:val="decimal"/>
      <w:start w:val="9"/>
    </w:lvl>
  </w:abstractNum>
  <w:abstractNum w:abstractNumId="47">
    <w:nsid w:val="BF72B14"/>
    <w:multiLevelType w:val="hybridMultilevel"/>
    <w:lvl w:ilvl="0">
      <w:lvlJc w:val="left"/>
      <w:lvlText w:val="%1."/>
      <w:numFmt w:val="decimal"/>
      <w:start w:val="10"/>
    </w:lvl>
  </w:abstractNum>
  <w:abstractNum w:abstractNumId="48">
    <w:nsid w:val="11447B73"/>
    <w:multiLevelType w:val="hybridMultilevel"/>
    <w:lvl w:ilvl="0">
      <w:lvlJc w:val="left"/>
      <w:lvlText w:val="%1."/>
      <w:numFmt w:val="decimal"/>
      <w:start w:val="11"/>
    </w:lvl>
  </w:abstractNum>
  <w:abstractNum w:abstractNumId="49">
    <w:nsid w:val="42963E5A"/>
    <w:multiLevelType w:val="hybridMultilevel"/>
    <w:lvl w:ilvl="0">
      <w:lvlJc w:val="left"/>
      <w:lvlText w:val="%1."/>
      <w:numFmt w:val="decimal"/>
      <w:start w:val="12"/>
    </w:lvl>
  </w:abstractNum>
  <w:abstractNum w:abstractNumId="50">
    <w:nsid w:val="A0382C5"/>
    <w:multiLevelType w:val="hybridMultilevel"/>
    <w:lvl w:ilvl="0">
      <w:lvlJc w:val="left"/>
      <w:lvlText w:val="%1."/>
      <w:numFmt w:val="decimal"/>
      <w:start w:val="13"/>
    </w:lvl>
  </w:abstractNum>
  <w:abstractNum w:abstractNumId="51">
    <w:nsid w:val="8F2B15E"/>
    <w:multiLevelType w:val="hybridMultilevel"/>
    <w:lvl w:ilvl="0">
      <w:lvlJc w:val="left"/>
      <w:lvlText w:val="%1."/>
      <w:numFmt w:val="decimal"/>
      <w:start w:val="14"/>
    </w:lvl>
  </w:abstractNum>
  <w:abstractNum w:abstractNumId="52">
    <w:nsid w:val="1A32234B"/>
    <w:multiLevelType w:val="hybridMultilevel"/>
    <w:lvl w:ilvl="0">
      <w:lvlJc w:val="left"/>
      <w:lvlText w:val="%1."/>
      <w:numFmt w:val="decimal"/>
      <w:start w:val="15"/>
    </w:lvl>
  </w:abstractNum>
  <w:abstractNum w:abstractNumId="53">
    <w:nsid w:val="3B0FD379"/>
    <w:multiLevelType w:val="hybridMultilevel"/>
    <w:lvl w:ilvl="0">
      <w:lvlJc w:val="left"/>
      <w:lvlText w:val="%1."/>
      <w:numFmt w:val="decimal"/>
      <w:start w:val="16"/>
    </w:lvl>
  </w:abstractNum>
  <w:abstractNum w:abstractNumId="54">
    <w:nsid w:val="68EB2F63"/>
    <w:multiLevelType w:val="hybridMultilevel"/>
    <w:lvl w:ilvl="0">
      <w:lvlJc w:val="left"/>
      <w:lvlText w:val="%1."/>
      <w:numFmt w:val="decimal"/>
      <w:start w:val="17"/>
    </w:lvl>
  </w:abstractNum>
  <w:abstractNum w:abstractNumId="55">
    <w:nsid w:val="4962813B"/>
    <w:multiLevelType w:val="hybridMultilevel"/>
    <w:lvl w:ilvl="0">
      <w:lvlJc w:val="left"/>
      <w:lvlText w:val="%1."/>
      <w:numFmt w:val="decimal"/>
      <w:start w:val="18"/>
    </w:lvl>
  </w:abstractNum>
  <w:abstractNum w:abstractNumId="56">
    <w:nsid w:val="60B6DF70"/>
    <w:multiLevelType w:val="hybridMultilevel"/>
    <w:lvl w:ilvl="0">
      <w:lvlJc w:val="left"/>
      <w:lvlText w:val="%1."/>
      <w:numFmt w:val="decimal"/>
      <w:start w:val="19"/>
    </w:lvl>
  </w:abstractNum>
  <w:abstractNum w:abstractNumId="57">
    <w:nsid w:val="6A5EE64"/>
    <w:multiLevelType w:val="hybridMultilevel"/>
    <w:lvl w:ilvl="0">
      <w:lvlJc w:val="left"/>
      <w:lvlText w:val="%1."/>
      <w:numFmt w:val="decimal"/>
      <w:start w:val="20"/>
    </w:lvl>
  </w:abstractNum>
  <w:abstractNum w:abstractNumId="58">
    <w:nsid w:val="14330624"/>
    <w:multiLevelType w:val="hybridMultilevel"/>
    <w:lvl w:ilvl="0">
      <w:lvlJc w:val="left"/>
      <w:lvlText w:val="%1."/>
      <w:numFmt w:val="decimal"/>
      <w:start w:val="1"/>
    </w:lvl>
  </w:abstractNum>
  <w:abstractNum w:abstractNumId="59">
    <w:nsid w:val="7FFFCA11"/>
    <w:multiLevelType w:val="hybridMultilevel"/>
    <w:lvl w:ilvl="0">
      <w:lvlJc w:val="left"/>
      <w:lvlText w:val="%1."/>
      <w:numFmt w:val="decimal"/>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1."/>
      <w:numFmt w:val="decimal"/>
      <w:start w:val="4"/>
    </w:lvl>
  </w:abstractNum>
  <w:abstractNum w:abstractNumId="62">
    <w:nsid w:val="100F59DC"/>
    <w:multiLevelType w:val="hybridMultilevel"/>
    <w:lvl w:ilvl="0">
      <w:lvlJc w:val="left"/>
      <w:lvlText w:val="(%1)"/>
      <w:numFmt w:val="lowerRoman"/>
      <w:start w:val="1"/>
    </w:lvl>
  </w:abstractNum>
  <w:abstractNum w:abstractNumId="63">
    <w:nsid w:val="7FB7E0AA"/>
    <w:multiLevelType w:val="hybridMultilevel"/>
    <w:lvl w:ilvl="0">
      <w:lvlJc w:val="left"/>
      <w:lvlText w:val="%1."/>
      <w:numFmt w:val="decimal"/>
      <w:start w:val="1"/>
    </w:lvl>
  </w:abstractNum>
  <w:abstractNum w:abstractNumId="64">
    <w:nsid w:val="6EB5BD4"/>
    <w:multiLevelType w:val="hybridMultilevel"/>
    <w:lvl w:ilvl="0">
      <w:lvlJc w:val="left"/>
      <w:lvlText w:val="%1."/>
      <w:numFmt w:val="decimal"/>
      <w:start w:val="2"/>
    </w:lvl>
  </w:abstractNum>
  <w:abstractNum w:abstractNumId="65">
    <w:nsid w:val="6F6DD9AC"/>
    <w:multiLevelType w:val="hybridMultilevel"/>
    <w:lvl w:ilvl="0">
      <w:lvlJc w:val="left"/>
      <w:lvlText w:val="%1."/>
      <w:numFmt w:val="decimal"/>
      <w:start w:val="3"/>
    </w:lvl>
    <w:lvl w:ilvl="1">
      <w:lvlJc w:val="left"/>
      <w:lvlText w:val="(%2)"/>
      <w:numFmt w:val="lowerLetter"/>
      <w:start w:val="1"/>
    </w:lvl>
  </w:abstractNum>
  <w:abstractNum w:abstractNumId="66">
    <w:nsid w:val="94211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885E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
    <w:nsid w:val="76272110"/>
    <w:multiLevelType w:val="hybridMultilevel"/>
    <w:lvl w:ilvl="0">
      <w:lvlJc w:val="left"/>
      <w:lvlText w:val="%1"/>
      <w:numFmt w:val="lowerLetter"/>
      <w:start w:val="1"/>
    </w:lvl>
    <w:lvl w:ilvl="1">
      <w:lvlJc w:val="left"/>
      <w:lvlText w:val="(%2)"/>
      <w:numFmt w:val="lowerRoman"/>
      <w:start w:val="3"/>
    </w:lvl>
  </w:abstractNum>
  <w:abstractNum w:abstractNumId="69">
    <w:nsid w:val="4C04A8AF"/>
    <w:multiLevelType w:val="hybridMultilevel"/>
    <w:lvl w:ilvl="0">
      <w:lvlJc w:val="left"/>
      <w:lvlText w:val="(%1)"/>
      <w:numFmt w:val="lowerLetter"/>
      <w:start w:val="3"/>
    </w:lvl>
    <w:lvl w:ilvl="1">
      <w:lvlJc w:val="left"/>
      <w:lvlText w:val="(%2)"/>
      <w:numFmt w:val="lowerRoman"/>
      <w:start w:val="1"/>
    </w:lvl>
  </w:abstractNum>
  <w:abstractNum w:abstractNumId="70">
    <w:nsid w:val="1716703B"/>
    <w:multiLevelType w:val="hybridMultilevel"/>
    <w:lvl w:ilvl="0">
      <w:lvlJc w:val="left"/>
      <w:lvlText w:val="(%1)"/>
      <w:numFmt w:val="lowerRoman"/>
      <w:start w:val="4"/>
    </w:lvl>
  </w:abstractNum>
  <w:abstractNum w:abstractNumId="71">
    <w:nsid w:val="14E17E33"/>
    <w:multiLevelType w:val="hybridMultilevel"/>
    <w:lvl w:ilvl="0">
      <w:lvlJc w:val="left"/>
      <w:lvlText w:val="%1"/>
      <w:numFmt w:val="lowerLetter"/>
      <w:start w:val="1"/>
    </w:lvl>
    <w:lvl w:ilvl="1">
      <w:lvlJc w:val="left"/>
      <w:lvlText w:val="(%2)"/>
      <w:numFmt w:val="lowerLetter"/>
      <w:start w:val="4"/>
    </w:lvl>
  </w:abstractNum>
  <w:abstractNum w:abstractNumId="72">
    <w:nsid w:val="3222E7CD"/>
    <w:multiLevelType w:val="hybridMultilevel"/>
    <w:lvl w:ilvl="0">
      <w:lvlJc w:val="left"/>
      <w:lvlText w:val="(%1)"/>
      <w:numFmt w:val="lowerLetter"/>
      <w:start w:val="61"/>
    </w:lvl>
    <w:lvl w:ilvl="1">
      <w:lvlJc w:val="left"/>
      <w:lvlText w:val="%2"/>
      <w:numFmt w:val="lowerLetter"/>
      <w:start w:val="1"/>
    </w:lvl>
  </w:abstractNum>
  <w:abstractNum w:abstractNumId="73">
    <w:nsid w:val="74DE0EE3"/>
    <w:multiLevelType w:val="hybridMultilevel"/>
    <w:lvl w:ilvl="0">
      <w:lvlJc w:val="left"/>
      <w:lvlText w:val="%1."/>
      <w:numFmt w:val="decimal"/>
      <w:start w:val="5"/>
    </w:lvl>
    <w:lvl w:ilvl="1">
      <w:lvlJc w:val="left"/>
      <w:lvlText w:val="(%2)"/>
      <w:numFmt w:val="lowerLetter"/>
      <w:start w:val="1"/>
    </w:lvl>
  </w:abstractNum>
  <w:abstractNum w:abstractNumId="74">
    <w:nsid w:val="68EBC550"/>
    <w:multiLevelType w:val="hybridMultilevel"/>
    <w:lvl w:ilvl="0">
      <w:lvlJc w:val="left"/>
      <w:lvlText w:val="%1"/>
      <w:numFmt w:val="decimal"/>
      <w:start w:val="1"/>
    </w:lvl>
    <w:lvl w:ilvl="1">
      <w:lvlJc w:val="left"/>
      <w:lvlText w:val="(%2)"/>
      <w:numFmt w:val="lowerLetter"/>
      <w:start w:val="5"/>
    </w:lvl>
  </w:abstractNum>
  <w:abstractNum w:abstractNumId="75">
    <w:nsid w:val="2DF6D648"/>
    <w:multiLevelType w:val="hybridMultilevel"/>
    <w:lvl w:ilvl="0">
      <w:lvlJc w:val="left"/>
      <w:lvlText w:val="%1."/>
      <w:numFmt w:val="decimal"/>
      <w:start w:val="6"/>
    </w:lvl>
    <w:lvl w:ilvl="1">
      <w:lvlJc w:val="left"/>
      <w:lvlText w:val="(%2)"/>
      <w:numFmt w:val="lowerLetter"/>
      <w:start w:val="1"/>
    </w:lvl>
  </w:abstractNum>
  <w:abstractNum w:abstractNumId="76">
    <w:nsid w:val="46B7D447"/>
    <w:multiLevelType w:val="hybridMultilevel"/>
    <w:lvl w:ilvl="0">
      <w:lvlJc w:val="left"/>
      <w:lvlText w:val="(%1)"/>
      <w:numFmt w:val="lowerLetter"/>
      <w:start w:val="2"/>
    </w:lvl>
  </w:abstractNum>
  <w:abstractNum w:abstractNumId="77">
    <w:nsid w:val="4A2AC315"/>
    <w:multiLevelType w:val="hybridMultilevel"/>
    <w:lvl w:ilvl="0">
      <w:lvlJc w:val="left"/>
      <w:lvlText w:val="%1."/>
      <w:numFmt w:val="decimal"/>
      <w:start w:val="7"/>
    </w:lvl>
  </w:abstractNum>
  <w:abstractNum w:abstractNumId="78">
    <w:nsid w:val="39EE015C"/>
    <w:multiLevelType w:val="hybridMultilevel"/>
    <w:lvl w:ilvl="0">
      <w:lvlJc w:val="left"/>
      <w:lvlText w:val="%1."/>
      <w:numFmt w:val="upperLetter"/>
      <w:start w:val="1"/>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1)"/>
      <w:numFmt w:val="lowerLetter"/>
      <w:start w:val="1"/>
    </w:lvl>
  </w:abstractNum>
  <w:abstractNum w:abstractNumId="81">
    <w:nsid w:val="43F18422"/>
    <w:multiLevelType w:val="hybridMultilevel"/>
    <w:lvl w:ilvl="0">
      <w:lvlJc w:val="left"/>
      <w:lvlText w:val="(%1)"/>
      <w:numFmt w:val="lowerLetter"/>
      <w:start w:val="2"/>
    </w:lvl>
  </w:abstractNum>
  <w:abstractNum w:abstractNumId="82">
    <w:nsid w:val="60EF0119"/>
    <w:multiLevelType w:val="hybridMultilevel"/>
    <w:lvl w:ilvl="0">
      <w:lvlJc w:val="left"/>
      <w:lvlText w:val="(%1)"/>
      <w:numFmt w:val="lowerLetter"/>
      <w:start w:val="2"/>
    </w:lvl>
  </w:abstractNum>
  <w:abstractNum w:abstractNumId="83">
    <w:nsid w:val="26F324BA"/>
    <w:multiLevelType w:val="hybridMultilevel"/>
    <w:lvl w:ilvl="0">
      <w:lvlJc w:val="left"/>
      <w:lvlText w:val="(%1)"/>
      <w:numFmt w:val="lowerLetter"/>
      <w:start w:val="1"/>
    </w:lvl>
    <w:lvl w:ilvl="1">
      <w:lvlJc w:val="left"/>
      <w:lvlText w:val="(%2)"/>
      <w:numFmt w:val="lowerRoman"/>
      <w:start w:val="1"/>
    </w:lvl>
  </w:abstractNum>
  <w:abstractNum w:abstractNumId="84">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85">
    <w:nsid w:val="49DA307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6">
    <w:nsid w:val="7055A5F5"/>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87">
    <w:nsid w:val="5FB8370B"/>
    <w:multiLevelType w:val="hybridMultilevel"/>
    <w:lvl w:ilvl="0">
      <w:lvlJc w:val="left"/>
      <w:lvlText w:val="%1."/>
      <w:numFmt w:val="decimal"/>
      <w:start w:val="1"/>
    </w:lvl>
  </w:abstractNum>
  <w:abstractNum w:abstractNumId="88">
    <w:nsid w:val="50801EE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89">
    <w:nsid w:val="488AC1A"/>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90">
    <w:nsid w:val="5FB8011C"/>
    <w:multiLevelType w:val="hybridMultilevel"/>
    <w:lvl w:ilvl="0">
      <w:lvlJc w:val="left"/>
      <w:lvlText w:val="%1."/>
      <w:numFmt w:val="decimal"/>
      <w:start w:val="3"/>
    </w:lvl>
  </w:abstractNum>
  <w:abstractNum w:abstractNumId="91">
    <w:nsid w:val="6AA78F7F"/>
    <w:multiLevelType w:val="hybridMultilevel"/>
    <w:lvl w:ilvl="0">
      <w:lvlJc w:val="left"/>
      <w:lvlText w:val="%1."/>
      <w:numFmt w:val="decimal"/>
      <w:start w:val="4"/>
    </w:lvl>
  </w:abstractNum>
  <w:abstractNum w:abstractNumId="92">
    <w:nsid w:val="7672BD23"/>
    <w:multiLevelType w:val="hybridMultilevel"/>
    <w:lvl w:ilvl="0">
      <w:lvlJc w:val="left"/>
      <w:lvlText w:val="(%1)"/>
      <w:numFmt w:val="lowerLetter"/>
      <w:start w:val="3"/>
    </w:lvl>
  </w:abstractNum>
  <w:abstractNum w:abstractNumId="93">
    <w:nsid w:val="6FC75AF8"/>
    <w:multiLevelType w:val="hybridMultilevel"/>
    <w:lvl w:ilvl="0">
      <w:lvlJc w:val="left"/>
      <w:lvlText w:val="%1"/>
      <w:numFmt w:val="decimal"/>
      <w:start w:val="1"/>
    </w:lvl>
    <w:lvl w:ilvl="1">
      <w:lvlJc w:val="left"/>
      <w:lvlText w:val="(%2)"/>
      <w:numFmt w:val="lowerRoman"/>
      <w:start w:val="1"/>
    </w:lvl>
  </w:abstractNum>
  <w:abstractNum w:abstractNumId="94">
    <w:nsid w:val="6A5F7029"/>
    <w:multiLevelType w:val="hybridMultilevel"/>
    <w:lvl w:ilvl="0">
      <w:lvlJc w:val="left"/>
      <w:lvlText w:val="%1."/>
      <w:numFmt w:val="decimal"/>
      <w:start w:val="5"/>
    </w:lvl>
    <w:lvl w:ilvl="1">
      <w:lvlJc w:val="left"/>
      <w:lvlText w:val="%2"/>
      <w:numFmt w:val="lowerRoman"/>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1."/>
      <w:numFmt w:val="lowerLetter"/>
      <w:start w:val="1"/>
    </w:lvl>
  </w:abstractNum>
  <w:abstractNum w:abstractNumId="98">
    <w:nsid w:val="7DE67713"/>
    <w:multiLevelType w:val="hybridMultilevel"/>
    <w:lvl w:ilvl="0">
      <w:lvlJc w:val="left"/>
      <w:lvlText w:val="%1."/>
      <w:numFmt w:val="decimal"/>
      <w:start w:val="1"/>
    </w:lvl>
    <w:lvl w:ilvl="1">
      <w:lvlJc w:val="left"/>
      <w:lvlText w:val="%2)"/>
      <w:numFmt w:val="lowerLetter"/>
      <w:start w:val="1"/>
    </w:lvl>
  </w:abstractNum>
  <w:abstractNum w:abstractNumId="99">
    <w:nsid w:val="555C55B5"/>
    <w:multiLevelType w:val="hybridMultilevel"/>
    <w:lvl w:ilvl="0">
      <w:lvlJc w:val="left"/>
      <w:lvlText w:val="%1."/>
      <w:numFmt w:val="decimal"/>
      <w:start w:val="1"/>
    </w:lvl>
    <w:lvl w:ilvl="1">
      <w:lvlJc w:val="left"/>
      <w:lvlText w:val="%2)"/>
      <w:numFmt w:val="lowerLetter"/>
      <w:start w:val="1"/>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
      <w:numFmt w:val="bullet"/>
      <w:start w:val="1"/>
    </w:lvl>
    <w:lvl w:ilvl="1">
      <w:lvlJc w:val="left"/>
      <w:lvlText w:val="(%2)"/>
      <w:numFmt w:val="decimal"/>
      <w:start w:val="1"/>
    </w:lvl>
  </w:abstractNum>
  <w:abstractNum w:abstractNumId="102">
    <w:nsid w:val="6A3DD3E8"/>
    <w:multiLevelType w:val="hybridMultilevel"/>
    <w:lvl w:ilvl="0">
      <w:lvlJc w:val="left"/>
      <w:lvlText w:val="(%1)"/>
      <w:numFmt w:val="upperLetter"/>
      <w:start w:val="1"/>
    </w:lvl>
  </w:abstractNum>
  <w:abstractNum w:abstractNumId="103">
    <w:nsid w:val="71C91298"/>
    <w:multiLevelType w:val="hybridMultilevel"/>
    <w:lvl w:ilvl="0">
      <w:lvlJc w:val="left"/>
      <w:lvlText w:val="•"/>
      <w:numFmt w:val="bullet"/>
      <w:start w:val="1"/>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79" Type="http://schemas.openxmlformats.org/officeDocument/2006/relationships/hyperlink" Target="https://www.sec.gov/Archives/edgar/data/0001092796/000119312520231337/d14369dex213.htm" TargetMode="External"/><Relationship Id="rId80" Type="http://schemas.openxmlformats.org/officeDocument/2006/relationships/hyperlink" Target="https://www.sec.gov/Archives/edgar/data/1092796/000119312519105153/d723630dex31.htm" TargetMode="External"/><Relationship Id="rId81" Type="http://schemas.openxmlformats.org/officeDocument/2006/relationships/hyperlink" Target="https://www.sec.gov/Archives/edgar/data/1092796/000156459017003228/aobc-ex34_678.htm" TargetMode="External"/><Relationship Id="rId82" Type="http://schemas.openxmlformats.org/officeDocument/2006/relationships/hyperlink" Target="https://www.sec.gov/Archives/edgar/data/1092796/000119312513386287/d605017dex39a.htm" TargetMode="External"/><Relationship Id="rId83" Type="http://schemas.openxmlformats.org/officeDocument/2006/relationships/hyperlink" Target="https://www.sec.gov/Archives/edgar/data/0001092796/000156459020029954/swbi-ex41_1232.htm" TargetMode="External"/><Relationship Id="rId84" Type="http://schemas.openxmlformats.org/officeDocument/2006/relationships/hyperlink" Target="https://www.sec.gov/Archives/edgar/data/1092796/000156459021033352/swbi-ex42_757.htm" TargetMode="External"/><Relationship Id="rId85" Type="http://schemas.openxmlformats.org/officeDocument/2006/relationships/hyperlink" Target="https://www.sec.gov/Archives/edgar/data/1092796/000095012405001428/p70189exv10w51.txt" TargetMode="External"/><Relationship Id="rId86" Type="http://schemas.openxmlformats.org/officeDocument/2006/relationships/hyperlink" Target="https://www.sec.gov/Archives/edgar/data/0001092796/000119312513481079/d647439dex10108.htm" TargetMode="External"/><Relationship Id="rId87" Type="http://schemas.openxmlformats.org/officeDocument/2006/relationships/hyperlink" Target="https://www.sec.gov/Archives/edgar/data/1092796/000119312513481079/d647439dex10108.htm" TargetMode="External"/><Relationship Id="rId88" Type="http://schemas.openxmlformats.org/officeDocument/2006/relationships/hyperlink" Target="https://www.sec.gov/Archives/edgar/data/1092796/000119312513481100/d647355dex10109.htm" TargetMode="External"/><Relationship Id="rId89" Type="http://schemas.openxmlformats.org/officeDocument/2006/relationships/hyperlink" Target="https://www.sec.gov/Archives/edgar/data/1092796/000156459022027611/swbi-def14a_20220912.htm" TargetMode="External"/><Relationship Id="rId90" Type="http://schemas.openxmlformats.org/officeDocument/2006/relationships/hyperlink" Target="https://www.sec.gov/Archives/edgar/data/1092796/000156459015005183/swhc-ex10111b_201504301164.htm" TargetMode="External"/><Relationship Id="rId91" Type="http://schemas.openxmlformats.org/officeDocument/2006/relationships/hyperlink" Target="https://www.sec.gov/Archives/edgar/data/1092796/000156459021033352/swbi-ex10111c_1002.htm" TargetMode="External"/><Relationship Id="rId92" Type="http://schemas.openxmlformats.org/officeDocument/2006/relationships/hyperlink" Target="https://www.sec.gov/Archives/edgar/data/1092796/000095017023029412/swbi-ex10_111d.htm" TargetMode="External"/><Relationship Id="rId93" Type="http://schemas.openxmlformats.org/officeDocument/2006/relationships/hyperlink" Target="https://www.sec.gov/Archives/edgar/data/1092796/000156459021033352/swbi-ex10112b_1116.htm" TargetMode="External"/><Relationship Id="rId94" Type="http://schemas.openxmlformats.org/officeDocument/2006/relationships/hyperlink" Target="https://www.sec.gov/Archives/edgar/data/1092796/000156459021033352/swbi-ex10112c_1115.htm" TargetMode="External"/><Relationship Id="rId95" Type="http://schemas.openxmlformats.org/officeDocument/2006/relationships/hyperlink" Target="https://www.sec.gov/Archives/edgar/data/1092796/000095017023029412/swbi-ex10_112d.htm" TargetMode="External"/><Relationship Id="rId98" Type="http://schemas.openxmlformats.org/officeDocument/2006/relationships/hyperlink" Target="https://www.sec.gov/Archives/edgar/data/1092796/000119312517327150/d479247dex10114.htm" TargetMode="External"/><Relationship Id="rId99" Type="http://schemas.openxmlformats.org/officeDocument/2006/relationships/hyperlink" Target="https://www.sec.gov/Archives/edgar/data/1092796/000119312523024121/d426582dex10135.htm" TargetMode="External"/><Relationship Id="rId100" Type="http://schemas.openxmlformats.org/officeDocument/2006/relationships/hyperlink" Target="https://www.sec.gov/Archives/edgar/data/1092796/000119312517327150/d479247dex10115.htm" TargetMode="External"/><Relationship Id="rId101" Type="http://schemas.openxmlformats.org/officeDocument/2006/relationships/hyperlink" Target="https://www.sec.gov/Archives/edgar/data/1092796/000119312523024121/d426582dex10134.htm" TargetMode="External"/><Relationship Id="rId102" Type="http://schemas.openxmlformats.org/officeDocument/2006/relationships/hyperlink" Target="https://www.sec.gov/Archives/edgar/data/1092796/000119312520102556/d915582dex10119.htm" TargetMode="External"/><Relationship Id="rId103" Type="http://schemas.openxmlformats.org/officeDocument/2006/relationships/hyperlink" Target="https://www.sec.gov/Archives/edgar/data/0001092796/000119312520231337/d14369dex10121.htm" TargetMode="External"/><Relationship Id="rId104" Type="http://schemas.openxmlformats.org/officeDocument/2006/relationships/hyperlink" Target="https://www.sec.gov/Archives/edgar/data/0001092796/000119312520231337/d14369dex10122.htm" TargetMode="External"/><Relationship Id="rId105" Type="http://schemas.openxmlformats.org/officeDocument/2006/relationships/hyperlink" Target="https://www.sec.gov/Archives/edgar/data/0001092796/000119312520231337/d14369dex10123.htm" TargetMode="External"/><Relationship Id="rId106" Type="http://schemas.openxmlformats.org/officeDocument/2006/relationships/hyperlink" Target="https://www.sec.gov/Archives/edgar/data/1092796/000095017024075584/swbi-ex10_124b.htm" TargetMode="External"/><Relationship Id="rId107" Type="http://schemas.openxmlformats.org/officeDocument/2006/relationships/hyperlink" Target="https://www.sec.gov/Archives/edgar/data/0001092796/000119312520231337/d14369dex10125.htm" TargetMode="External"/><Relationship Id="rId108" Type="http://schemas.openxmlformats.org/officeDocument/2006/relationships/hyperlink" Target="https://www.sec.gov/Archives/edgar/data/0001092796/000119312520231337/d14369dex10128.htm" TargetMode="External"/><Relationship Id="rId109" Type="http://schemas.openxmlformats.org/officeDocument/2006/relationships/hyperlink" Target="https://www.sec.gov/Archives/edgar/data/1092796/000119312523132493/d460271dex10128a.htm" TargetMode="External"/><Relationship Id="rId110" Type="http://schemas.openxmlformats.org/officeDocument/2006/relationships/hyperlink" Target="https://www.sec.gov/Archives/edgar/data/1092796/000119312524233102/d896305dex10126.htm" TargetMode="External"/><Relationship Id="rId111" Type="http://schemas.openxmlformats.org/officeDocument/2006/relationships/hyperlink" Target="https://www.sec.gov/Archives/edgar/data/1092796/000119312525182690/d927672dex10126d.htm" TargetMode="External"/><Relationship Id="rId112" Type="http://schemas.openxmlformats.org/officeDocument/2006/relationships/hyperlink" Target="https://www.sec.gov/Archives/edgar/data/1092796/000119312521287442/d181384dex10130.htm" TargetMode="External"/><Relationship Id="rId113" Type="http://schemas.openxmlformats.org/officeDocument/2006/relationships/hyperlink" Target="https://www.sec.gov/Archives/edgar/data/1092796/000119312522089984/d321189dex10131.htm" TargetMode="External"/><Relationship Id="rId114" Type="http://schemas.openxmlformats.org/officeDocument/2006/relationships/hyperlink" Target="https://www.sec.gov/Archives/edgar/data/1092796/000119312523024121/d426582dex10136.htm" TargetMode="External"/><Relationship Id="rId117" Type="http://schemas.openxmlformats.org/officeDocument/2006/relationships/hyperlink" Target="https://www.sec.gov/Archives/edgar/data/1092796/000095012309019227/p15228exv10w72.htm" TargetMode="External"/><Relationship Id="rId118" Type="http://schemas.openxmlformats.org/officeDocument/2006/relationships/hyperlink" Target="https://www.sec.gov/ix?doc=/Archives/edgar/data/1092796/000095017023068840/swbi-ex10_137.htm" TargetMode="External"/><Relationship Id="rId119" Type="http://schemas.openxmlformats.org/officeDocument/2006/relationships/hyperlink" Target="https://www.sec.gov/Archives/edgar/data/1092796/000119312525111639/d943170dex101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2026-06-17T15:43:28Z</dcterms:created>
  <dcterms:modified xsi:type="dcterms:W3CDTF">2026-06-17T15:43:28Z</dcterms:modified>
</cp:coreProperties>
</file>