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0341d8k.htm"/>
      <w:bookmarkStart w:id="1" w:name="ksd15034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15,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Smith &amp; Wesson Brands,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Nevada</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001-31552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87-0543688</w:t>
            </w:r>
          </w:p>
        </w:tc>
      </w:tr>
      <w:tr>
        <w:trPr/>
        <w:tc>
          <w:tcPr>
            <w:tcW w:w="2720" w:type="dxa"/>
            <w:tcBorders/>
            <w:vAlign w:val="center"/>
          </w:tcPr>
          <w:p>
            <w:pPr>
              <w:pStyle w:val="TableContents"/>
              <w:bidi w:val="0"/>
              <w:spacing w:before="0" w:after="283"/>
              <w:jc w:val="center"/>
              <w:rPr>
                <w:b/>
              </w:rPr>
            </w:pPr>
            <w:r>
              <w:rPr>
                <w:b/>
              </w:rPr>
              <w:t>(State or other jurisdiction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r>
          </w:p>
        </w:tc>
      </w:tr>
      <w:tr>
        <w:trPr/>
        <w:tc>
          <w:tcPr>
            <w:tcW w:w="2720" w:type="dxa"/>
            <w:tcBorders/>
            <w:vAlign w:val="center"/>
          </w:tcPr>
          <w:p>
            <w:pPr>
              <w:pStyle w:val="TableContents"/>
              <w:bidi w:val="0"/>
              <w:spacing w:before="0" w:after="283"/>
              <w:jc w:val="center"/>
              <w:rPr>
                <w:b/>
              </w:rPr>
            </w:pPr>
            <w:r>
              <w:rPr>
                <w:b/>
              </w:rP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1852 Proffitt Springs Road</w:t>
      </w:r>
    </w:p>
    <w:p>
      <w:pPr>
        <w:pStyle w:val="TextBody"/>
        <w:bidi w:val="0"/>
        <w:spacing w:before="0" w:after="0"/>
        <w:jc w:val="center"/>
        <w:rPr>
          <w:rFonts w:ascii="Times New Roman" w:hAnsi="Times New Roman"/>
          <w:b/>
          <w:sz w:val="20"/>
        </w:rPr>
      </w:pPr>
      <w:r>
        <w:rPr>
          <w:rFonts w:ascii="Times New Roman" w:hAnsi="Times New Roman"/>
          <w:b/>
          <w:sz w:val="20"/>
        </w:rPr>
        <w:t>Maryville, Tennessee 37801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00" w:after="0"/>
        <w:jc w:val="center"/>
        <w:rPr>
          <w:rFonts w:ascii="Times New Roman" w:hAnsi="Times New Roman"/>
          <w:b/>
          <w:sz w:val="20"/>
        </w:rPr>
      </w:pPr>
      <w:r>
        <w:rPr>
          <w:rFonts w:ascii="Times New Roman" w:hAnsi="Times New Roman"/>
          <w:b/>
          <w:sz w:val="20"/>
        </w:rPr>
        <w:t>(800) 331-0852</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sz w:val="20"/>
          <w:u w:val="single"/>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Act: </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SWBI</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500" w:type="dxa"/>
        <w:jc w:val="left"/>
        <w:tblInd w:w="0" w:type="dxa"/>
        <w:tblLayout w:type="fixed"/>
        <w:tblCellMar>
          <w:top w:w="0" w:type="dxa"/>
          <w:left w:w="0" w:type="dxa"/>
          <w:bottom w:w="0" w:type="dxa"/>
          <w:right w:w="0" w:type="dxa"/>
        </w:tblCellMar>
      </w:tblPr>
      <w:tblGrid>
        <w:gridCol w:w="1025"/>
        <w:gridCol w:w="4475"/>
      </w:tblGrid>
      <w:tr>
        <w:trPr/>
        <w:tc>
          <w:tcPr>
            <w:tcW w:w="102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15, 2026, we held our annual meeting of stockholders to consider and vote upon the following proposals: (1) to elect directors to serve until our next annual meeting of stockholders and until their successors are elected and qualified; (2) to provide a non-binding, advisory vote on the compensation of our named executive officers for fiscal 2026 (“say-on-pay”); and (3) to ratify the appointment of KPMG LLP as our independent registered public accounting firm for fiscal 2027. </w:t>
      </w:r>
    </w:p>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200"/>
        <w:gridCol w:w="48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following directors were elected at the annual meeting: </w:t>
            </w:r>
          </w:p>
        </w:tc>
      </w:tr>
    </w:tbl>
    <w:p>
      <w:pPr>
        <w:pStyle w:val="TextBody"/>
        <w:bidi w:val="0"/>
        <w:spacing w:before="0" w:after="0"/>
        <w:jc w:val="left"/>
        <w:rPr/>
      </w:pPr>
      <w:r>
        <w:rPr/>
        <w:t> </w:t>
      </w:r>
    </w:p>
    <w:tbl>
      <w:tblPr>
        <w:tblW w:w="6050" w:type="dxa"/>
        <w:jc w:val="left"/>
        <w:tblInd w:w="0" w:type="dxa"/>
        <w:tblLayout w:type="fixed"/>
        <w:tblCellMar>
          <w:top w:w="0" w:type="dxa"/>
          <w:left w:w="0" w:type="dxa"/>
          <w:bottom w:w="0" w:type="dxa"/>
          <w:right w:w="0" w:type="dxa"/>
        </w:tblCellMar>
      </w:tblPr>
      <w:tblGrid>
        <w:gridCol w:w="1760"/>
        <w:gridCol w:w="120"/>
        <w:gridCol w:w="60"/>
        <w:gridCol w:w="1100"/>
        <w:gridCol w:w="60"/>
        <w:gridCol w:w="120"/>
        <w:gridCol w:w="105"/>
        <w:gridCol w:w="1400"/>
        <w:gridCol w:w="60"/>
        <w:gridCol w:w="120"/>
        <w:gridCol w:w="61"/>
        <w:gridCol w:w="1009"/>
        <w:gridCol w:w="75"/>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Director</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283"/>
              <w:jc w:val="center"/>
              <w:rPr/>
            </w:pPr>
            <w:r>
              <w:rPr/>
              <w:t>Votes 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t>Broker</w:t>
              <w:br/>
              <w:t>Non-Votes</w:t>
            </w:r>
          </w:p>
        </w:tc>
        <w:tc>
          <w:tcPr>
            <w:tcW w:w="75"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Anita D. Britt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24,712,610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407,079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9,247,097</w:t>
            </w:r>
          </w:p>
        </w:tc>
        <w:tc>
          <w:tcPr>
            <w:tcW w:w="75" w:type="dxa"/>
            <w:tcBorders/>
            <w:shd w:fill="CCEEFF" w:val="cle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Michelle J. Lohmeier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24,825,441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294,248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9,247,097</w:t>
            </w:r>
          </w:p>
        </w:tc>
        <w:tc>
          <w:tcPr>
            <w:tcW w:w="75"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Barry M. Monheit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24,752,010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367,679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9,247,097</w:t>
            </w:r>
          </w:p>
        </w:tc>
        <w:tc>
          <w:tcPr>
            <w:tcW w:w="75" w:type="dxa"/>
            <w:tcBorders/>
            <w:shd w:fill="CCEEFF" w:val="cle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L. Scott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24,575,921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543,768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9,247,097</w:t>
            </w:r>
          </w:p>
        </w:tc>
        <w:tc>
          <w:tcPr>
            <w:tcW w:w="75"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 P. Smith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24,829,547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290,142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9,247,097</w:t>
            </w:r>
          </w:p>
        </w:tc>
        <w:tc>
          <w:tcPr>
            <w:tcW w:w="75" w:type="dxa"/>
            <w:tcBorders/>
            <w:shd w:fill="CCEEFF" w:val="cle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Denis G. Suggs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24,628,438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491,251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9,247,097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585" w:type="dxa"/>
        <w:jc w:val="left"/>
        <w:tblInd w:w="0" w:type="dxa"/>
        <w:tblLayout w:type="fixed"/>
        <w:tblCellMar>
          <w:top w:w="0" w:type="dxa"/>
          <w:left w:w="0" w:type="dxa"/>
          <w:bottom w:w="0" w:type="dxa"/>
          <w:right w:w="0" w:type="dxa"/>
        </w:tblCellMar>
      </w:tblPr>
      <w:tblGrid>
        <w:gridCol w:w="75"/>
        <w:gridCol w:w="200"/>
        <w:gridCol w:w="43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stockholders approved the say-on-pay proposal.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1715"/>
        <w:gridCol w:w="120"/>
        <w:gridCol w:w="60"/>
        <w:gridCol w:w="1100"/>
        <w:gridCol w:w="60"/>
        <w:gridCol w:w="120"/>
        <w:gridCol w:w="60"/>
        <w:gridCol w:w="800"/>
        <w:gridCol w:w="60"/>
        <w:gridCol w:w="120"/>
        <w:gridCol w:w="79"/>
        <w:gridCol w:w="1066"/>
        <w:gridCol w:w="60"/>
        <w:gridCol w:w="120"/>
        <w:gridCol w:w="61"/>
        <w:gridCol w:w="1009"/>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Votes</w:t>
              <w:b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Votes</w:t>
              <w:br/>
              <w:t>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pPr>
            <w:r>
              <w:rPr/>
              <w:t>Abstentions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t>Broker</w:t>
              <w:br/>
              <w:t>Non-Votes</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Say-on-pay proposal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24,394,960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465,311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259,418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9,247,097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3.</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stockholders ratified the appointment of KPMG LLP as our independent registered public accounting firm for fiscal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235"/>
        <w:gridCol w:w="120"/>
        <w:gridCol w:w="60"/>
        <w:gridCol w:w="1100"/>
        <w:gridCol w:w="60"/>
        <w:gridCol w:w="120"/>
        <w:gridCol w:w="60"/>
        <w:gridCol w:w="800"/>
        <w:gridCol w:w="60"/>
        <w:gridCol w:w="120"/>
        <w:gridCol w:w="79"/>
        <w:gridCol w:w="1066"/>
        <w:gridCol w:w="60"/>
        <w:gridCol w:w="120"/>
        <w:gridCol w:w="246"/>
        <w:gridCol w:w="824"/>
        <w:gridCol w:w="75"/>
      </w:tblGrid>
      <w:tr>
        <w:trPr/>
        <w:tc>
          <w:tcPr>
            <w:tcW w:w="5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Votes</w:t>
              <w:b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Votes</w:t>
              <w:br/>
              <w:t>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pPr>
            <w:r>
              <w:rPr/>
              <w:t>Abstentions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t>Broker</w:t>
              <w:br/>
              <w:t>Non-Votes</w:t>
            </w:r>
          </w:p>
        </w:tc>
        <w:tc>
          <w:tcPr>
            <w:tcW w:w="75" w:type="dxa"/>
            <w:tcBorders/>
            <w:vAlign w:val="center"/>
          </w:tcPr>
          <w:p>
            <w:pPr>
              <w:pStyle w:val="TableContents"/>
              <w:bidi w:val="0"/>
              <w:spacing w:before="0" w:after="283"/>
              <w:jc w:val="left"/>
              <w:rPr/>
            </w:pPr>
            <w:r>
              <w:rPr/>
              <w:t> </w:t>
            </w:r>
          </w:p>
        </w:tc>
      </w:tr>
      <w:tr>
        <w:trPr/>
        <w:tc>
          <w:tcPr>
            <w:tcW w:w="5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Ratification of KPMG LLP as independent registered public accounting firm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33,650,995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396,902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318,889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7"/>
        <w:gridCol w:w="60"/>
        <w:gridCol w:w="23"/>
        <w:gridCol w:w="60"/>
        <w:gridCol w:w="365"/>
        <w:gridCol w:w="60"/>
        <w:gridCol w:w="7350"/>
      </w:tblGrid>
      <w:tr>
        <w:trPr/>
        <w:tc>
          <w:tcPr>
            <w:tcW w:w="2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50" w:type="dxa"/>
            <w:tcBorders/>
            <w:vAlign w:val="center"/>
          </w:tcPr>
          <w:p>
            <w:pPr>
              <w:pStyle w:val="TableContents"/>
              <w:bidi w:val="0"/>
              <w:spacing w:before="0" w:after="283"/>
              <w:jc w:val="left"/>
              <w:rPr>
                <w:sz w:val="4"/>
                <w:szCs w:val="4"/>
              </w:rPr>
            </w:pPr>
            <w:r>
              <w:rPr>
                <w:sz w:val="4"/>
                <w:szCs w:val="4"/>
              </w:rPr>
            </w:r>
          </w:p>
        </w:tc>
      </w:tr>
      <w:tr>
        <w:trPr/>
        <w:tc>
          <w:tcPr>
            <w:tcW w:w="2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75" w:type="dxa"/>
            <w:gridSpan w:val="3"/>
            <w:tcBorders/>
            <w:vAlign w:val="center"/>
          </w:tcPr>
          <w:p>
            <w:pPr>
              <w:pStyle w:val="TableContents"/>
              <w:bidi w:val="0"/>
              <w:spacing w:before="0" w:after="283"/>
              <w:jc w:val="left"/>
              <w:rPr/>
            </w:pPr>
            <w:r>
              <w:rPr/>
              <w:t>SMITH &amp; WESSON BRANDS, INC.</w:t>
            </w:r>
          </w:p>
        </w:tc>
      </w:tr>
      <w:tr>
        <w:trPr/>
        <w:tc>
          <w:tcPr>
            <w:tcW w:w="2287"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7410" w:type="dxa"/>
            <w:gridSpan w:val="2"/>
            <w:tcBorders/>
            <w:vAlign w:val="center"/>
          </w:tcPr>
          <w:p>
            <w:pPr>
              <w:pStyle w:val="TableContents"/>
              <w:bidi w:val="0"/>
              <w:spacing w:before="0" w:after="283"/>
              <w:jc w:val="left"/>
              <w:rPr>
                <w:sz w:val="4"/>
                <w:szCs w:val="4"/>
              </w:rPr>
            </w:pPr>
            <w:r>
              <w:rPr>
                <w:sz w:val="4"/>
                <w:szCs w:val="4"/>
              </w:rPr>
            </w:r>
          </w:p>
        </w:tc>
      </w:tr>
      <w:tr>
        <w:trPr/>
        <w:tc>
          <w:tcPr>
            <w:tcW w:w="2287" w:type="dxa"/>
            <w:tcBorders/>
            <w:vAlign w:val="center"/>
          </w:tcPr>
          <w:p>
            <w:pPr>
              <w:pStyle w:val="TableContents"/>
              <w:bidi w:val="0"/>
              <w:spacing w:before="0" w:after="283"/>
              <w:jc w:val="left"/>
              <w:rPr/>
            </w:pPr>
            <w:r>
              <w:rPr/>
              <w:t>Date: September 16,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350"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Deana L. McPherson</w:t>
            </w:r>
          </w:p>
        </w:tc>
      </w:tr>
      <w:tr>
        <w:trPr/>
        <w:tc>
          <w:tcPr>
            <w:tcW w:w="2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50" w:type="dxa"/>
            <w:tcBorders/>
            <w:vAlign w:val="center"/>
          </w:tcPr>
          <w:p>
            <w:pPr>
              <w:pStyle w:val="TableContents"/>
              <w:bidi w:val="0"/>
              <w:spacing w:before="0" w:after="283"/>
              <w:jc w:val="left"/>
              <w:rPr/>
            </w:pPr>
            <w:r>
              <w:rPr/>
              <w:t>Deana L. McPherson</w:t>
            </w:r>
          </w:p>
        </w:tc>
      </w:tr>
      <w:tr>
        <w:trPr/>
        <w:tc>
          <w:tcPr>
            <w:tcW w:w="2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50" w:type="dxa"/>
            <w:tcBorders/>
            <w:vAlign w:val="center"/>
          </w:tcPr>
          <w:p>
            <w:pPr>
              <w:pStyle w:val="TableContents"/>
              <w:bidi w:val="0"/>
              <w:spacing w:before="0" w:after="283"/>
              <w:jc w:val="left"/>
              <w:rPr/>
            </w:pPr>
            <w:r>
              <w:rPr/>
              <w:t>Executive Vice President, Chief Financial Officer, Treasurer, and Assistant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554</Words>
  <Characters>3151</Characters>
  <CharactersWithSpaces>3800</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