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wbi-20260731.htm"/>
      <w:bookmarkStart w:id="1" w:name="ksswbi20260731"/>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36"/>
        </w:rPr>
      </w:pPr>
      <w:r>
        <w:rPr>
          <w:rFonts w:ascii="Times New Roman" w:hAnsi="Times New Roman"/>
          <w:b/>
          <w:color w:val="000000"/>
          <w:sz w:val="36"/>
        </w:rPr>
        <w:t>Form 10-Q</w:t>
      </w:r>
      <w:r>
        <w:rPr>
          <w:rFonts w:ascii="Times New Roman" w:hAnsi="Times New Roman"/>
          <w:color w:val="000000"/>
          <w:sz w:val="36"/>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July 31, 2026</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No. 001-31552</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2828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647700"/>
                    </a:xfrm>
                    <a:prstGeom prst="rect">
                      <a:avLst/>
                    </a:prstGeom>
                  </pic:spPr>
                </pic:pic>
              </a:graphicData>
            </a:graphic>
          </wp:inline>
        </w:drawing>
      </w:r>
    </w:p>
    <w:p>
      <w:pPr>
        <w:pStyle w:val="TextBody"/>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Smith &amp; Wesson Brands,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87-0543688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1852 Proffitt Springs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Maryville, Tennessee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37801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 xml:space="preserve">(800) 331-0852 </w:t>
      </w:r>
    </w:p>
    <w:p>
      <w:pPr>
        <w:pStyle w:val="TextBody"/>
        <w:bidi w:val="0"/>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863" w:type="dxa"/>
        <w:jc w:val="left"/>
        <w:tblInd w:w="0" w:type="dxa"/>
        <w:tblLayout w:type="fixed"/>
        <w:tblCellMar>
          <w:top w:w="28" w:type="dxa"/>
          <w:left w:w="28" w:type="dxa"/>
          <w:bottom w:w="28" w:type="dxa"/>
          <w:right w:w="28" w:type="dxa"/>
        </w:tblCellMar>
      </w:tblPr>
      <w:tblGrid>
        <w:gridCol w:w="3151"/>
        <w:gridCol w:w="1426"/>
        <w:gridCol w:w="328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SWBI</w:t>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74" w:type="dxa"/>
        <w:jc w:val="left"/>
        <w:tblInd w:w="0" w:type="dxa"/>
        <w:tblLayout w:type="fixed"/>
        <w:tblCellMar>
          <w:top w:w="28" w:type="dxa"/>
          <w:left w:w="28" w:type="dxa"/>
          <w:bottom w:w="28" w:type="dxa"/>
          <w:right w:w="28" w:type="dxa"/>
        </w:tblCellMar>
      </w:tblPr>
      <w:tblGrid>
        <w:gridCol w:w="2326"/>
        <w:gridCol w:w="146"/>
        <w:gridCol w:w="376"/>
        <w:gridCol w:w="109"/>
        <w:gridCol w:w="1155"/>
        <w:gridCol w:w="1155"/>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1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registrant had </w:t>
      </w:r>
      <w:r>
        <w:rPr>
          <w:rFonts w:ascii="Times New Roman" w:hAnsi="Times New Roman"/>
          <w:color w:val="161616"/>
          <w:sz w:val="20"/>
        </w:rPr>
        <w:t>44,839,680</w:t>
      </w:r>
      <w:r>
        <w:rPr>
          <w:rFonts w:ascii="Times New Roman" w:hAnsi="Times New Roman"/>
          <w:color w:val="000000"/>
          <w:sz w:val="20"/>
        </w:rPr>
        <w:t xml:space="preserve"> shares of common stock, par value $0.001, outstanding as of September 1, 2026.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SMITH &amp; WESSON BRANDS, INC.</w:t>
      </w:r>
    </w:p>
    <w:p>
      <w:pPr>
        <w:pStyle w:val="TextBody"/>
        <w:bidi w:val="0"/>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Three Months Ended July 31, 2026 and 2025</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369" w:type="dxa"/>
        <w:jc w:val="left"/>
        <w:tblInd w:w="0" w:type="dxa"/>
        <w:tblLayout w:type="fixed"/>
        <w:tblCellMar>
          <w:top w:w="28" w:type="dxa"/>
          <w:left w:w="28" w:type="dxa"/>
          <w:bottom w:w="28" w:type="dxa"/>
          <w:right w:w="28" w:type="dxa"/>
        </w:tblCellMar>
      </w:tblPr>
      <w:tblGrid>
        <w:gridCol w:w="406"/>
        <w:gridCol w:w="8211"/>
        <w:gridCol w:w="146"/>
        <w:gridCol w:w="606"/>
      </w:tblGrid>
      <w:tr>
        <w:trPr/>
        <w:tc>
          <w:tcPr>
            <w:tcW w:w="406"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
              <w:r>
                <w:rPr>
                  <w:rStyle w:val="InternetLink"/>
                  <w:rFonts w:ascii="Times New Roman" w:hAnsi="Times New Roman"/>
                  <w:b/>
                  <w:color w:val="0000FF"/>
                  <w:sz w:val="20"/>
                  <w:u w:val="single"/>
                </w:rPr>
                <w:t>PART I -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managements_discussion">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18</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22</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4_controls_and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22</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
              <w:r>
                <w:rPr>
                  <w:rStyle w:val="InternetLink"/>
                  <w:rFonts w:ascii="Times New Roman" w:hAnsi="Times New Roman"/>
                  <w:b/>
                  <w:color w:val="0000FF"/>
                  <w:sz w:val="20"/>
                  <w:u w:val="single"/>
                </w:rPr>
                <w:t>PART II -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1_legal_proceeding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5">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23</w:t>
            </w:r>
          </w:p>
        </w:tc>
      </w:tr>
      <w:tr>
        <w:trPr/>
        <w:tc>
          <w:tcPr>
            <w:tcW w:w="406" w:type="dxa"/>
            <w:tcBorders/>
            <w:tcMar>
              <w:top w:w="0" w:type="dxa"/>
              <w:left w:w="0" w:type="dxa"/>
              <w:bottom w:w="0" w:type="dxa"/>
              <w:right w:w="0" w:type="dxa"/>
            </w:tcMar>
            <w:vAlign w:val="center"/>
          </w:tcPr>
          <w:p>
            <w:pPr>
              <w:pStyle w:val="TableContents"/>
              <w:bidi w:val="0"/>
              <w:spacing w:before="0" w:after="283"/>
              <w:ind w:left="0" w:right="0" w:firstLine="96"/>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96"/>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24</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25</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1_1.htm">
              <w:r>
                <w:rPr>
                  <w:rStyle w:val="InternetLink"/>
                  <w:rFonts w:ascii="Times New Roman" w:hAnsi="Times New Roman"/>
                  <w:color w:val="0000FF"/>
                  <w:sz w:val="20"/>
                  <w:u w:val="single"/>
                </w:rPr>
                <w:t>EX-31.1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1_2.htm">
              <w:r>
                <w:rPr>
                  <w:rStyle w:val="InternetLink"/>
                  <w:rFonts w:ascii="Times New Roman" w:hAnsi="Times New Roman"/>
                  <w:color w:val="0000FF"/>
                  <w:sz w:val="20"/>
                  <w:u w:val="single"/>
                </w:rPr>
                <w:t>EX-31.2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2_1.htm">
              <w:r>
                <w:rPr>
                  <w:rStyle w:val="InternetLink"/>
                  <w:rFonts w:ascii="Times New Roman" w:hAnsi="Times New Roman"/>
                  <w:color w:val="0000FF"/>
                  <w:sz w:val="20"/>
                  <w:u w:val="single"/>
                </w:rPr>
                <w:t>EX-32.1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8617"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pPr>
            <w:hyperlink w:anchor="swbi-ex32_2.htm">
              <w:r>
                <w:rPr>
                  <w:rStyle w:val="InternetLink"/>
                  <w:rFonts w:ascii="Times New Roman" w:hAnsi="Times New Roman"/>
                  <w:color w:val="0000FF"/>
                  <w:sz w:val="20"/>
                  <w:u w:val="single"/>
                </w:rPr>
                <w:t>EX-32.2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Smith &amp; Wesson®, S&amp;W®, M&amp;P®, M&amp;P Shield®, Performance Center®, Abyss®, Airlite®, Airweight®, American Guardians®, Armornite®, Arrow®, Aurora-II®, Blast Jacket®, Bodyguard®, Carry Comp®, Chiefs Special®, Clearsight®, Competitor®, CSX®, Dagger®, Empowering Americans®, E-Series®, ETM®, EZ®, Flexmag®, G-Core®, Gemtech®, Gemtech Suppressors®, GM®, GM-S1®, Governor®, GVAC®, Integra®, Lady Smith®, Lever Lock®, Lunar®, M&amp;P FPC®, M2.0®, Magnum®, Mist-22®, Model 1854®, Mountain Gun®, Protected by Smith &amp; Wesson®, Put A Legend On Your Line®, Quickmount®, Shield®, Silence is Golden®, Smith &amp; Wesson Academy®, Smith &amp; Wesson Collectors Association®, Smith &amp; Wesson Performance Center®, Smith &amp; Wesson Precision Components®, Smith &amp; Wesson Response®, SW Equalizer®, Stealth Hunter®, SW22 Victory®, TEMPO®, The S&amp;W Bench®, Trek®, Volunteer®, and Weather Shield® are some of the registered U.S. trademarks of our company or one of our subsidiaries. This Quarterly Report on Form 10-Q also may contain trademarks and trade names of other companies.</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 Regarding Forward-Looking Information</w:t>
      </w:r>
    </w:p>
    <w:p>
      <w:pPr>
        <w:pStyle w:val="TextBody"/>
        <w:bidi w:val="0"/>
        <w:spacing w:before="240" w:after="283"/>
        <w:jc w:val="both"/>
        <w:rPr>
          <w:rFonts w:ascii="Times New Roman" w:hAnsi="Times New Roman"/>
          <w:sz w:val="20"/>
        </w:rPr>
      </w:pPr>
      <w:r>
        <w:rPr>
          <w:rFonts w:ascii="Times New Roman" w:hAnsi="Times New Roman"/>
          <w:color w:val="000000"/>
          <w:sz w:val="20"/>
        </w:rPr>
        <w:t>The statements contained in this Quarterly Report on Form 10-Q that are not purely historical are forward-looking statements within the meaning of Section 27A of the Securities Act of 1933, as amended, and Section 21E of the Securities Exchange Act of 1934, as amended, or the Exchange Act. All statements other than statements of historical facts contained or incorporated herein by reference in this Quarterly Report on Form 10-Q,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“can,” “potential,” “continue,” “objective,” or the negative of those terms, or similar expressions intended to identify forward-looking statements. However, not all forward-looking statements contain these identifying words. Specific forward-looking statements in this Quarterly Report on Form 10-Q include statements regarding our expectation that the unrecognized compensation expense related to unvested RSUs and PSUs will be recognized over a weighted average remaining contractual term of 1.6 years; our belief that the claims in the litigation described in Note 8—</w:t>
      </w:r>
      <w:r>
        <w:rPr>
          <w:rFonts w:ascii="Times New Roman" w:hAnsi="Times New Roman"/>
          <w:i/>
          <w:color w:val="000000"/>
          <w:sz w:val="20"/>
        </w:rPr>
        <w:t>Commitments and Contingencies</w:t>
      </w:r>
      <w:r>
        <w:rPr>
          <w:rFonts w:ascii="Times New Roman" w:hAnsi="Times New Roman"/>
          <w:color w:val="000000"/>
          <w:sz w:val="20"/>
        </w:rPr>
        <w:t>—</w:t>
      </w:r>
      <w:r>
        <w:rPr>
          <w:rFonts w:ascii="Times New Roman" w:hAnsi="Times New Roman"/>
          <w:i/>
          <w:color w:val="000000"/>
          <w:sz w:val="20"/>
        </w:rPr>
        <w:t xml:space="preserve">Litigation </w:t>
      </w:r>
      <w:r>
        <w:rPr>
          <w:rFonts w:ascii="Times New Roman" w:hAnsi="Times New Roman"/>
          <w:color w:val="000000"/>
          <w:sz w:val="20"/>
        </w:rPr>
        <w:t>either have no merit or are unfounded, and our intent to aggressively defend against such actions; our belief with respect to certain matters described in Note 8—</w:t>
      </w:r>
      <w:r>
        <w:rPr>
          <w:rFonts w:ascii="Times New Roman" w:hAnsi="Times New Roman"/>
          <w:i/>
          <w:color w:val="000000"/>
          <w:sz w:val="20"/>
        </w:rPr>
        <w:t>Commitments and Contingencies</w:t>
      </w:r>
      <w:r>
        <w:rPr>
          <w:rFonts w:ascii="Times New Roman" w:hAnsi="Times New Roman"/>
          <w:color w:val="000000"/>
          <w:sz w:val="20"/>
        </w:rPr>
        <w:t>—</w:t>
      </w:r>
      <w:r>
        <w:rPr>
          <w:rFonts w:ascii="Times New Roman" w:hAnsi="Times New Roman"/>
          <w:i/>
          <w:color w:val="000000"/>
          <w:sz w:val="20"/>
        </w:rPr>
        <w:t>Litigation</w:t>
      </w:r>
      <w:r>
        <w:rPr>
          <w:rFonts w:ascii="Times New Roman" w:hAnsi="Times New Roman"/>
          <w:color w:val="000000"/>
          <w:sz w:val="20"/>
        </w:rPr>
        <w:t xml:space="preserve"> that the allegations are unfounded and, in addition, that any incident and any results from them or any injuries were due to negligence or misuse of the firearm by the claimant or a third party; our intention to aggressively defend the actions described in Note 8—</w:t>
      </w:r>
      <w:r>
        <w:rPr>
          <w:rFonts w:ascii="Times New Roman" w:hAnsi="Times New Roman"/>
          <w:i/>
          <w:color w:val="000000"/>
          <w:sz w:val="20"/>
        </w:rPr>
        <w:t>Commitments and Contingencies</w:t>
      </w:r>
      <w:r>
        <w:rPr>
          <w:rFonts w:ascii="Times New Roman" w:hAnsi="Times New Roman"/>
          <w:color w:val="000000"/>
          <w:sz w:val="20"/>
        </w:rPr>
        <w:t>—</w:t>
      </w:r>
      <w:r>
        <w:rPr>
          <w:rFonts w:ascii="Times New Roman" w:hAnsi="Times New Roman"/>
          <w:i/>
          <w:color w:val="000000"/>
          <w:sz w:val="20"/>
        </w:rPr>
        <w:t>Litigation</w:t>
      </w:r>
      <w:r>
        <w:rPr>
          <w:rFonts w:ascii="Times New Roman" w:hAnsi="Times New Roman"/>
          <w:color w:val="000000"/>
          <w:sz w:val="20"/>
        </w:rPr>
        <w:t xml:space="preserve">; our belief that our accruals for product liability cases and claims are a reasonable quantitative measure of the cost to us of product liability cases and claims; our belief that we have provided adequate accruals for defense costs; our belief that an unfavorable outcome or prolonged litigation could harm our business; our conclusion that we are unable to reasonably estimate the probability or the estimated range of reasonably possible additional losses related to material adverse judgments related to known claims and the related product liability accrual, our determination not to accrue for any such judgments; and our belief that we have provided adequate accruals for defense costs; our aim to meet requirements of the Accountability Agreement (as defined herein); our belief that inventory levels, both internally and in the distribution channel, in excess of demand may negatively impact future operating results; our expectation that our inventory levels will build through the second quarter of fiscal 2027 and then decline during the remainder of the fiscal year; our expectation for capital expenditures in fiscal 2027; factors affecting our future capital requirements; the availability of equity or debt financing on acceptable terms, if at all; the record date and payment date for our dividend; and our belief that our existing capital resources and credit facilities will be adequate to fund our operations for at least the next 12 months.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Quarterly Report on Form 10-Q reflect our views as of the date hereof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others, economic, political, social, legislative, regulatory, inflationary, and health factors; the potential for increased regulation of firearms and firearm-related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impact of tariffs; the supply, availability, and costs of raw materials and components;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successfully introduce new products; our ability to expand our markets; the potential for cancellation of orders from our backlog; and other factors detailed from time to time in our reports filed with the Securities and Exchange Commission, or the SEC, including our Annual Report on Form 10-K for the fiscal year ended April 30, 2026, or the Fiscal 2026 Form 10-K.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 xml:space="preserve">Item 1. </w:t>
      </w:r>
      <w:r>
        <w:rPr>
          <w:rFonts w:ascii="Times New Roman" w:hAnsi="Times New Roman"/>
          <w:b/>
          <w:i/>
          <w:color w:val="000000"/>
          <w:sz w:val="20"/>
        </w:rPr>
        <w:t>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4"/>
        <w:gridCol w:w="146"/>
        <w:gridCol w:w="303"/>
        <w:gridCol w:w="1124"/>
        <w:gridCol w:w="190"/>
        <w:gridCol w:w="190"/>
        <w:gridCol w:w="318"/>
        <w:gridCol w:w="1185"/>
        <w:gridCol w:w="595"/>
      </w:tblGrid>
      <w:tr>
        <w:trPr/>
        <w:tc>
          <w:tcPr>
            <w:tcW w:w="6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par value and share data)</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0" w:type="dxa"/>
            <w:gridSpan w:val="8"/>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ASSETS</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28,190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5,162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net of allowances for credit losses of $5 on</w:t>
              <w:br/>
              <w:t>   July 31, 2026 and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29,711</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40,014</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180,661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156,250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8,558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7,170</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247,493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241,403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plant, and equipment, net of accumulated depreciation and</w:t>
              <w:br/>
              <w:t>   amortization of $403,821 on July 31, 2026 and $397,668 on April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242,813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238,643</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Intangibles,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1,956</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19,024</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4,347</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7,748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7,393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523,304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512,766</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LIABILITIES AND STOCKHOLDERS’ EQUITY</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37,393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34,570</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17,095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19,146</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payroll and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profit sharing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5,155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68,431</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75,367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Notes and loans payable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39,185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19,121</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payable,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31,676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32,163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10,310</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9,556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149,602</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136,207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Preferred stock, $0.001 par value, 20,000,000 shares authorized, no shares</w:t>
              <w:br/>
              <w:t>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Common stock, $0.001 par value, 100,000,000 shares authorized,</w:t>
              <w:br/>
              <w:t>   44,839,680 shares issued and outstanding on July 31,</w:t>
              <w:br/>
              <w:t>   2026 and 44,605,993 shares issued and outstanding on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370,463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373,738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373,702</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376,559</w:t>
            </w:r>
          </w:p>
        </w:tc>
        <w:tc>
          <w:tcPr>
            <w:tcW w:w="59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523,304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512,766</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consolidated_statements_income"/>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440" w:type="dxa"/>
        <w:jc w:val="left"/>
        <w:tblInd w:w="0" w:type="dxa"/>
        <w:tblLayout w:type="fixed"/>
        <w:tblCellMar>
          <w:top w:w="28" w:type="dxa"/>
          <w:left w:w="28" w:type="dxa"/>
          <w:bottom w:w="28" w:type="dxa"/>
          <w:right w:w="28" w:type="dxa"/>
        </w:tblCellMar>
      </w:tblPr>
      <w:tblGrid>
        <w:gridCol w:w="4831"/>
        <w:gridCol w:w="289"/>
        <w:gridCol w:w="1069"/>
        <w:gridCol w:w="227"/>
        <w:gridCol w:w="199"/>
        <w:gridCol w:w="289"/>
        <w:gridCol w:w="925"/>
        <w:gridCol w:w="611"/>
      </w:tblGrid>
      <w:tr>
        <w:trPr/>
        <w:tc>
          <w:tcPr>
            <w:tcW w:w="48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July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 except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marketing, and distribution</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sale/disposition of assets, net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income/(loss)</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Income/(loss) before income taxes</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 per share:</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 net income/(loss)</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 net income/(loss)</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_changes"/>
      <w:bookmarkEnd w:id="6"/>
      <w:r>
        <w:rPr>
          <w:rFonts w:ascii="Times New Roman" w:hAnsi="Times New Roman"/>
          <w:b/>
          <w:color w:val="000000"/>
          <w:sz w:val="20"/>
        </w:rPr>
        <w:t>CONDENSED 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01"/>
        <w:gridCol w:w="146"/>
        <w:gridCol w:w="146"/>
        <w:gridCol w:w="601"/>
        <w:gridCol w:w="146"/>
        <w:gridCol w:w="146"/>
        <w:gridCol w:w="271"/>
        <w:gridCol w:w="480"/>
        <w:gridCol w:w="146"/>
        <w:gridCol w:w="146"/>
        <w:gridCol w:w="205"/>
        <w:gridCol w:w="726"/>
        <w:gridCol w:w="166"/>
        <w:gridCol w:w="146"/>
        <w:gridCol w:w="196"/>
        <w:gridCol w:w="691"/>
        <w:gridCol w:w="166"/>
        <w:gridCol w:w="146"/>
        <w:gridCol w:w="146"/>
        <w:gridCol w:w="601"/>
        <w:gridCol w:w="146"/>
        <w:gridCol w:w="146"/>
        <w:gridCol w:w="196"/>
        <w:gridCol w:w="751"/>
        <w:gridCol w:w="166"/>
        <w:gridCol w:w="146"/>
        <w:gridCol w:w="247"/>
        <w:gridCol w:w="876"/>
        <w:gridCol w:w="213"/>
      </w:tblGrid>
      <w:tr>
        <w:trPr/>
        <w:tc>
          <w:tcPr>
            <w:tcW w:w="1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372,454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restricted</w:t>
              <w:br/>
              <w:t>  stock unit awards, net of shares</w:t>
              <w:br/>
              <w:t>  surrendered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treasury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issued, including accruals ($0.13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364,379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restricted</w:t>
              <w:br/>
              <w:t>   stock unit awards, net of shares</w:t>
              <w:br/>
              <w:t>   surrendered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issued, including accruals ($0.13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373,702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96"/>
        <w:gridCol w:w="946"/>
        <w:gridCol w:w="262"/>
        <w:gridCol w:w="918"/>
        <w:gridCol w:w="206"/>
        <w:gridCol w:w="181"/>
        <w:gridCol w:w="262"/>
        <w:gridCol w:w="918"/>
        <w:gridCol w:w="1016"/>
      </w:tblGrid>
      <w:tr>
        <w:trPr/>
        <w:tc>
          <w:tcPr>
            <w:tcW w:w="54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income/(loss)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income/(loss) to net cash used in</w:t>
              <w:br/>
              <w:t>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8,436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sale/disposition of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Stock-based compensation expense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1,892</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sublease income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net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receivable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14,559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Inventories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(13,257</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Prepaid expenses and other 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(2,781</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Income taxes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Accounts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payroll and incentives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(8,619</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(1,371</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profit sharing</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expenses and deferred revenue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(1,988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Accrued warranty</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Other non-current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754</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operating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(8,846</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marketable securities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(1,456</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marketable securities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patents and software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property and equipment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to acquire property and equipment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(11,929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(4,291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used in investing activities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(13,237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(7,464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loans and notes payable</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20,000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loans and notes payable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on finance lease obligation</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Dividend distribution</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(5,961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(5,855</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employee withholding tax related to restricted stock units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9"/>
              </w:rPr>
            </w:pPr>
            <w:r>
              <w:rPr>
                <w:rFonts w:ascii="Times New Roman" w:hAnsi="Times New Roman"/>
                <w:color w:val="000000"/>
                <w:sz w:val="19"/>
              </w:rPr>
              <w:t>Net cash provided by financing activities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12,592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8,307</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decrease in cash and cash equivalents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(9,491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(7,267</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28,190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25,231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18,699</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17,964</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Supplemental disclosure of cash flow information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Interest, net of amounts capitalized</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1,288</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 (Continued)</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Disclosure of Non-cash Investing and Financing Activities:</w:t>
      </w:r>
    </w:p>
    <w:p>
      <w:pPr>
        <w:pStyle w:val="TextBody"/>
        <w:bidi w:val="0"/>
        <w:jc w:val="both"/>
        <w:rPr/>
      </w:pPr>
      <w:r>
        <w:rPr/>
        <w:t> </w:t>
      </w:r>
    </w:p>
    <w:tbl>
      <w:tblPr>
        <w:tblW w:w="8884" w:type="dxa"/>
        <w:jc w:val="left"/>
        <w:tblInd w:w="0" w:type="dxa"/>
        <w:tblLayout w:type="fixed"/>
        <w:tblCellMar>
          <w:top w:w="28" w:type="dxa"/>
          <w:left w:w="28" w:type="dxa"/>
          <w:bottom w:w="28" w:type="dxa"/>
          <w:right w:w="28" w:type="dxa"/>
        </w:tblCellMar>
      </w:tblPr>
      <w:tblGrid>
        <w:gridCol w:w="5731"/>
        <w:gridCol w:w="146"/>
        <w:gridCol w:w="320"/>
        <w:gridCol w:w="867"/>
        <w:gridCol w:w="221"/>
        <w:gridCol w:w="221"/>
        <w:gridCol w:w="320"/>
        <w:gridCol w:w="867"/>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 lease included in accrued expenses and finance lease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Disclosure of Cash Paid for Income Taxes:</w:t>
      </w:r>
    </w:p>
    <w:p>
      <w:pPr>
        <w:pStyle w:val="TextBody"/>
        <w:bidi w:val="0"/>
        <w:jc w:val="both"/>
        <w:rPr/>
      </w:pPr>
      <w:r>
        <w:rPr/>
        <w:t> </w:t>
      </w:r>
    </w:p>
    <w:tbl>
      <w:tblPr>
        <w:tblW w:w="7356" w:type="dxa"/>
        <w:jc w:val="left"/>
        <w:tblInd w:w="0" w:type="dxa"/>
        <w:tblLayout w:type="fixed"/>
        <w:tblCellMar>
          <w:top w:w="28" w:type="dxa"/>
          <w:left w:w="28" w:type="dxa"/>
          <w:bottom w:w="28" w:type="dxa"/>
          <w:right w:w="28" w:type="dxa"/>
        </w:tblCellMar>
      </w:tblPr>
      <w:tblGrid>
        <w:gridCol w:w="4201"/>
        <w:gridCol w:w="146"/>
        <w:gridCol w:w="362"/>
        <w:gridCol w:w="778"/>
        <w:gridCol w:w="269"/>
        <w:gridCol w:w="269"/>
        <w:gridCol w:w="362"/>
        <w:gridCol w:w="778"/>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paid during the period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Interim Financial Information </w:t>
      </w:r>
      <w:r>
        <w:rPr>
          <w:rFonts w:ascii="Times New Roman" w:hAnsi="Times New Roman"/>
          <w:color w:val="000000"/>
          <w:sz w:val="20"/>
        </w:rPr>
        <w:t>— The condensed consolidated balance sheet as of July 31, 2026, the condensed consolidated statements of operations for the three months ended July 31, 2026 and 2025, the condensed consolidated statements of changes in stockholders’ equity for the three months ended July 31, 2026 and 2025, and the condensed consolidated statements of cash flows for the three months ended July 31, 2026 and 2025 have been prepared by us without audit. In our opinion, all adjustments, which include only normal recurring adjustments necessary to fairly present the financial position, results of operations, changes in stockholders’ equity, and cash flows for the three months ended July 31, 2026 and for the periods presented, have been included. All intercompany transactions have been eliminated in consolidation. The condensed consolidated balance sheet as of April 30, 2026 has been derived from our audited consolidated financial statements.</w:t>
      </w:r>
    </w:p>
    <w:p>
      <w:pPr>
        <w:pStyle w:val="TextBody"/>
        <w:bidi w:val="0"/>
        <w:spacing w:before="240" w:after="283"/>
        <w:jc w:val="both"/>
        <w:rPr>
          <w:rFonts w:ascii="Times New Roman" w:hAnsi="Times New Roman"/>
          <w:sz w:val="16"/>
        </w:rPr>
      </w:pPr>
      <w:r>
        <w:rPr>
          <w:rFonts w:ascii="Times New Roman" w:hAnsi="Times New Roman"/>
          <w:color w:val="000000"/>
          <w:sz w:val="20"/>
        </w:rPr>
        <w:t>Certain information and footnote disclosures normally included in financial statements prepared in accordance with accounting principles generally accepted in the United States, or GAAP, have been condensed or omitted. These condensed consolidated financial statements should be read in conjunction with the consolidated financial statements and notes thereto included in our Fiscal 2026 Form 10-K. The results of operations for the three months ended July 31, 2026</w:t>
      </w:r>
      <w:r>
        <w:rPr>
          <w:rFonts w:ascii="Times New Roman" w:hAnsi="Times New Roman"/>
          <w:color w:val="000000"/>
          <w:sz w:val="16"/>
        </w:rPr>
        <w:t xml:space="preserve"> </w:t>
      </w:r>
      <w:r>
        <w:rPr>
          <w:rFonts w:ascii="Times New Roman" w:hAnsi="Times New Roman"/>
          <w:color w:val="000000"/>
          <w:sz w:val="20"/>
        </w:rPr>
        <w:t>may</w:t>
      </w:r>
      <w:r>
        <w:rPr>
          <w:rFonts w:ascii="Times New Roman" w:hAnsi="Times New Roman"/>
          <w:color w:val="000000"/>
          <w:sz w:val="16"/>
        </w:rPr>
        <w:t xml:space="preserve"> </w:t>
      </w:r>
      <w:r>
        <w:rPr>
          <w:rFonts w:ascii="Times New Roman" w:hAnsi="Times New Roman"/>
          <w:color w:val="000000"/>
          <w:sz w:val="20"/>
        </w:rPr>
        <w:t>not be indicative of the results that may be expected for the fiscal year ending April 30, 2027, or any other period.</w:t>
      </w:r>
    </w:p>
    <w:p>
      <w:pPr>
        <w:pStyle w:val="TextBody"/>
        <w:bidi w:val="0"/>
        <w:spacing w:before="240" w:after="160"/>
        <w:jc w:val="both"/>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 Marketable securities are defined as equity investments that are highly liquid and can be readily purchased or sold through established markets. As of July 31, 2026, we had marketable securities of $6.5 million, comprised of exchange-traded and mutual funds. These investments are reported at fair value on our condensed consolidated balance sheets, with the related unrealized gains and losses recorded in other income, net on our condensed consolidated statements of operations. Net unrealized gains and losses recognized on our marketable securities during the three months ended July 31, 2026 and 2025 totaled $77,000 and $51,000, respectively, all of which related to securities that we continued to hold as of July 31, 2026.</w:t>
      </w:r>
    </w:p>
    <w:p>
      <w:pPr>
        <w:pStyle w:val="TextBody"/>
        <w:bidi w:val="0"/>
        <w:spacing w:before="80" w:after="160"/>
        <w:jc w:val="both"/>
        <w:rPr>
          <w:rFonts w:ascii="Times New Roman" w:hAnsi="Times New Roman"/>
          <w:sz w:val="20"/>
        </w:rPr>
      </w:pPr>
      <w:r>
        <w:rPr>
          <w:rFonts w:ascii="Times New Roman" w:hAnsi="Times New Roman"/>
          <w:i/>
          <w:color w:val="000000"/>
          <w:sz w:val="20"/>
        </w:rPr>
        <w:t xml:space="preserve">Recently Issued Accounting Standards </w:t>
      </w:r>
      <w:r>
        <w:rPr>
          <w:rFonts w:ascii="Times New Roman" w:hAnsi="Times New Roman"/>
          <w:color w:val="000000"/>
          <w:sz w:val="20"/>
        </w:rPr>
        <w:t>— In November 2024, the FASB issued ASU 2024-03, Disaggregation of Income Statement Expenses,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 the fiscal year ending April 30, 2028 for us. We are currently evaluating the impact that the adoption of this standard will have on our financial disclosures.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Notes and Loans Payable:</w:t>
      </w:r>
    </w:p>
    <w:p>
      <w:pPr>
        <w:pStyle w:val="TextBody"/>
        <w:bidi w:val="0"/>
        <w:spacing w:before="240" w:after="283"/>
        <w:jc w:val="both"/>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 On August 24, 2020, we and certain of our subsidiaries entered into an amended and restated credit agreement, or the Amended 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October 3, 2024, we entered into an amended and restated credit agreement, or the Second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execute certain documents in favor of TD Bank, N.A., as administrative agent, and the lenders party to such documents would have a legal, valid, and enforceable ‎first priority lien on the collateral described therein.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15, 2025, we entered into a first amendment to the Second Amended and Restated Credit Agreement, or the First Amendment. The First Amendment provides for (a) in connection with the calculation of Consolidated Funded Indebtedness (as defined in the Second Amended and Restated Credit Agreement), the exclusion of any Indebtedness (as defined in the Second Amended and Restated Credit Agreement) of the guarantors relating to a particular guaranty; (b) in connection with the calculation of Consolidated Fixed Charge Coverage Ratio (as defined in the Second Amended and Restated Credit Agreement), a one-time exclusion of cash taxes paid by the loan parties during fiscal 2026 in connection with the filing of amended tax returns in fiscal 2026 covering particular periods; and (c) an amendment to the minimum Consolidated Fixed Charge Coverage Ratio for particular measurement periods.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we had $40.0 million of borrowings outstanding on the Revolving Line, bearing interest at a weighted average rate of 5.42%, which is equal to the Adjusted Term SOFR rate plus an applicable margin. The carrying value of our revolving line of credit approximated the fair value as of both July 31, 2026 and April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the redemption or prepayment of other debt, and transactions with affiliates. We are also subject to financial covenants, including a minimum Consolidated Fixed Charge Coverage Ratio and a maximum Adjusted Consolidated Leverage Ratio. As of July 31, 2026, we were compliant with all required financial covenants. </w:t>
      </w:r>
    </w:p>
    <w:p>
      <w:pPr>
        <w:pStyle w:val="TextBody"/>
        <w:bidi w:val="0"/>
        <w:spacing w:before="240" w:after="283"/>
        <w:jc w:val="both"/>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 As of July 31, 2026, we had outstanding letters of credit aggregating $1.5 million.</w:t>
      </w:r>
    </w:p>
    <w:p>
      <w:pPr>
        <w:pStyle w:val="TextBody"/>
        <w:bidi w:val="0"/>
        <w:spacing w:before="360" w:after="283"/>
        <w:jc w:val="both"/>
        <w:rPr>
          <w:rFonts w:ascii="Times New Roman" w:hAnsi="Times New Roman"/>
          <w:sz w:val="20"/>
        </w:rPr>
      </w:pP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follow the provisions of Accounting Standards Codification, or ASC, 820-10, </w:t>
      </w:r>
      <w:r>
        <w:rPr>
          <w:rFonts w:ascii="Times New Roman" w:hAnsi="Times New Roman"/>
          <w:i/>
          <w:color w:val="000000"/>
          <w:sz w:val="20"/>
        </w:rPr>
        <w:t>Fair Value Measurements and Disclosures Topic</w:t>
      </w:r>
      <w:r>
        <w:rPr>
          <w:rFonts w:ascii="Times New Roman" w:hAnsi="Times New Roman"/>
          <w:color w:val="000000"/>
          <w:sz w:val="20"/>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assets and liabilities recorded on the accompanying condensed consolidated balance sheets are categorized based on the inputs to the valuation techniques as follows:</w:t>
      </w:r>
    </w:p>
    <w:p>
      <w:pPr>
        <w:pStyle w:val="TextBody"/>
        <w:bidi w:val="0"/>
        <w:spacing w:before="24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Financial assets and liabilities whose values are based on unadjusted quoted prices for identical assets or liabilities in an active market that we have the ability to access at the measurement date (e.g., active exchange-traded equity securities, listed derivatives, and most U.S. Government and agency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and cash equivalents, which are measured at fair value on a recurring basis, totaled $18.7 million and $28.2 million as of July 31, 2026 and April 30, 2026, respectively. Our marketable securities, which are measured at fair value on a recurring basis, totaled $6.5 million and $5.2 million as of July 31, 2026 and April 30, 2026, respectively. We utilized Level 1 of the value hierarchy to determine the fair values of these assets and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Financial assets and liabilities whose values are based on quoted prices in markets in which trading occurs infrequently or whose values are based on quoted prices of instruments with similar attributes in active markets. Level 2 inputs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quoted prices for identical or similar assets or liabilities in non-active markets (such as corporate and municipal bonds that trade infrequently);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inputs other than quoted prices that are observable for substantially the full term of the asset or liability (such as interest rate and currency swaps);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inputs that are derived principally from or corroborated by observable market data for substantially the full term of the asset or liability (such as certain securities and derivatives).</w:t>
      </w:r>
    </w:p>
    <w:p>
      <w:pPr>
        <w:pStyle w:val="TextBody"/>
        <w:bidi w:val="0"/>
        <w:spacing w:before="24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Financial assets and liabilities whose values are based on prices or valuation techniques that require inputs that are both unobservable and significant to the overall fair value measurement. These inputs reflect our judgments about the assumptions a market participant would use in pricing the asset or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any Level 2 or Level 3 financial assets or liabilities as of July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a summary of inventories, net of reserves, stated at lower of cost or net realizable value, as of July 31, 2026 and April 30, 2026 (in thousands): </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516"/>
        <w:gridCol w:w="146"/>
        <w:gridCol w:w="233"/>
        <w:gridCol w:w="862"/>
        <w:gridCol w:w="146"/>
        <w:gridCol w:w="146"/>
        <w:gridCol w:w="245"/>
        <w:gridCol w:w="910"/>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parts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Accrued Expenses and Deferred Revenue: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other accrued expenses and deferred revenue as of July 31, 2026 and April 30, 2026 (in thousands):</w:t>
      </w:r>
    </w:p>
    <w:tbl>
      <w:tblPr>
        <w:tblW w:w="6660" w:type="dxa"/>
        <w:jc w:val="left"/>
        <w:tblInd w:w="0" w:type="dxa"/>
        <w:tblLayout w:type="fixed"/>
        <w:tblCellMar>
          <w:top w:w="28" w:type="dxa"/>
          <w:left w:w="28" w:type="dxa"/>
          <w:bottom w:w="28" w:type="dxa"/>
          <w:right w:w="28" w:type="dxa"/>
        </w:tblCellMar>
      </w:tblPr>
      <w:tblGrid>
        <w:gridCol w:w="3781"/>
        <w:gridCol w:w="146"/>
        <w:gridCol w:w="260"/>
        <w:gridCol w:w="835"/>
        <w:gridCol w:w="146"/>
        <w:gridCol w:w="146"/>
        <w:gridCol w:w="274"/>
        <w:gridCol w:w="88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customer incentives and promotions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 other than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finance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Treasury Stock</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September 20, 2025, we had repurchased 312,310 shares of our common stock for $4.1 million under the 2024 Authorization. The 2024 Authorization expired on September 20, 2025. On September 15, 2025, our Board of Directors authorized the repurchase of up to $50.0 million of our common stock, subject to certain conditions, in the open market or in privately negotiated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transactions from September 21, 2025 through September 21, 2026, or the 2025 Authorization. We have not had any repurchases of our common stock under the 2025 Authorization.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months ended July 31, 2026 and 2025, there were no common stock repurchases.</w:t>
      </w:r>
    </w:p>
    <w:p>
      <w:pPr>
        <w:pStyle w:val="TextBody"/>
        <w:bidi w:val="0"/>
        <w:jc w:val="both"/>
        <w:rPr>
          <w:rFonts w:ascii="Times New Roman" w:hAnsi="Times New Roman"/>
          <w:sz w:val="20"/>
        </w:rPr>
      </w:pPr>
      <w:r>
        <w:rPr>
          <w:rFonts w:ascii="Times New Roman" w:hAnsi="Times New Roman"/>
          <w:i/>
          <w:color w:val="000000"/>
          <w:sz w:val="20"/>
        </w:rPr>
        <w:t>Earnings per Share</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provides a reconciliation of the net income/(loss) amounts and weighted average number of common and common equivalent shares used to determine basic and diluted earnings per common share for the three months ended July 31, 2026 and 2025 (in thousands, except per share data):</w:t>
      </w:r>
    </w:p>
    <w:tbl>
      <w:tblPr>
        <w:tblW w:w="8881" w:type="dxa"/>
        <w:jc w:val="left"/>
        <w:tblInd w:w="0" w:type="dxa"/>
        <w:tblLayout w:type="fixed"/>
        <w:tblCellMar>
          <w:top w:w="28" w:type="dxa"/>
          <w:left w:w="28" w:type="dxa"/>
          <w:bottom w:w="28" w:type="dxa"/>
          <w:right w:w="28" w:type="dxa"/>
        </w:tblCellMar>
      </w:tblPr>
      <w:tblGrid>
        <w:gridCol w:w="2281"/>
        <w:gridCol w:w="196"/>
        <w:gridCol w:w="146"/>
        <w:gridCol w:w="511"/>
        <w:gridCol w:w="146"/>
        <w:gridCol w:w="146"/>
        <w:gridCol w:w="146"/>
        <w:gridCol w:w="601"/>
        <w:gridCol w:w="146"/>
        <w:gridCol w:w="146"/>
        <w:gridCol w:w="212"/>
        <w:gridCol w:w="158"/>
        <w:gridCol w:w="455"/>
        <w:gridCol w:w="146"/>
        <w:gridCol w:w="146"/>
        <w:gridCol w:w="196"/>
        <w:gridCol w:w="146"/>
        <w:gridCol w:w="571"/>
        <w:gridCol w:w="166"/>
        <w:gridCol w:w="146"/>
        <w:gridCol w:w="146"/>
        <w:gridCol w:w="601"/>
        <w:gridCol w:w="146"/>
        <w:gridCol w:w="146"/>
        <w:gridCol w:w="196"/>
        <w:gridCol w:w="146"/>
        <w:gridCol w:w="482"/>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dilutive stock awards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45,476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44,262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For the three months ended July 31, 2026, there were 10,398 shares excluded from the computation of diluted earnings because the effect would be antidilutive. For the three months ended July 31, 2025, there were no shares excluded from the computation of diluted earnings per share as a result of the net loss for the period.</w:t>
      </w:r>
    </w:p>
    <w:p>
      <w:pPr>
        <w:pStyle w:val="TextBody"/>
        <w:bidi w:val="0"/>
        <w:jc w:val="both"/>
        <w:rPr>
          <w:rFonts w:ascii="Times New Roman" w:hAnsi="Times New Roman"/>
          <w:sz w:val="20"/>
        </w:rPr>
      </w:pPr>
      <w:r>
        <w:rPr>
          <w:rFonts w:ascii="Times New Roman" w:hAnsi="Times New Roman"/>
          <w:i/>
          <w:color w:val="000000"/>
          <w:sz w:val="20"/>
        </w:rPr>
        <w:t>Incentive Stock and Employee Stock Purchase Plans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two stock incentive plans: the 2013 Incentive Stock Plan and the 2022 Incentive Stock Plan, or, together, the Incentive Stock Plans, under which employees and non-employees may have been granted (in the case of the 2013 Incentive Stock Plan), or may be granted (in the case of the 2022 Incentive Stock Plan)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an Employee Stock Purchase Plan, or the ESPP, under which each participant is granted an option to purchase our common stock at a discount on each subsequent exercise date during the offering period (as such terms are defined in the ESPP) in accordance with the terms of the ESPP.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stock-based compensation expense, including purchases under our ESPP and grants of RSUs and performance-based RSUs, or PSUs, under the Incentive Stock Plans, was $1.8 million and $1.9 million for the three months ended July 31, 2026 and 2025, respectively. We include stock-based compensation expense in cost of sales, sales, marketing, and distribution, research and development, and general and administrative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grant RSUs to employees and non-employee members of our Board of Directors. The awards are made at no cost to the recipient. An RSU represents the right to receive one share of our common stock and does not carry voting or dividend rights. Except in specific circumstances, RSU grants to employees prior to fiscal 2026 vest over a period of four years and RSU grants to employees during fiscal 2026 vest over a period of three years with one-fourth and one-third, respectively, of the units vesting on each grant anniversary date. We amortize the aggregate fair value of our RSU grants to compensation expense over the vesting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grant PSUs to our executive officers and, from time to time, certain management employees who are not executive officers. The PSUs vest, and the fair value of such PSUs will be recognized, over the corresponding three-year performance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three months ended July 31, 2026, we granted an aggregate of 345,845 RSUs, including 185,047 RSUs to non-executive officer employees and 160,798 RSUs to our executive officers. During the three months ended July 31, 2026, we granted 160,795 PSUs to certain of our executive officers. During the three months ended July 31, 2026, we cancelled 155,737 PSUs as a result of the failure to satisfy the performance metrics. During the three months ended July 31, 2026, we cancelled 7,509 RSUs as a result of the service conditions not being met. In connection with the vesting of RSUs, during the three months ended July 31, 2026, we delivered common stock to our employees (including our executive officers), former employees, and directors, with a total market value of $4.9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months ended July 31, 2025, we granted an aggregate of 514,952 RSUs, including 277,258 RSUs to non-executive officer employees and 237,694 RSUs to our executive officers. During the three months ended July 31, 2025, we granted 237,691 PSUs to certain of our executive officers. During the three months ended July 31, 2025, we cancelled 108,736 PSUs as a result of the failure to satisfy the performance metrics. During the three months ended July 31, 2025, we cancelled 6,557 RSUs as a result of the service conditions not being met. In connection with the vesting of RSUs, during the three months ended July 31, 2025, we delivered common stock to our employees (including our executive officers), former employees, and directors, with a total market value of $2.8 million.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 summary of activity for unvested RSUs and PSUs for the three months ended July 31, 2026 and 2025 is as follows:</w:t>
      </w:r>
    </w:p>
    <w:tbl>
      <w:tblPr>
        <w:tblW w:w="9554" w:type="dxa"/>
        <w:jc w:val="left"/>
        <w:tblInd w:w="0" w:type="dxa"/>
        <w:tblLayout w:type="fixed"/>
        <w:tblCellMar>
          <w:top w:w="28" w:type="dxa"/>
          <w:left w:w="28" w:type="dxa"/>
          <w:bottom w:w="28" w:type="dxa"/>
          <w:right w:w="28" w:type="dxa"/>
        </w:tblCellMar>
      </w:tblPr>
      <w:tblGrid>
        <w:gridCol w:w="4111"/>
        <w:gridCol w:w="146"/>
        <w:gridCol w:w="146"/>
        <w:gridCol w:w="931"/>
        <w:gridCol w:w="166"/>
        <w:gridCol w:w="146"/>
        <w:gridCol w:w="254"/>
        <w:gridCol w:w="691"/>
        <w:gridCol w:w="146"/>
        <w:gridCol w:w="146"/>
        <w:gridCol w:w="146"/>
        <w:gridCol w:w="931"/>
        <w:gridCol w:w="166"/>
        <w:gridCol w:w="146"/>
        <w:gridCol w:w="146"/>
        <w:gridCol w:w="254"/>
        <w:gridCol w:w="69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 outstanding,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July 31, 2026, there was $9.0 million of unrecognized compensation expense related to unvested RSUs and PSUs. This expense is expected to be recognized over a weighted average remaining contractual term of 1.6 years. </w:t>
      </w:r>
    </w:p>
    <w:p>
      <w:pPr>
        <w:pStyle w:val="TextBody"/>
        <w:bidi w:val="0"/>
        <w:spacing w:before="360" w:after="283"/>
        <w:jc w:val="both"/>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2018, Gemini Technologies, Incorporated, or Gemini, commenced an action against us in the U.S. District Court for the District of Idaho.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 later amended their complaint to add a claim of fraud in the inducement. In September 2021, Gemini filed a motion for summary judgment seeking to dismiss our counterclaim, which motion was denied by the district court in June 2022. Gemini later filed a second motion for summary judgment, and in August 2023, the district court again denied the motion. In November 2023, we entered into a settlement agreement with plaintiff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August 2025, we filed a motion for summary judgment, and plaintiff filed a motion for leave to file a third amended complaint, seeking to properly name the defendants and to add punitive damages as relief. On January 23, 2026, the district court (i) granted our motion for summary judgment, in part, dismissing with prejudice plaintiff’s fraud in the inducement and breach of the implied covenant of fair dealing claims; (ii) denied our motion for summary judgment, in part, permitting plaintiff’s breach of contract claim to proceed; (iii) denied plaintiffs’ motion to amend the complaint to add punitive damages as relief; and (iv) granted plaintiff’s motion to properly name a successor-in-interest party. On May 12, 2026, the trial court issued an order setting the trial to begin on January 11, 2027. We believe the remaining breach of contract claim has no merit, and we intend to aggressively defend this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defendant in three product liability cases and are aware of four other product liability claims, primarily alleging defective product design, defective manufacturing, or failure to provide adequate warnings.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 grounds that the appeal is premature. In November 2021, the Divisional Court granted plaintiffs’ motion, staying our motion for leave to appeal until 30 days after the decision on the balance of plaintiffs’ certification motion. In March 2024, the court denied the plaintiffs’ motion for class certification. Three appeals were later filed: (1) our appeal from the dismissal of our motion to strike the negligent design claim; (2) the plaintiffs’ appeal from the order striking out their public nuisance and strict liability claims; and (3) the plaintiffs’ appeal from the order dismissing their certification motion. In June 2025, the Court of Appeals for Ontario issued a decision: (1) dismissing our appeal from the dismissal of our motion to strike the negligent design claim; (2) dismissing plaintiffs’ appeal from the order striking out their public nuisance and strict liability claims; and (3) granting plaintiffs’ appeal from the order dismissing their certification order and certifying their negligence claim as a class proceeding. In September 2025, we filed an application with the Supreme Court of Canada, requesting that the court grant leave to appeal the duty of care issue related to our negligent design claim. In October 2025, plaintiffs filed both an opposition to our application seeking leave to appeal the duty of care issue related to our negligent design claim and a cross-appeal of the dismissal of their strict liability and public nuisance claims with the Supreme Court of Canada. On June 25, 2026, the Supreme Court of Canada denied our application for leave and plaintiffs’ cross appeal.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 (1) the Protection of Lawful Commerce in Arms Act barred plaintiffs’ product liability action; (2) plaintiffs did not have standing to maintain an action under the Unfair Competition Law for personal injury related damages, but the court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In December 2024, the court granted our renewed motion for summary judgment, and we later filed a proposed notice of final judgment with the court, requesting the court to enter a final judgment in our favor and to dismiss all claims against us. In February 2025, the court entered the final judgment. In April 2025, plaintiffs filed a notice of appeal with the California Court of Appeal, and, in March 2026, they filed their opening appellate brief. We filed our opposition brief in May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the Illinois Consumer Fraud and Deceptive Business Practices Act, negligent and intentional infliction of emotional distress, and negligent entrustment. We were also named in 13 additional separate cases against us in the same state court during the same time period, largely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similar allegations against us as in the initial and amended complaints. In July 2024, the trial court consolidated all cases for purposes of motions to dismiss and discovery. In September 2024, we filed our motions to dismiss plaintiffs’ 25 separate complaints. In April 2025, the court granted our motion to dismiss without prejudice with respect to plaintiffs’ counts for violation of the Illinois Consumer Fraud and Deceptive Business Practices Act for lack of standing (with respect to the deceptive claims only) and negligent entrustment and denied all remaining counts. Later in April 2025, we filed a motion to certify issues for interlocutory appeal with the trial court. In May 2025, the court ordered an expedited briefing schedule for the motion and stayed discovery. In June 2025, the court certified several issues for interlocutory appeal, lifted the discovery stay, and scheduled a status conference. We also filed our answers to plaintiffs' complaints. In July 2025, we filed an application for interlocutory appeal with the Court of Appeal. In September 2025, the Court of Appeal denied our application. We filed a petition for leave for an interlocutory appeal to the Illinois Supreme Court in October 2025. On January 28, 2026, the Illinois Supreme Court issued an order directing the Court of Appeal to accept our application for interlocutory appeal. On April 9, 2026, we filed our opening brief with the Court of Appeal, and the appeal was fully briefed on July 10, 2026. On July 29, 2026, the trial court consolidated two cases for trial purposes and scheduled the trial of these cases for January 24, 2028. Discovery is ongoing.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 In July 2025, the U.S. Court of Appeals for the Second Circuit ruled against NSSF in the NSSF v. James appeal. Defendants filed a joint motion to dismiss in September 2025. On January 22, 2026, the Cities of Buffalo and Rochester filed amended complaints against us and three other manufacturers. The complaints state claims for violation of New York General Business Law 898-b(2) and common law public nuisance. Plaintiffs seek injunctive relief, compensatory and punitive/exemplary damages, costs, and interest. On March 23, 2026, defendants filed a motion to dismiss the amended complaint.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various allegations described above are unfounded, and, in addition, that any incident and any results from them or any injuries were due to negligence or misuse of the firearm by the claimant or a third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from time to time, we are involved in lawsuits, claims, investigations, and proceedings, including commercial, environmental, premises, and employment matters, which arise in the ordinary course of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involved in a putative stockholder derivative lawsuit filed in February 2025 in the U.S. District Court for the District of Nevada. The action was brought by plaintiffs seeking to act on our behalf against our directors and certain of our executive officers. The complaint alleges a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Exchange Act. The derivative plaintiffs seek, among other things, damages, as well as reforms and improvements to our compliance procedures and governance policies. In May 2025, we filed a motion to dismiss plaintiffs’ complaint. On March 23, 2026, the district court (i) granted our motion to dismiss without prejudice, (ii) ordered that, if plaintiffs sought to amend their complaint, they must do so within 21 days of the court’s order, and (iii) ordered that plaintiffs must post a $500,000 bond security within 14 days of the court’s order and failure to post the bond would result in the action being dismissed without prejudice. Plaintiffs did not amend their complaint or post the bond pursuant to the court’s order. On April 17, 2026, plaintiffs filed a motion for reconsideration, requesting the court to reconsider the dismissal of the case and the imposition of the bond. On May 15, 2026, we filed our opposition to plaintiffs’ motion for reconsideration, and, on May 27, 2026, plaintiffs filed their reply.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were named in a putative class action lawsuit filed in April 2025 in the U.S. District for the Northern District of California. The complaint alleges violation of the California Invasion of Privacy Act, or CIPA,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on our website,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 In May 2025, we filed a motion to dismiss the complaint. On February 17, 2026, the court: (a) granted, in part, our motion to dismiss, dismissing with leave to amend plaintiffs’ CIPA, common law fraud (for one named-plaintiff), breach of contract, breach of implied covenant of good faith and fair dealing, and trespass to chattels claims; and (b) denied, in part, our motion to dismiss, permitting plaintiffs’ intrusion upon seclusion, invasion of privacy, common law fraud (for certain named-plaintiffs), and unjust enrichment claims to proceed. On March 17, 2026, plaintiffs filed a first amended complaint, removing the breach of contract, breach of implied covenant of good faith and fair dealing, and trespass to chattels claims and attempting to cure the pleading deficiencies the court identified with the CIPA claims. On March 31, 2026, we filed a motion to dismiss the amended complaint. The parties are engaged in discovery.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this time, an estimated range of reasonably possible additional losses relating to unfavorable outcomes cannot be made.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moving our headquarters and significant elements of our operations to Maryville, Tennessee in 2023, or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 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Relocation, we entered into an accountability agreement, or the Accountability Agreement, with the Tennessee Department of Economic and Community Development and the Blount Partnership economic development organization. Pursuant to the Accountability Agreement, the Blount Partnership received a grant in the amount of $9.0 million, which was paid to us pursuant to a grant contract. Among other performance requirements in the Accountability Agreement, we committed to create and maintain 750 new jobs at the facility, with compliance based on the average number of full-time jobs at the facility on three test dates: January 1, 2027, January 1, 2028, and January 1, 2029, or the Compliance Period. In the event that the three-year average number of full-time jobs during the Compliance Period equals or exceeds 90% of the 750-job commitment, no recapture payment will be required. If the three-year average number of full-time jobs during the Compliance Period is less than 90% of the committed number, but greater than 50% of such number, we will be required to make a recapture payment equal to the percentage of full-time jobs at the facility below the 750 jobs committed, times the grant amount. If the three-year average number of full-time jobs during the Compliance Period is less than 50% of the committed number, we will be required to make a recapture payment equal to the full amount of the grant. The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SMITH &amp; WESSON BRANDS, INC.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July 31, 2026 and 2025</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would be made on a one-time basis and due no later than 45 days after the state’s demand, which would likely be in the second calendar quarter of 2029, if required.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operate our business as one operating segment, which also represents one reportable segment: firearms. Therefore, our operating results are reported on a consolidated basis for purposes of segment reporting, consistent with internal management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firearms segment is engaged in the design, manufacture, and sale of a variety of firearms and firearm-related products. Our Chief Executive Officer has been identified as the chief operating decision maker, or CODM. The CODM manages and allocates resources on a consolidated basis. The determination of a single segment is consistent with the financial information regularly reviewed by the CODM for purposes of evaluating our performance and allocating resources, which is reviewed on a consolidated basis.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our CODM evaluates the financial performance of our firearms segment on a consolidated basis, the measure of segment performance is net income, as reflected in our consolidated statements of operations. The CODM uses net income to allocate resources on a consolidated basis, which enables the CODM to assess both the overall level of resources available and to optimize the distribution of resources in line with our long-term strategic goals. Our segment net sales, segment significant expenses, and segment profit, as provided to the CODM, align to the captions presented on our consolidated statements of operations. As we manage our assets on a consolidated basis, the measure of segment assets is total assets, as reflected in the consolidated balance sheets.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additional segment information not already disclosed elsewhere (in thousands):</w:t>
      </w:r>
    </w:p>
    <w:tbl>
      <w:tblPr>
        <w:tblW w:w="4947" w:type="dxa"/>
        <w:jc w:val="left"/>
        <w:tblInd w:w="0" w:type="dxa"/>
        <w:tblLayout w:type="fixed"/>
        <w:tblCellMar>
          <w:top w:w="28" w:type="dxa"/>
          <w:left w:w="28" w:type="dxa"/>
          <w:bottom w:w="28" w:type="dxa"/>
          <w:right w:w="28" w:type="dxa"/>
        </w:tblCellMar>
      </w:tblPr>
      <w:tblGrid>
        <w:gridCol w:w="1771"/>
        <w:gridCol w:w="146"/>
        <w:gridCol w:w="322"/>
        <w:gridCol w:w="735"/>
        <w:gridCol w:w="253"/>
        <w:gridCol w:w="223"/>
        <w:gridCol w:w="322"/>
        <w:gridCol w:w="964"/>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July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8" w:name="item_2_managements_discussion"/>
      <w:bookmarkEnd w:id="8"/>
      <w:r>
        <w:rPr>
          <w:rFonts w:ascii="Times New Roman" w:hAnsi="Times New Roman"/>
          <w:b/>
          <w:color w:val="000000"/>
          <w:sz w:val="20"/>
        </w:rPr>
        <w:t xml:space="preserve">Item 2. </w:t>
      </w:r>
      <w:r>
        <w:rPr>
          <w:rFonts w:ascii="Times New Roman" w:hAnsi="Times New Roman"/>
          <w:b/>
          <w:i/>
          <w:color w:val="000000"/>
          <w:sz w:val="20"/>
        </w:rPr>
        <w:t>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Please refer to the Management’s Discussion and Analysis of Financial Condition and Results of Operations in our Fiscal 2026 Annual Report and our unaudited condensed consolidated financial statements included in Item 1 of this Quarterly Report on Form 10-Q. This section sets forth key objectives and performance indicators used by us as well as key industry data tracked by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section generally discusses year-to-year comparisons between the three months ended July 31, 2026 and 2025. A discussion of our results of operations, liquidity, and capital resources for the three months ended July 31, 2025 compared to July 31, 2024 is not included in this Quarterly Report on Form 10-Q and can be found in Item 2, "Management's Discussion and Analysis of Financial Condition and Results of Operations" of our Quarterly Report on Form 10-Q for the quarterly period ended July 31, 2025, filed with the Securities and Exchange Commission, or the SEC, on September 4,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First Quarter Fiscal 2027 Highlights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for the three months ended July 31, 2026 included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sales were $112.6 million, an increase of $27.5 million, or 32.3%, over the comparable quarter last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Gross margin was 28.7% compared with gross margin of 25.9% for the comparable quarter last year.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income was $2.6 million, or $0.06 per diluted share, compared with a net loss of $3.4 million, or $0.08 per diluted share, for the comparable quarter last year.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Sales and Gross Profit – For the Three Months Ended July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net sales and gross profit for the three months ended July 31, 2026 and 2025 (dollars in thousands): </w:t>
      </w:r>
    </w:p>
    <w:p>
      <w:pPr>
        <w:pStyle w:val="TextBody"/>
        <w:bidi w:val="0"/>
        <w:jc w:val="both"/>
        <w:rPr/>
      </w:pPr>
      <w:r>
        <w:rPr/>
        <w:t> </w:t>
      </w:r>
    </w:p>
    <w:tbl>
      <w:tblPr>
        <w:tblW w:w="7785" w:type="dxa"/>
        <w:jc w:val="left"/>
        <w:tblInd w:w="0" w:type="dxa"/>
        <w:tblLayout w:type="fixed"/>
        <w:tblCellMar>
          <w:top w:w="28" w:type="dxa"/>
          <w:left w:w="28" w:type="dxa"/>
          <w:bottom w:w="28" w:type="dxa"/>
          <w:right w:w="28" w:type="dxa"/>
        </w:tblCellMar>
      </w:tblPr>
      <w:tblGrid>
        <w:gridCol w:w="2631"/>
        <w:gridCol w:w="346"/>
        <w:gridCol w:w="211"/>
        <w:gridCol w:w="781"/>
        <w:gridCol w:w="271"/>
        <w:gridCol w:w="146"/>
        <w:gridCol w:w="211"/>
        <w:gridCol w:w="676"/>
        <w:gridCol w:w="271"/>
        <w:gridCol w:w="146"/>
        <w:gridCol w:w="211"/>
        <w:gridCol w:w="676"/>
        <w:gridCol w:w="146"/>
        <w:gridCol w:w="146"/>
        <w:gridCol w:w="916"/>
      </w:tblGrid>
      <w:tr>
        <w:trPr/>
        <w:tc>
          <w:tcPr>
            <w:tcW w:w="2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29.0%</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49.9%</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products &amp;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29.0%</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27.5%</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46.2%</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 (gross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sets forth certain information regarding firearm units shipped by trade channel for the three months ended July 31, 2026 and 2025 (units in thousands):</w:t>
      </w:r>
    </w:p>
    <w:p>
      <w:pPr>
        <w:pStyle w:val="TextBody"/>
        <w:bidi w:val="0"/>
        <w:jc w:val="both"/>
        <w:rPr/>
      </w:pPr>
      <w:r>
        <w:rPr/>
        <w:t> </w:t>
      </w:r>
    </w:p>
    <w:tbl>
      <w:tblPr>
        <w:tblW w:w="6809" w:type="dxa"/>
        <w:jc w:val="left"/>
        <w:tblInd w:w="0" w:type="dxa"/>
        <w:tblLayout w:type="fixed"/>
        <w:tblCellMar>
          <w:top w:w="28" w:type="dxa"/>
          <w:left w:w="28" w:type="dxa"/>
          <w:bottom w:w="28" w:type="dxa"/>
          <w:right w:w="28" w:type="dxa"/>
        </w:tblCellMar>
      </w:tblPr>
      <w:tblGrid>
        <w:gridCol w:w="2941"/>
        <w:gridCol w:w="146"/>
        <w:gridCol w:w="146"/>
        <w:gridCol w:w="421"/>
        <w:gridCol w:w="146"/>
        <w:gridCol w:w="146"/>
        <w:gridCol w:w="146"/>
        <w:gridCol w:w="421"/>
        <w:gridCol w:w="146"/>
        <w:gridCol w:w="146"/>
        <w:gridCol w:w="251"/>
        <w:gridCol w:w="545"/>
        <w:gridCol w:w="146"/>
        <w:gridCol w:w="146"/>
        <w:gridCol w:w="91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18.6%</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26.9%</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Sporting Goods Channel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16.7%</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Professional Channel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Handguns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45.5%</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guns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66.7%</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Sales of our handguns increased $18.8 million, or 29.0%, over the comparable quarter last year, primarily as a result of higher consumer demand, a shift in product mix to higher priced models, increased shipments of newly introduced products (defined as any new SKU not shipped in the comparable period last year), and a 2% to 3% price increase on select products that became effective on January 1, 2026. Shipments of new products represented 43.1% of handgun sales in the quarter. Handgun unit shipments into the sporting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goods channel increased by 16.7% over the comparable quarter last year while overall demand for handguns increased by 4.7% (as indicated by adjusted background checks reported in the National Instant Criminal Background Check System, or NICS).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Sales of our long guns increased $6.8 million, or 49.9%, over the comparable quarter last year, primarily as a result of higher consumer demand during the period and a shift in product mix to higher priced models. Shipments of new products represented 17.6% of long gun sales in the period. Long gun unit shipments into the sporting goods channel increased by 21.7% from the comparable quarter last year while overall demand for long guns increased by 10.1% (as indicated by NICS).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products and services revenue increased $1.9 million, or 29.0%, over the comparable quarter last year, primarily because of higher parts and suppressor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Newly introduced products represented 35.3% of overall net sales for the three months ended July 31, 2026 and included one new pistol, one new long gun, and many new product line extensions.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Gross margin for the three months ended July 31, 2026 was 28.7% compared with 25.9% for the comparable quarter last year, primarily driven by $2.9 million in International Emergency Economic Powers Act tariff refunds received under the U.S. Customs and Border Protection's refund process. These refunds favorably impacted gross margin by approximately 260 basis points and represented a non-recurring benefit. Excluding the impact of tariff refunds, gross margin for the three months ended July 31, 2026 was 26.1%. Gross margin was also favorably impacted by fixed-cost absorption from higher production volumes, partially offset by higher labor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Inventory balances increased $24.4 million between April 30, 2026 and July 31, 2026 as a result of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build through the second quarter of fiscal 2027 and then decline during the remainder of the fiscal year.</w:t>
      </w:r>
    </w:p>
    <w:p>
      <w:pPr>
        <w:pStyle w:val="TextBody"/>
        <w:bidi w:val="0"/>
        <w:spacing w:before="240" w:after="283"/>
        <w:jc w:val="both"/>
        <w:rPr>
          <w:rFonts w:ascii="Times New Roman" w:hAnsi="Times New Roman"/>
          <w:b/>
          <w:i/>
          <w:color w:val="161616"/>
          <w:sz w:val="20"/>
        </w:rPr>
      </w:pPr>
      <w:r>
        <w:rPr>
          <w:rFonts w:ascii="Times New Roman" w:hAnsi="Times New Roman"/>
          <w:b/>
          <w:i/>
          <w:color w:val="161616"/>
          <w:sz w:val="20"/>
        </w:rPr>
        <w:t>Operating Expenses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operating expenses for the three months ended July 31, 2026 and 2025 (dollars in thousands):</w:t>
      </w:r>
    </w:p>
    <w:tbl>
      <w:tblPr>
        <w:tblW w:w="8465" w:type="dxa"/>
        <w:jc w:val="left"/>
        <w:tblInd w:w="0" w:type="dxa"/>
        <w:tblLayout w:type="fixed"/>
        <w:tblCellMar>
          <w:top w:w="28" w:type="dxa"/>
          <w:left w:w="28" w:type="dxa"/>
          <w:bottom w:w="28" w:type="dxa"/>
          <w:right w:w="28" w:type="dxa"/>
        </w:tblCellMar>
      </w:tblPr>
      <w:tblGrid>
        <w:gridCol w:w="3016"/>
        <w:gridCol w:w="346"/>
        <w:gridCol w:w="211"/>
        <w:gridCol w:w="676"/>
        <w:gridCol w:w="271"/>
        <w:gridCol w:w="146"/>
        <w:gridCol w:w="211"/>
        <w:gridCol w:w="676"/>
        <w:gridCol w:w="271"/>
        <w:gridCol w:w="146"/>
        <w:gridCol w:w="214"/>
        <w:gridCol w:w="582"/>
        <w:gridCol w:w="166"/>
        <w:gridCol w:w="146"/>
        <w:gridCol w:w="189"/>
        <w:gridCol w:w="682"/>
        <w:gridCol w:w="516"/>
      </w:tblGrid>
      <w:tr>
        <w:trPr/>
        <w:tc>
          <w:tcPr>
            <w:tcW w:w="30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marketing, and distribution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sale/disposition of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decreased $450,000 from the prior year comparable quarter primarily because of higher tooling costs in the prior year period, partially offset by higher compensation-related costs. Selling, marketing, and distribution expenses increased $1.4 million, primarily as a result of higher volume-related costs, including cooperative advertising and freight. General and administrative expenses increased $2.0 million over the prior year comparable quarter, primarily as a result of higher legal costs and profit-related compensation expenses.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Income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operating income for the three months ended July 31, 2026 and 2025 (dollars in thousands):</w:t>
      </w:r>
    </w:p>
    <w:tbl>
      <w:tblPr>
        <w:tblW w:w="8270" w:type="dxa"/>
        <w:jc w:val="left"/>
        <w:tblInd w:w="0" w:type="dxa"/>
        <w:tblLayout w:type="fixed"/>
        <w:tblCellMar>
          <w:top w:w="28" w:type="dxa"/>
          <w:left w:w="28" w:type="dxa"/>
          <w:bottom w:w="28" w:type="dxa"/>
          <w:right w:w="28" w:type="dxa"/>
        </w:tblCellMar>
      </w:tblPr>
      <w:tblGrid>
        <w:gridCol w:w="2991"/>
        <w:gridCol w:w="346"/>
        <w:gridCol w:w="211"/>
        <w:gridCol w:w="571"/>
        <w:gridCol w:w="271"/>
        <w:gridCol w:w="146"/>
        <w:gridCol w:w="211"/>
        <w:gridCol w:w="631"/>
        <w:gridCol w:w="271"/>
        <w:gridCol w:w="146"/>
        <w:gridCol w:w="214"/>
        <w:gridCol w:w="582"/>
        <w:gridCol w:w="146"/>
        <w:gridCol w:w="146"/>
        <w:gridCol w:w="177"/>
        <w:gridCol w:w="694"/>
        <w:gridCol w:w="516"/>
      </w:tblGrid>
      <w:tr>
        <w:trPr/>
        <w:tc>
          <w:tcPr>
            <w:tcW w:w="2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net sales (operating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both"/>
        <w:rPr>
          <w:rFonts w:ascii="Times New Roman" w:hAnsi="Times New Roman"/>
          <w:sz w:val="20"/>
        </w:rPr>
      </w:pPr>
      <w:r>
        <w:rPr>
          <w:rFonts w:ascii="Times New Roman" w:hAnsi="Times New Roman"/>
          <w:color w:val="000000"/>
          <w:sz w:val="20"/>
        </w:rPr>
        <w:t>Operating income for the three months ended July 31, 2026 increased</w:t>
      </w:r>
      <w:r>
        <w:rPr>
          <w:rFonts w:ascii="Times New Roman" w:hAnsi="Times New Roman"/>
          <w:color w:val="161616"/>
          <w:sz w:val="20"/>
        </w:rPr>
        <w:t xml:space="preserve"> </w:t>
      </w:r>
      <w:r>
        <w:rPr>
          <w:rFonts w:ascii="Times New Roman" w:hAnsi="Times New Roman"/>
          <w:color w:val="000000"/>
          <w:sz w:val="20"/>
        </w:rPr>
        <w:t xml:space="preserve">$7.2 million over the comparable quarter last year, </w:t>
      </w:r>
      <w:r>
        <w:rPr>
          <w:rFonts w:ascii="Times New Roman" w:hAnsi="Times New Roman"/>
          <w:color w:val="161616"/>
          <w:sz w:val="20"/>
        </w:rPr>
        <w:t xml:space="preserve">primarily </w:t>
      </w:r>
      <w:r>
        <w:rPr>
          <w:rFonts w:ascii="Times New Roman" w:hAnsi="Times New Roman"/>
          <w:color w:val="000000"/>
          <w:sz w:val="20"/>
        </w:rPr>
        <w:t>for the reasons outlined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The following table sets forth certain information regarding interest expense, net for the three months ended July 31, 2026 and 2025 (dollars in thousands): </w:t>
      </w:r>
    </w:p>
    <w:tbl>
      <w:tblPr>
        <w:tblW w:w="6370" w:type="dxa"/>
        <w:jc w:val="left"/>
        <w:tblInd w:w="0" w:type="dxa"/>
        <w:tblLayout w:type="fixed"/>
        <w:tblCellMar>
          <w:top w:w="28" w:type="dxa"/>
          <w:left w:w="28" w:type="dxa"/>
          <w:bottom w:w="28" w:type="dxa"/>
          <w:right w:w="28" w:type="dxa"/>
        </w:tblCellMar>
      </w:tblPr>
      <w:tblGrid>
        <w:gridCol w:w="1771"/>
        <w:gridCol w:w="146"/>
        <w:gridCol w:w="211"/>
        <w:gridCol w:w="481"/>
        <w:gridCol w:w="166"/>
        <w:gridCol w:w="146"/>
        <w:gridCol w:w="211"/>
        <w:gridCol w:w="631"/>
        <w:gridCol w:w="166"/>
        <w:gridCol w:w="146"/>
        <w:gridCol w:w="242"/>
        <w:gridCol w:w="554"/>
        <w:gridCol w:w="166"/>
        <w:gridCol w:w="146"/>
        <w:gridCol w:w="189"/>
        <w:gridCol w:w="682"/>
        <w:gridCol w:w="316"/>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Interest expense, net decreased by $907,000 from the comparable quarter last year, primarily as a result of lower average debt balances and lower average interest rates on debt during the three months ended July 31, 2026 compared with the comparable quarter last year.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income tax expense for the three months ended July 31, 2026 and 2025 (dollars in thousands):</w:t>
      </w:r>
    </w:p>
    <w:tbl>
      <w:tblPr>
        <w:tblW w:w="9305" w:type="dxa"/>
        <w:jc w:val="left"/>
        <w:tblInd w:w="0" w:type="dxa"/>
        <w:tblLayout w:type="fixed"/>
        <w:tblCellMar>
          <w:top w:w="28" w:type="dxa"/>
          <w:left w:w="28" w:type="dxa"/>
          <w:bottom w:w="28" w:type="dxa"/>
          <w:right w:w="28" w:type="dxa"/>
        </w:tblCellMar>
      </w:tblPr>
      <w:tblGrid>
        <w:gridCol w:w="4176"/>
        <w:gridCol w:w="346"/>
        <w:gridCol w:w="211"/>
        <w:gridCol w:w="571"/>
        <w:gridCol w:w="271"/>
        <w:gridCol w:w="146"/>
        <w:gridCol w:w="211"/>
        <w:gridCol w:w="481"/>
        <w:gridCol w:w="271"/>
        <w:gridCol w:w="146"/>
        <w:gridCol w:w="214"/>
        <w:gridCol w:w="582"/>
        <w:gridCol w:w="146"/>
        <w:gridCol w:w="146"/>
        <w:gridCol w:w="177"/>
        <w:gridCol w:w="694"/>
        <w:gridCol w:w="516"/>
      </w:tblGrid>
      <w:tr>
        <w:trPr/>
        <w:tc>
          <w:tcPr>
            <w:tcW w:w="41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expense/(benefit)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of income from operations (effective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 expense increased $2.1 million from the comparable quarter last year, primarily as a result of higher operating income. Before adjusting for discrete items related to stock-based compensation, the effective tax rate was 28.0% in the current quarter and 33.7% in the prior year comparable quarter. The decrease in the effective tax rate before adjusting for discrete items was primarily due to an increase in forecasted pre-tax income.</w:t>
      </w:r>
    </w:p>
    <w:p>
      <w:pPr>
        <w:pStyle w:val="TextBody"/>
        <w:bidi w:val="0"/>
        <w:spacing w:before="240" w:after="283"/>
        <w:jc w:val="both"/>
        <w:rPr>
          <w:rFonts w:ascii="Times New Roman" w:hAnsi="Times New Roman"/>
          <w:sz w:val="20"/>
        </w:rPr>
      </w:pPr>
      <w:r>
        <w:rPr>
          <w:rFonts w:ascii="Times New Roman" w:hAnsi="Times New Roman"/>
          <w:b/>
          <w:i/>
          <w:color w:val="000000"/>
          <w:sz w:val="20"/>
        </w:rPr>
        <w:t>Net Income/Loss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certain information regarding net income/(loss) and the related per share data for the three months ended July 31, 2026 and 2025 (dollars in thousands, except per share data):</w:t>
      </w:r>
    </w:p>
    <w:tbl>
      <w:tblPr>
        <w:tblW w:w="7420" w:type="dxa"/>
        <w:jc w:val="left"/>
        <w:tblInd w:w="0" w:type="dxa"/>
        <w:tblLayout w:type="fixed"/>
        <w:tblCellMar>
          <w:top w:w="28" w:type="dxa"/>
          <w:left w:w="28" w:type="dxa"/>
          <w:bottom w:w="28" w:type="dxa"/>
          <w:right w:w="28" w:type="dxa"/>
        </w:tblCellMar>
      </w:tblPr>
      <w:tblGrid>
        <w:gridCol w:w="2371"/>
        <w:gridCol w:w="346"/>
        <w:gridCol w:w="211"/>
        <w:gridCol w:w="571"/>
        <w:gridCol w:w="146"/>
        <w:gridCol w:w="146"/>
        <w:gridCol w:w="211"/>
        <w:gridCol w:w="631"/>
        <w:gridCol w:w="166"/>
        <w:gridCol w:w="146"/>
        <w:gridCol w:w="214"/>
        <w:gridCol w:w="582"/>
        <w:gridCol w:w="146"/>
        <w:gridCol w:w="146"/>
        <w:gridCol w:w="163"/>
        <w:gridCol w:w="708"/>
        <w:gridCol w:w="516"/>
      </w:tblGrid>
      <w:tr>
        <w:trPr/>
        <w:tc>
          <w:tcPr>
            <w:tcW w:w="23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Net income for the three months ended July 31, 2026 was $2.6 million</w:t>
      </w:r>
      <w:r>
        <w:rPr>
          <w:rFonts w:ascii="Times New Roman" w:hAnsi="Times New Roman"/>
          <w:color w:val="161616"/>
          <w:sz w:val="20"/>
        </w:rPr>
        <w:t xml:space="preserve"> co</w:t>
      </w:r>
      <w:r>
        <w:rPr>
          <w:rFonts w:ascii="Times New Roman" w:hAnsi="Times New Roman"/>
          <w:color w:val="000000"/>
          <w:sz w:val="20"/>
        </w:rPr>
        <w:t xml:space="preserve">mpared with a net loss of </w:t>
      </w:r>
      <w:r>
        <w:rPr>
          <w:rFonts w:ascii="Times New Roman" w:hAnsi="Times New Roman"/>
          <w:color w:val="161616"/>
          <w:sz w:val="20"/>
        </w:rPr>
        <w:t>$3.4 million</w:t>
      </w:r>
      <w:r>
        <w:rPr>
          <w:rFonts w:ascii="Times New Roman" w:hAnsi="Times New Roman"/>
          <w:color w:val="000000"/>
          <w:sz w:val="20"/>
        </w:rPr>
        <w:t xml:space="preserve"> for the comparable quarter last year for the reasons outlined above.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cash requirements are to finance the growth of our operations, including working capital and capital expenditures, and return capital to stockholders. Capital expenditures for new product development and repair and replacement of equipment represent important cash needs.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certain cash flow information for the three months ended July 31, 2026 and 2025 (dollars in thousands):</w:t>
      </w:r>
    </w:p>
    <w:tbl>
      <w:tblPr>
        <w:tblW w:w="5533" w:type="dxa"/>
        <w:jc w:val="left"/>
        <w:tblInd w:w="0" w:type="dxa"/>
        <w:tblLayout w:type="fixed"/>
        <w:tblCellMar>
          <w:top w:w="28" w:type="dxa"/>
          <w:left w:w="28" w:type="dxa"/>
          <w:bottom w:w="28" w:type="dxa"/>
          <w:right w:w="28" w:type="dxa"/>
        </w:tblCellMar>
      </w:tblPr>
      <w:tblGrid>
        <w:gridCol w:w="1741"/>
        <w:gridCol w:w="146"/>
        <w:gridCol w:w="211"/>
        <w:gridCol w:w="736"/>
        <w:gridCol w:w="166"/>
        <w:gridCol w:w="146"/>
        <w:gridCol w:w="211"/>
        <w:gridCol w:w="631"/>
        <w:gridCol w:w="166"/>
        <w:gridCol w:w="146"/>
        <w:gridCol w:w="211"/>
        <w:gridCol w:w="631"/>
        <w:gridCol w:w="3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was $8.8 million for the three months ended July 31, 2026 compared with cash used in operating activities of $8.1 million for the three months ended July 31, 2025, primarily as a result of a $6.6 million increase in working capital usage, partially offset by higher net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Working capital usage for the three months ended July 31, 2026 was unfavorably impacted by an $11.2 million increase associated with inventory, a $7.2 million increase associated with accrued payroll and incentives, a $4.3 million increase associated with accounts receivable, a $9.5 million reduction associated with accounts payable, and a $2.1 million reduction associated with accrued expenses and deferred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increased $5.8 million for the three months ended July 31, 2026 compared with the prior year period, primarily as a result of a $7.6 million increase in capital expenditures, largely for machinery and equipment to expand capacity and increase operational efficiency.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currently expect to spend $45.0 million to $50.0 million on capital expenditures in fiscal 2027.</w:t>
      </w:r>
    </w:p>
    <w:p>
      <w:pPr>
        <w:pStyle w:val="TextBody"/>
        <w:bidi w:val="0"/>
        <w:spacing w:before="36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financing activities was $12.6 million for the three months ended July 31, 2026 compared with $8.3 million of cash provided by financing activities for the three months ended July 31, 2025. Cash provided by financing activities during the three months ended July 31, 2026 was primarily the result of $20.0 million in net borrowings under our revolving line of credit, partially offset by $6.0 million in dividend distributions. Cash provided by financing activities for the three months ended July 31, 2025 was primarily the result of $15.0 million of net borrowings, partially offset by $5.9 million in dividend distributions.</w:t>
      </w:r>
    </w:p>
    <w:p>
      <w:pPr>
        <w:pStyle w:val="TextBody"/>
        <w:bidi w:val="0"/>
        <w:spacing w:before="240" w:after="283"/>
        <w:jc w:val="both"/>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 We entered into the Second Amended and Restated Credit Agreement on October 3, 2024. 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(as defined in the Second Amended and Restated Credit Agreement),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we had $40.0 million of borrowings outstanding on the Revolving Line, bearing interest at a weighted average rate of 5.42%, which is equal to the Adjusted Term SOFR rate plus an applicable margin.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Second Amended and Restated Credit Agreement for the Revolving Line contains financial covenants relating to maintaining a minimum Consolidated Fixed Charge Coverage Ratio and a maximum Adjusted Consolidated Leverage Ratio. We were in compliance with all debt covenants as of July 31, 2026.</w:t>
      </w:r>
    </w:p>
    <w:p>
      <w:pPr>
        <w:pStyle w:val="TextBody"/>
        <w:bidi w:val="0"/>
        <w:spacing w:before="120" w:after="240"/>
        <w:jc w:val="both"/>
        <w:rPr>
          <w:rFonts w:ascii="Times New Roman" w:hAnsi="Times New Roman"/>
          <w:sz w:val="20"/>
        </w:rPr>
      </w:pPr>
      <w:r>
        <w:rPr>
          <w:rFonts w:ascii="Times New Roman" w:hAnsi="Times New Roman"/>
          <w:i/>
          <w:color w:val="000000"/>
          <w:sz w:val="20"/>
        </w:rPr>
        <w:t>Share Repurchase Programs</w:t>
      </w:r>
      <w:r>
        <w:rPr>
          <w:rFonts w:ascii="Times New Roman" w:hAnsi="Times New Roman"/>
          <w:color w:val="000000"/>
          <w:sz w:val="20"/>
        </w:rPr>
        <w:t xml:space="preserve"> —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September 20, 2025, we had repurchased 312,310 shares of our common stock for $4.1 million under the 2024 Authorization. On September 15, 2025, our Board of Directors authorized the repurchase of up to $50.0 million of our common stock, subject to certain conditions, in the open market or in privately negotiated transactions from September 21, 2025 through September 21, 2026, or the 2025 Authorization. We have not had any repurchases of our common stock under the 2025 Authorization.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three months ended July 31, 2026 and 2025, there were no common stock repurchases. </w:t>
      </w:r>
    </w:p>
    <w:p>
      <w:pPr>
        <w:pStyle w:val="TextBody"/>
        <w:bidi w:val="0"/>
        <w:jc w:val="both"/>
        <w:rPr>
          <w:rFonts w:ascii="Times New Roman" w:hAnsi="Times New Roman"/>
          <w:sz w:val="20"/>
        </w:rPr>
      </w:pPr>
      <w:r>
        <w:rPr>
          <w:rFonts w:ascii="Times New Roman" w:hAnsi="Times New Roman"/>
          <w:i/>
          <w:color w:val="000000"/>
          <w:sz w:val="20"/>
        </w:rPr>
        <w:t xml:space="preserve">Dividends — </w:t>
      </w:r>
      <w:r>
        <w:rPr>
          <w:rFonts w:ascii="Times New Roman" w:hAnsi="Times New Roman"/>
          <w:color w:val="000000"/>
          <w:sz w:val="20"/>
        </w:rPr>
        <w:t>Our Board of Directors has authorized a $0.13 per share quarterly dividend, which will be paid to stockholders of record on September 17, 2026 with payment to be made on October 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and the costs to ensure access to adequate manufacturing capacity.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July 31, 2026, we had $18.7 million in cash and cash equivalents on hand. Based upon our current working capital position, current operating plans, and expected business conditions, we believe that our existing capital resources and credit facilities will be adequate to fund our operations for at least the next 12 months. </w:t>
      </w:r>
    </w:p>
    <w:p>
      <w:pPr>
        <w:pStyle w:val="TextBody"/>
        <w:bidi w:val="0"/>
        <w:spacing w:before="240" w:after="283"/>
        <w:jc w:val="both"/>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us to make estimates and assumptions that affect the reported amounts of assets and liabilities at the date of the financial statements and the reported amounts of revenue and expenses during the reporting periods. Significant accounting policies are disclosed in Note 2 of the Notes to the Consolidated Financial Statements in our Fiscal 2026 Annual Report. The most significant areas involving our judgments and estimates are described in Management’s Discussion and Analysis of Financial Condition and Results of Operations in our Fiscal 2026 Annual Report, to which there have been no material changes. Actual results could differ from our estimates. </w:t>
      </w:r>
    </w:p>
    <w:p>
      <w:pPr>
        <w:pStyle w:val="TextBody"/>
        <w:bidi w:val="0"/>
        <w:spacing w:before="240" w:after="283"/>
        <w:jc w:val="both"/>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The nature and impact of recent accounting pronouncements, if any, are discussed in Note 2—</w:t>
      </w:r>
      <w:r>
        <w:rPr>
          <w:rFonts w:ascii="Times New Roman" w:hAnsi="Times New Roman"/>
          <w:i/>
          <w:color w:val="000000"/>
          <w:sz w:val="20"/>
        </w:rPr>
        <w:t>Basis of Presentation</w:t>
      </w:r>
      <w:r>
        <w:rPr>
          <w:rFonts w:ascii="Times New Roman" w:hAnsi="Times New Roman"/>
          <w:color w:val="000000"/>
          <w:sz w:val="20"/>
        </w:rPr>
        <w:t xml:space="preserve"> to our condensed consolidated financial statements included elsewhere in this Quarterly Report on Form 10-Q, which is incorporated herein by reference. </w:t>
      </w:r>
    </w:p>
    <w:p>
      <w:pPr>
        <w:pStyle w:val="TextBody"/>
        <w:bidi w:val="0"/>
        <w:spacing w:before="240" w:after="283"/>
        <w:jc w:val="both"/>
        <w:rPr>
          <w:rFonts w:ascii="Times New Roman" w:hAnsi="Times New Roman"/>
          <w:sz w:val="20"/>
        </w:rPr>
      </w:pPr>
      <w:bookmarkStart w:id="9" w:name="item_3_quantitative_and_qualitative"/>
      <w:bookmarkEnd w:id="9"/>
      <w:r>
        <w:rPr>
          <w:rFonts w:ascii="Times New Roman" w:hAnsi="Times New Roman"/>
          <w:b/>
          <w:color w:val="000000"/>
          <w:sz w:val="20"/>
        </w:rPr>
        <w:t>Item 3.</w:t>
      </w:r>
      <w:r>
        <w:rPr>
          <w:rFonts w:ascii="Times New Roman" w:hAnsi="Times New Roman"/>
          <w:color w:val="000000"/>
          <w:sz w:val="20"/>
        </w:rPr>
        <w:t xml:space="preserve"> </w:t>
      </w:r>
      <w:r>
        <w:rPr>
          <w:rFonts w:ascii="Times New Roman" w:hAnsi="Times New Roman"/>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period ended July 31, 2026, we did not enter into or transact any forward option contracts nor did we have any forward contracts outstanding. </w:t>
      </w:r>
    </w:p>
    <w:p>
      <w:pPr>
        <w:pStyle w:val="TextBody"/>
        <w:bidi w:val="0"/>
        <w:spacing w:before="240" w:after="283"/>
        <w:jc w:val="both"/>
        <w:rPr>
          <w:rFonts w:ascii="Times New Roman" w:hAnsi="Times New Roman"/>
          <w:sz w:val="20"/>
        </w:rPr>
      </w:pPr>
      <w:bookmarkStart w:id="10" w:name="item_4_controls_and_procedures"/>
      <w:bookmarkEnd w:id="10"/>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as of July 31, 2026, our disclosure controls and procedures (as defined in Rules 13a-15(e) and 15d-15(e) under the Exchange Act) were effective to ensure that information required to be disclosed by us in reports that we file or submit under the Exchange Act was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during the period covered by this Quarterly Report on Form 10-Q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 — OTHER INFORMATION</w:t>
      </w:r>
    </w:p>
    <w:p>
      <w:pPr>
        <w:pStyle w:val="TextBody"/>
        <w:bidi w:val="0"/>
        <w:spacing w:before="240" w:after="283"/>
        <w:jc w:val="both"/>
        <w:rPr>
          <w:rFonts w:ascii="Times New Roman" w:hAnsi="Times New Roman"/>
          <w:sz w:val="20"/>
        </w:rPr>
      </w:pPr>
      <w:bookmarkStart w:id="12" w:name="item_1_legal_proceedings"/>
      <w:bookmarkEnd w:id="1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Legal Proceedings</w:t>
      </w:r>
    </w:p>
    <w:p>
      <w:pPr>
        <w:pStyle w:val="TextBody"/>
        <w:bidi w:val="0"/>
        <w:spacing w:before="120" w:after="283"/>
        <w:jc w:val="both"/>
        <w:rPr>
          <w:rFonts w:ascii="Times New Roman" w:hAnsi="Times New Roman"/>
          <w:sz w:val="20"/>
        </w:rPr>
      </w:pPr>
      <w:r>
        <w:rPr>
          <w:rFonts w:ascii="Times New Roman" w:hAnsi="Times New Roman"/>
          <w:color w:val="000000"/>
          <w:sz w:val="20"/>
        </w:rPr>
        <w:t>The nature of legal proceedings against us is discussed in Note 8—</w:t>
      </w:r>
      <w:r>
        <w:rPr>
          <w:rFonts w:ascii="Times New Roman" w:hAnsi="Times New Roman"/>
          <w:i/>
          <w:color w:val="000000"/>
          <w:sz w:val="20"/>
        </w:rPr>
        <w:t xml:space="preserve">Commitments and Contingencies—Litigation </w:t>
      </w:r>
      <w:r>
        <w:rPr>
          <w:rFonts w:ascii="Times New Roman" w:hAnsi="Times New Roman"/>
          <w:color w:val="000000"/>
          <w:sz w:val="20"/>
        </w:rPr>
        <w:t xml:space="preserve">to our condensed consolidated financial statements included elsewhere in this Quarterly Report on Form 10-Q, which is incorporated herein by reference. </w:t>
      </w:r>
    </w:p>
    <w:p>
      <w:pPr>
        <w:pStyle w:val="TextBody"/>
        <w:bidi w:val="0"/>
        <w:spacing w:before="240" w:after="283"/>
        <w:jc w:val="both"/>
        <w:rPr>
          <w:rFonts w:ascii="Times New Roman" w:hAnsi="Times New Roman"/>
          <w:sz w:val="20"/>
        </w:rPr>
      </w:pPr>
      <w:bookmarkStart w:id="13" w:name="toc_page"/>
      <w:bookmarkEnd w:id="13"/>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should carefully review and consider the information regarding certain factors that could materially affect our business, results of operations, financial condition, and cash flows as set forth under Part I, Item 1A “Risk Factors” of our Fiscal 2026 Form 10-K. Additional risks and uncertainties not presently known to us or that we currently believe not to be material may also adversely impact our business, results of operations, financial position, and cash flows. We are aware of no material changes to the Risk Factors discussed in our Fiscal 2026 Form 10-K.</w:t>
      </w:r>
    </w:p>
    <w:p>
      <w:pPr>
        <w:pStyle w:val="TextBody"/>
        <w:bidi w:val="0"/>
        <w:spacing w:before="360" w:after="283"/>
        <w:jc w:val="both"/>
        <w:rPr>
          <w:rFonts w:ascii="Times New Roman" w:hAnsi="Times New Roman"/>
          <w:sz w:val="20"/>
        </w:rPr>
      </w:pPr>
      <w:bookmarkStart w:id="14" w:name="item_2_unregistered_sales_equity_securit"/>
      <w:bookmarkEnd w:id="14"/>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i/>
          <w:color w:val="000000"/>
          <w:sz w:val="20"/>
        </w:rPr>
        <w:t>Unregistered Sales of Equity Securities and Use of Proceeds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During the three months ended July 31, 2026, there were no purchases of our common stock by us or any affiliated purchasers within the meaning of Rule 10b-18(a)(3) of the Exchange Act.</w:t>
      </w:r>
    </w:p>
    <w:p>
      <w:pPr>
        <w:pStyle w:val="TextBody"/>
        <w:bidi w:val="0"/>
        <w:jc w:val="both"/>
        <w:rPr>
          <w:rFonts w:ascii="Times New Roman" w:hAnsi="Times New Roman"/>
          <w:sz w:val="20"/>
        </w:rPr>
      </w:pPr>
      <w:bookmarkStart w:id="15" w:name="item_5"/>
      <w:bookmarkEnd w:id="15"/>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spacing w:before="120" w:after="283"/>
        <w:jc w:val="both"/>
        <w:rPr>
          <w:rFonts w:ascii="Times New Roman" w:hAnsi="Times New Roman"/>
          <w:sz w:val="20"/>
        </w:rPr>
      </w:pPr>
      <w:r>
        <w:rPr>
          <w:rFonts w:ascii="Times New Roman" w:hAnsi="Times New Roman"/>
          <w:b/>
          <w:color w:val="000000"/>
          <w:sz w:val="20"/>
        </w:rPr>
        <w:t>Rule 10b5-1 Trading Plans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the three months ended July 31, 2026, none of our directors or officers adopted or terminated a “Rule 10b5-1 trading arrangement” or a “non-Rule 10b5-1 trading arrangement” (in each case, as defined in Item 408 of Regulation S-K).</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INDEX TO EXHIBITS</w:t>
      </w:r>
    </w:p>
    <w:p>
      <w:pPr>
        <w:pStyle w:val="TextBody"/>
        <w:bidi w:val="0"/>
        <w:spacing w:before="360" w:after="283"/>
        <w:jc w:val="both"/>
        <w:rPr>
          <w:rFonts w:ascii="Times New Roman" w:hAnsi="Times New Roman"/>
          <w:sz w:val="20"/>
        </w:rPr>
      </w:pPr>
      <w:bookmarkStart w:id="16" w:name="item_6_exhibits"/>
      <w:bookmarkEnd w:id="16"/>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i/>
          <w:color w:val="000000"/>
          <w:sz w:val="20"/>
        </w:rPr>
        <w:t>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listed on the Index to Exhibits (immediately preceding the signatures section of this Quarterly Report on Form 10-Q) are included herewith or incorporated herein by reference.</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83"/>
        <w:gridCol w:w="146"/>
        <w:gridCol w:w="9276"/>
      </w:tblGrid>
      <w:tr>
        <w:trPr/>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6" w:type="dxa"/>
            <w:tcBorders/>
            <w:vAlign w:val="center"/>
          </w:tcPr>
          <w:p>
            <w:pPr>
              <w:pStyle w:val="TableContents"/>
              <w:bidi w:val="0"/>
              <w:spacing w:before="0" w:after="283"/>
              <w:jc w:val="left"/>
              <w:rPr>
                <w:sz w:val="4"/>
                <w:szCs w:val="4"/>
              </w:rPr>
            </w:pPr>
            <w:r>
              <w:rPr>
                <w:sz w:val="4"/>
                <w:szCs w:val="4"/>
              </w:rPr>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283"/>
              <w:jc w:val="both"/>
              <w:rPr/>
            </w:pPr>
            <w:hyperlink w:anchor="swbi-ex31_1.htm">
              <w:r>
                <w:rPr>
                  <w:rStyle w:val="InternetLink"/>
                  <w:rFonts w:ascii="Times New Roman" w:hAnsi="Times New Roman"/>
                  <w:color w:val="0000FF"/>
                  <w:sz w:val="20"/>
                  <w:u w:val="single"/>
                </w:rPr>
                <w:t>Rule 13a-14(a)/15d-14(a) Certification of Principal Executive Officer</w:t>
              </w:r>
            </w:hyperlink>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283"/>
              <w:jc w:val="both"/>
              <w:rPr/>
            </w:pPr>
            <w:hyperlink w:anchor="swbi-ex31_2.htm">
              <w:r>
                <w:rPr>
                  <w:rStyle w:val="InternetLink"/>
                  <w:rFonts w:ascii="Times New Roman" w:hAnsi="Times New Roman"/>
                  <w:color w:val="0000FF"/>
                  <w:sz w:val="20"/>
                  <w:u w:val="single"/>
                </w:rPr>
                <w:t>Rule 13a-14(a)/15d-14(a) Certification of Principal Financial Officer</w:t>
              </w:r>
            </w:hyperlink>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6" w:type="dxa"/>
            <w:tcBorders/>
            <w:tcMar>
              <w:top w:w="0" w:type="dxa"/>
              <w:left w:w="0" w:type="dxa"/>
              <w:bottom w:w="0" w:type="dxa"/>
              <w:right w:w="0" w:type="dxa"/>
            </w:tcMar>
            <w:vAlign w:val="center"/>
          </w:tcPr>
          <w:p>
            <w:pPr>
              <w:pStyle w:val="TableContents"/>
              <w:bidi w:val="0"/>
              <w:spacing w:before="0" w:after="283"/>
              <w:jc w:val="both"/>
              <w:rPr/>
            </w:pPr>
            <w:hyperlink w:anchor="swbi-ex32_1.htm">
              <w:r>
                <w:rPr>
                  <w:rStyle w:val="InternetLink"/>
                  <w:rFonts w:ascii="Times New Roman" w:hAnsi="Times New Roman"/>
                  <w:color w:val="0000FF"/>
                  <w:sz w:val="20"/>
                  <w:u w:val="single"/>
                </w:rPr>
                <w:t>Section 1350 Certification of Principal Executive Officer</w:t>
              </w:r>
            </w:hyperlink>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hyperlink w:anchor="swbi-ex32_2.htm">
              <w:r>
                <w:rPr>
                  <w:rStyle w:val="InternetLink"/>
                  <w:rFonts w:ascii="Times New Roman" w:hAnsi="Times New Roman"/>
                  <w:color w:val="0000FF"/>
                  <w:sz w:val="20"/>
                  <w:u w:val="single"/>
                </w:rPr>
                <w:t>Section 1350 Certification of Principal Financial Officer</w:t>
              </w:r>
            </w:hyperlink>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8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7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Filed/furnished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signatures"/>
      <w:bookmarkEnd w:id="17"/>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6055" w:type="dxa"/>
        <w:jc w:val="left"/>
        <w:tblInd w:w="0" w:type="dxa"/>
        <w:tblLayout w:type="fixed"/>
        <w:tblCellMar>
          <w:top w:w="28" w:type="dxa"/>
          <w:left w:w="28" w:type="dxa"/>
          <w:bottom w:w="28" w:type="dxa"/>
          <w:right w:w="28" w:type="dxa"/>
        </w:tblCellMar>
      </w:tblPr>
      <w:tblGrid>
        <w:gridCol w:w="2116"/>
        <w:gridCol w:w="146"/>
        <w:gridCol w:w="406"/>
        <w:gridCol w:w="146"/>
        <w:gridCol w:w="324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3"/>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SMITH &amp; WESSON BRANDS, INC.</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Nevada corporation</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38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September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Mark P. Smith</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Mark P. Smith</w:t>
            </w:r>
          </w:p>
        </w:tc>
      </w:tr>
      <w:tr>
        <w:trPr/>
        <w:tc>
          <w:tcPr>
            <w:tcW w:w="21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2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both"/>
        <w:rPr/>
      </w:pPr>
      <w:r>
        <w:rPr/>
        <w:t> </w:t>
      </w:r>
    </w:p>
    <w:tbl>
      <w:tblPr>
        <w:tblW w:w="9821" w:type="dxa"/>
        <w:jc w:val="left"/>
        <w:tblInd w:w="0" w:type="dxa"/>
        <w:tblLayout w:type="fixed"/>
        <w:tblCellMar>
          <w:top w:w="28" w:type="dxa"/>
          <w:left w:w="28" w:type="dxa"/>
          <w:bottom w:w="28" w:type="dxa"/>
          <w:right w:w="28" w:type="dxa"/>
        </w:tblCellMar>
      </w:tblPr>
      <w:tblGrid>
        <w:gridCol w:w="2116"/>
        <w:gridCol w:w="109"/>
        <w:gridCol w:w="406"/>
        <w:gridCol w:w="109"/>
        <w:gridCol w:w="708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September 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Deana L. McPherson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Deana L. McPherson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Executive Vice President, Chief Financial Officer, Treasurer, and Assistant Secretary</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bookmarkStart w:id="18" w:name="swbi-ex31_1.htm"/>
      <w:bookmarkStart w:id="19" w:name="ksswbiex31_1"/>
      <w:bookmarkEnd w:id="18"/>
      <w:bookmarkEnd w:id="1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EXCHANGE ACT RULE 13a-14(a)/15d-14(a)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P. Smith,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Smith &amp; Wesson Brands,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771" w:type="dxa"/>
        <w:jc w:val="left"/>
        <w:tblInd w:w="0" w:type="dxa"/>
        <w:tblLayout w:type="fixed"/>
        <w:tblCellMar>
          <w:top w:w="28" w:type="dxa"/>
          <w:left w:w="28" w:type="dxa"/>
          <w:bottom w:w="28" w:type="dxa"/>
          <w:right w:w="28" w:type="dxa"/>
        </w:tblCellMar>
      </w:tblPr>
      <w:tblGrid>
        <w:gridCol w:w="421"/>
        <w:gridCol w:w="109"/>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3,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swbi-ex31_2.htm"/>
      <w:bookmarkStart w:id="21" w:name="ksswbiex31_2"/>
      <w:bookmarkEnd w:id="20"/>
      <w:bookmarkEnd w:id="2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Deana L. McPherson,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Smith &amp; Wesson Brands,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7611" w:type="dxa"/>
        <w:jc w:val="left"/>
        <w:tblInd w:w="0" w:type="dxa"/>
        <w:tblLayout w:type="fixed"/>
        <w:tblCellMar>
          <w:top w:w="28" w:type="dxa"/>
          <w:left w:w="28" w:type="dxa"/>
          <w:bottom w:w="28" w:type="dxa"/>
          <w:right w:w="28" w:type="dxa"/>
        </w:tblCellMar>
      </w:tblPr>
      <w:tblGrid>
        <w:gridCol w:w="421"/>
        <w:gridCol w:w="109"/>
        <w:gridCol w:w="708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Executive Vice President, Chief Financial Officer, Treasurer, and Assistant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September 3,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swbi-ex32_1.htm"/>
      <w:bookmarkStart w:id="23" w:name="ksswbiex32_1"/>
      <w:bookmarkEnd w:id="22"/>
      <w:bookmarkEnd w:id="2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Smith &amp; Wesson Brands, Inc. (the “Company”) for the quarterly period ended July 31, 2026 as filed with the Securities and Exchange Commission on the date hereof (the “Report”), I, Mark P. Smith, President and Chief Executive Officer of the Company, certify, to the best of my knowledge and belief,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as applicable,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tbl>
      <w:tblPr>
        <w:tblW w:w="3771" w:type="dxa"/>
        <w:jc w:val="left"/>
        <w:tblInd w:w="0" w:type="dxa"/>
        <w:tblLayout w:type="fixed"/>
        <w:tblCellMar>
          <w:top w:w="28" w:type="dxa"/>
          <w:left w:w="28" w:type="dxa"/>
          <w:bottom w:w="28" w:type="dxa"/>
          <w:right w:w="28" w:type="dxa"/>
        </w:tblCellMar>
      </w:tblPr>
      <w:tblGrid>
        <w:gridCol w:w="421"/>
        <w:gridCol w:w="109"/>
        <w:gridCol w:w="324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P. Smith</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3,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swbi-ex32_2.htm"/>
      <w:bookmarkStart w:id="25" w:name="ksswbiex32_2"/>
      <w:bookmarkEnd w:id="24"/>
      <w:bookmarkEnd w:id="25"/>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 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Smith &amp; Wesson Brands, Inc. (the “Company”) for the quarterly period ended July 31, 2026 as filed with the Securities and Exchange Commission on the date hereof (the “Report”), I, Deana L. McPherson, Executive Vice President, Chief Financial Officer, Treasurer, and Assistant Secretary of the Company, certify, to the best of my knowledge and belief,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as applicable, of the Securities Exchange Act of 1934, as amended;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Company. </w:t>
      </w:r>
    </w:p>
    <w:tbl>
      <w:tblPr>
        <w:tblW w:w="7476" w:type="dxa"/>
        <w:jc w:val="left"/>
        <w:tblInd w:w="0" w:type="dxa"/>
        <w:tblLayout w:type="fixed"/>
        <w:tblCellMar>
          <w:top w:w="28" w:type="dxa"/>
          <w:left w:w="28" w:type="dxa"/>
          <w:bottom w:w="28" w:type="dxa"/>
          <w:right w:w="28" w:type="dxa"/>
        </w:tblCellMar>
      </w:tblPr>
      <w:tblGrid>
        <w:gridCol w:w="421"/>
        <w:gridCol w:w="109"/>
        <w:gridCol w:w="694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Deana L. McPherson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Treasurer, and Assistant Secretary</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September 3,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Securities and Exchange Commission, and is not to be incorporated by reference into any filing of Smith &amp; Wesson Brands,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14651</Words>
  <Characters>79100</Characters>
  <CharactersWithSpaces>94258</CharactersWithSpaces>
  <Paragraphs>3001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