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wbi-20260903.htm"/>
      <w:bookmarkStart w:id="1" w:name="ksswbi20260903"/>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Smith &amp; Wesson Brands,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2"/>
        <w:gridCol w:w="860"/>
        <w:gridCol w:w="873"/>
        <w:gridCol w:w="1846"/>
        <w:gridCol w:w="1336"/>
      </w:tblGrid>
      <w:tr>
        <w:trPr/>
        <w:tc>
          <w:tcPr>
            <w:tcW w:w="9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001-31552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87-0543688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1852 Proffitt Springs Road</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Maryville, Tennessee</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37801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800</w:t>
            </w:r>
            <w:r>
              <w:rPr>
                <w:rFonts w:ascii="Times New Roman" w:hAnsi="Times New Roman"/>
                <w:color w:val="000000"/>
                <w:sz w:val="20"/>
              </w:rPr>
              <w:t xml:space="preserve"> </w:t>
            </w:r>
            <w:r>
              <w:rPr>
                <w:rFonts w:ascii="Times New Roman" w:hAnsi="Times New Roman"/>
                <w:b/>
                <w:color w:val="000000"/>
                <w:sz w:val="20"/>
              </w:rPr>
              <w:t>331-0852</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SWBI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We are furnishing the disclosure in this Item 2.02 in connection with the disclosure of information in the form of the textual information from a press release issued on September 3,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Item 2.02 (including Exhibit 99.1) is furnished pursuant to Item 2.02 and shall not be deemed to be "filed" for the purpose of Section 18 of the Securities Exchange Act of 1934, as amended, or otherwise subject to the liabilities of that section.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do not have, and expressly disclaim, any obligation to release publicly any updates or any changes in our expectations or any change in events, conditions, or circumstances on which any forward-looking statement is based.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text included with this Current Report on Form 8-K is available on our website at </w:t>
      </w:r>
      <w:r>
        <w:rPr>
          <w:rFonts w:ascii="Times New Roman" w:hAnsi="Times New Roman"/>
          <w:i/>
          <w:color w:val="000000"/>
          <w:sz w:val="20"/>
        </w:rPr>
        <w:t>www.smith-wesson.com</w:t>
      </w:r>
      <w:r>
        <w:rPr>
          <w:rFonts w:ascii="Times New Roman" w:hAnsi="Times New Roman"/>
          <w:color w:val="000000"/>
          <w:sz w:val="20"/>
        </w:rPr>
        <w:t>, although we reserve the right to discontinue that availability at any time.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sz w:val="20"/>
        </w:rPr>
      </w:pPr>
      <w:r>
        <w:rPr>
          <w:rFonts w:ascii="Times New Roman" w:hAnsi="Times New Roman"/>
          <w:color w:val="000000"/>
          <w:sz w:val="20"/>
        </w:rPr>
        <w:t xml:space="preserve">(d) </w:t>
      </w:r>
      <w:r>
        <w:rPr>
          <w:rFonts w:ascii="Times New Roman" w:hAnsi="Times New Roman"/>
          <w:i/>
          <w:color w:val="000000"/>
          <w:sz w:val="20"/>
        </w:rPr>
        <w:t>Exhibits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Exhibit No.</w:t>
      </w:r>
    </w:p>
    <w:p>
      <w:pPr>
        <w:pStyle w:val="TextBody"/>
        <w:bidi w:val="0"/>
        <w:jc w:val="left"/>
        <w:rPr/>
      </w:pPr>
      <w:r>
        <w:rPr/>
        <w:t> </w:t>
      </w:r>
    </w:p>
    <w:p>
      <w:pPr>
        <w:pStyle w:val="TextBody"/>
        <w:bidi w:val="0"/>
        <w:jc w:val="left"/>
        <w:rPr/>
      </w:pPr>
      <w:r>
        <w:rPr>
          <w:rFonts w:ascii="Times New Roman" w:hAnsi="Times New Roman"/>
          <w:color w:val="000000"/>
          <w:sz w:val="20"/>
        </w:rPr>
        <w:t xml:space="preserve">99.1 </w:t>
      </w:r>
      <w:hyperlink w:anchor="swbi-ex99_1.htm">
        <w:r>
          <w:rPr>
            <w:rStyle w:val="InternetLink"/>
            <w:rFonts w:ascii="Times New Roman" w:hAnsi="Times New Roman"/>
            <w:color w:val="0000FF"/>
            <w:sz w:val="20"/>
            <w:u w:val="single"/>
          </w:rPr>
          <w:t>Press release from Smith &amp; Wesson. Inc., dated September 3, 2026, entitled "Smith &amp; Wesson Brands, Inc. Reports First Quarter Fiscal 2027 Financial Results"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104 Cover Page Interactive Data File (embedded within the Inline XBRL document)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859" w:type="dxa"/>
        <w:jc w:val="left"/>
        <w:tblInd w:w="0" w:type="dxa"/>
        <w:tblLayout w:type="fixed"/>
        <w:tblCellMar>
          <w:top w:w="28" w:type="dxa"/>
          <w:left w:w="28" w:type="dxa"/>
          <w:bottom w:w="28" w:type="dxa"/>
          <w:right w:w="28" w:type="dxa"/>
        </w:tblCellMar>
      </w:tblPr>
      <w:tblGrid>
        <w:gridCol w:w="556"/>
        <w:gridCol w:w="1621"/>
        <w:gridCol w:w="451"/>
        <w:gridCol w:w="4231"/>
      </w:tblGrid>
      <w:tr>
        <w:trP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SMITH &amp; WESSON BRANDS,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2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23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Deana L. McPherson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Deana L. McPherson</w:t>
              <w:br/>
              <w:t xml:space="preserve">Executive Vice President, Chief Financial Officer, </w:t>
              <w:br/>
              <w:t>Treasurer, and Assistant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swbi-ex99_1.htm"/>
      <w:bookmarkStart w:id="3" w:name="ksswbiex99_1"/>
      <w:bookmarkEnd w:id="2"/>
      <w:bookmarkEnd w:id="3"/>
      <w:r>
        <w:rPr>
          <w:rFonts w:ascii="Times New Roman" w:hAnsi="Times New Roman"/>
          <w:b/>
          <w:color w:val="000000"/>
          <w:sz w:val="20"/>
        </w:rPr>
        <w:t>Exhibit 99.1</w:t>
      </w:r>
      <w:r>
        <w:br w:type="page"/>
      </w:r>
    </w:p>
    <w:p>
      <w:pPr>
        <w:pStyle w:val="TextBody"/>
        <w:bidi w:val="0"/>
        <w:jc w:val="right"/>
        <w:rPr/>
      </w:pPr>
      <w:r>
        <w:rPr/>
        <w:t> </w:t>
      </w:r>
    </w:p>
    <w:p>
      <w:pPr>
        <w:pStyle w:val="TextBody"/>
        <w:bidi w:val="0"/>
        <w:jc w:val="both"/>
        <w:rPr/>
      </w:pPr>
      <w:r>
        <w:rPr/>
        <w:drawing>
          <wp:inline distT="0" distB="0" distL="0" distR="0">
            <wp:extent cx="681037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10375" cy="666750"/>
                    </a:xfrm>
                    <a:prstGeom prst="rect">
                      <a:avLst/>
                    </a:prstGeom>
                  </pic:spPr>
                </pic:pic>
              </a:graphicData>
            </a:graphic>
          </wp:inline>
        </w:drawing>
      </w:r>
    </w:p>
    <w:p>
      <w:pPr>
        <w:pStyle w:val="TextBody"/>
        <w:bidi w:val="0"/>
        <w:jc w:val="center"/>
        <w:rPr>
          <w:rFonts w:ascii="sans-serif" w:hAnsi="sans-serif"/>
          <w:b/>
          <w:color w:val="000000"/>
          <w:sz w:val="32"/>
        </w:rPr>
      </w:pPr>
      <w:r>
        <w:rPr>
          <w:rFonts w:ascii="sans-serif" w:hAnsi="sans-serif"/>
          <w:b/>
          <w:color w:val="000000"/>
          <w:sz w:val="32"/>
        </w:rPr>
        <w:t>Smith &amp; Wesson Brands, Inc. Reports</w:t>
      </w:r>
    </w:p>
    <w:p>
      <w:pPr>
        <w:pStyle w:val="TextBody"/>
        <w:bidi w:val="0"/>
        <w:jc w:val="center"/>
        <w:rPr>
          <w:rFonts w:ascii="sans-serif" w:hAnsi="sans-serif"/>
          <w:b/>
          <w:color w:val="000000"/>
          <w:sz w:val="32"/>
        </w:rPr>
      </w:pPr>
      <w:r>
        <w:rPr>
          <w:rFonts w:ascii="sans-serif" w:hAnsi="sans-serif"/>
          <w:b/>
          <w:color w:val="000000"/>
          <w:sz w:val="32"/>
        </w:rPr>
        <w:t>First Quarter Fiscal 2027 Financial Results</w:t>
      </w:r>
    </w:p>
    <w:p>
      <w:pPr>
        <w:pStyle w:val="TextBody"/>
        <w:bidi w:val="0"/>
        <w:jc w:val="center"/>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rFonts w:ascii="sans-serif" w:hAnsi="sans-serif"/>
          <w:b/>
          <w:i/>
          <w:color w:val="000000"/>
          <w:sz w:val="24"/>
        </w:rPr>
      </w:pPr>
      <w:r>
        <w:rPr>
          <w:rFonts w:ascii="sans-serif" w:hAnsi="sans-serif"/>
          <w:b/>
          <w:i/>
          <w:color w:val="000000"/>
          <w:sz w:val="24"/>
        </w:rPr>
        <w:t>Q1 Net Sales of $112.6 Million</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rFonts w:ascii="sans-serif" w:hAnsi="sans-serif"/>
          <w:b/>
          <w:i/>
          <w:color w:val="000000"/>
          <w:sz w:val="24"/>
        </w:rPr>
      </w:pPr>
      <w:r>
        <w:rPr>
          <w:rFonts w:ascii="sans-serif" w:hAnsi="sans-serif"/>
          <w:b/>
          <w:i/>
          <w:color w:val="000000"/>
          <w:sz w:val="24"/>
        </w:rPr>
        <w:t>Q1 Gross Margin of 28.7%</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sans-serif" w:hAnsi="sans-serif"/>
          <w:b/>
          <w:i/>
          <w:color w:val="000000"/>
          <w:sz w:val="24"/>
        </w:rPr>
      </w:pPr>
      <w:r>
        <w:rPr>
          <w:rFonts w:ascii="sans-serif" w:hAnsi="sans-serif"/>
          <w:b/>
          <w:i/>
          <w:color w:val="000000"/>
          <w:sz w:val="24"/>
        </w:rPr>
        <w:t>Q1 EPS of $0.06/Share</w:t>
      </w:r>
    </w:p>
    <w:p>
      <w:pPr>
        <w:pStyle w:val="TextBody"/>
        <w:bidi w:val="0"/>
        <w:spacing w:before="0" w:after="160"/>
        <w:jc w:val="both"/>
        <w:rPr/>
      </w:pPr>
      <w:r>
        <w:rPr/>
        <w:t> </w:t>
      </w:r>
    </w:p>
    <w:p>
      <w:pPr>
        <w:pStyle w:val="TextBody"/>
        <w:bidi w:val="0"/>
        <w:spacing w:before="0" w:after="160"/>
        <w:jc w:val="left"/>
        <w:rPr>
          <w:rFonts w:ascii="sans-serif" w:hAnsi="sans-serif"/>
          <w:sz w:val="22"/>
        </w:rPr>
      </w:pPr>
      <w:r>
        <w:rPr>
          <w:rFonts w:ascii="sans-serif" w:hAnsi="sans-serif"/>
          <w:b/>
          <w:color w:val="000000"/>
          <w:sz w:val="22"/>
        </w:rPr>
        <w:t>MARYVILLE, Tenn., September 3, 2026 – Smith &amp; Wesson Brands, Inc. (NASDAQ Global Select: SWBI)</w:t>
      </w:r>
      <w:r>
        <w:rPr>
          <w:rFonts w:ascii="sans-serif" w:hAnsi="sans-serif"/>
          <w:color w:val="000000"/>
          <w:sz w:val="22"/>
        </w:rPr>
        <w:t xml:space="preserve">, a U.S.-based leader in firearm manufacturing and design, today announced financial results for the first quarter of fiscal 2027, ended July 31, 2026. </w:t>
      </w:r>
    </w:p>
    <w:p>
      <w:pPr>
        <w:pStyle w:val="TextBody"/>
        <w:bidi w:val="0"/>
        <w:spacing w:before="0" w:after="120"/>
        <w:jc w:val="both"/>
        <w:rPr>
          <w:rFonts w:ascii="sans-serif" w:hAnsi="sans-serif"/>
          <w:b/>
          <w:color w:val="000000"/>
          <w:sz w:val="22"/>
          <w:u w:val="single"/>
        </w:rPr>
      </w:pPr>
      <w:r>
        <w:rPr>
          <w:rFonts w:ascii="sans-serif" w:hAnsi="sans-serif"/>
          <w:b/>
          <w:color w:val="000000"/>
          <w:sz w:val="22"/>
          <w:u w:val="single"/>
        </w:rPr>
        <w:t>Financial Highlights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Net sales were $112.6 million, an increase of $27.5 million, or 32.3%, from the comparable quarter last year.</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Gross margin was 28.7% compared with 25.9% in the comparable quarter last year. During the first quarter of fiscal 2027, we received $2.9 million in tariff refunds. These refunds favorably impacted gross margin by approximately 260 basis points and represented a non-recurring benefit.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GAAP net income was $2.6 million, or $0.06 per diluted share, compared with a net loss of $3.4 million, or $0.08 per diluted share, for the comparable quarter last year.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Non-GAAP net income was $2.6 million, or $0.06 per diluted share, compared with a net loss of $3.4 million, or $0.08 per diluted share, for the comparable quarter last year. GAAP to non-GAAP adjustments for income exclude costs related to the relocation. For a detailed reconciliation, see the schedules that follow in this release.</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Non-GAAP Adjusted EBITDAS was $13.8 million, or 12.2% of net sales, compared with $7.4 million, or 8.7% of net sales, for the comparable quarter last year.</w:t>
      </w:r>
    </w:p>
    <w:p>
      <w:pPr>
        <w:pStyle w:val="TextBody"/>
        <w:bidi w:val="0"/>
        <w:spacing w:before="0" w:after="120"/>
        <w:jc w:val="both"/>
        <w:rPr/>
      </w:pPr>
      <w:r>
        <w:rPr/>
        <w:t> </w:t>
      </w:r>
    </w:p>
    <w:p>
      <w:pPr>
        <w:pStyle w:val="TextBody"/>
        <w:bidi w:val="0"/>
        <w:spacing w:before="0" w:after="160"/>
        <w:jc w:val="left"/>
        <w:rPr>
          <w:rFonts w:ascii="sans-serif" w:hAnsi="sans-serif"/>
          <w:color w:val="000000"/>
          <w:sz w:val="22"/>
        </w:rPr>
      </w:pPr>
      <w:r>
        <w:rPr>
          <w:rFonts w:ascii="sans-serif" w:hAnsi="sans-serif"/>
          <w:color w:val="000000"/>
          <w:sz w:val="22"/>
        </w:rPr>
        <w:t>Mark Smith, President and Chief Executive Officer, commented, "We are off to an excellent start to fiscal 2027. Continued solid demand for our products in both the consumer and professional channels in the first quarter were a direct result of our purposeful focus on innovation, the strength of our industry partnerships, operational execution, and the power of the iconic Smith &amp; Wesson brand. We delivered significant year-over-year increases in all key financial metrics, including 32% growth in net sales and an increase in earnings per share to $0.06 from a loss of $0.08 last year. This continues to be a story about brand strength paired with a purposeful long-term strategy. With this momentum, we expect our second quarter to significantly outperform last year on both the top and bottom lines."</w:t>
      </w:r>
    </w:p>
    <w:p>
      <w:pPr>
        <w:pStyle w:val="TextBody"/>
        <w:bidi w:val="0"/>
        <w:spacing w:before="0" w:after="160"/>
        <w:jc w:val="left"/>
        <w:rPr>
          <w:rFonts w:ascii="sans-serif" w:hAnsi="sans-serif"/>
          <w:color w:val="000000"/>
          <w:sz w:val="22"/>
        </w:rPr>
      </w:pPr>
      <w:r>
        <w:rPr>
          <w:rFonts w:ascii="sans-serif" w:hAnsi="sans-serif"/>
          <w:color w:val="000000"/>
          <w:sz w:val="22"/>
        </w:rPr>
        <w:t>Deana McPherson, Executive Vice President and Chief Financial Officer, commented, "We continue to expect a normal seasonal environment and strong demand for our products, resulting in anticipated sales for the second quarter of roughly 10% above last year. For the full year, we continue to expect that our fiscal 2027 revenue will grow approximately 5-7% over fiscal 2026. Consistent with our capital allocation strategy, our board of directors has authorized a $0.13 per share quarterly dividend, which will be paid to stockholders of record on September 17, 2026, with payment to be made on October 1, 2026."</w:t>
      </w:r>
    </w:p>
    <w:p>
      <w:pPr>
        <w:pStyle w:val="TextBody"/>
        <w:bidi w:val="0"/>
        <w:jc w:val="left"/>
        <w:rPr>
          <w:rFonts w:ascii="sans-serif" w:hAnsi="sans-serif"/>
          <w:b/>
          <w:color w:val="000000"/>
          <w:sz w:val="22"/>
          <w:u w:val="single"/>
        </w:rPr>
      </w:pPr>
      <w:r>
        <w:rPr>
          <w:rFonts w:ascii="sans-serif" w:hAnsi="sans-serif"/>
          <w:b/>
          <w:color w:val="000000"/>
          <w:sz w:val="22"/>
          <w:u w:val="single"/>
        </w:rPr>
        <w:t>Conference Call and Webcast</w:t>
      </w:r>
    </w:p>
    <w:p>
      <w:pPr>
        <w:pStyle w:val="TextBody"/>
        <w:bidi w:val="0"/>
        <w:jc w:val="left"/>
        <w:rPr>
          <w:rFonts w:ascii="sans-serif" w:hAnsi="sans-serif"/>
          <w:color w:val="000000"/>
          <w:sz w:val="22"/>
        </w:rPr>
      </w:pPr>
      <w:r>
        <w:rPr>
          <w:rFonts w:ascii="sans-serif" w:hAnsi="sans-serif"/>
          <w:color w:val="000000"/>
          <w:sz w:val="22"/>
        </w:rPr>
        <w:t xml:space="preserve">The company will host a conference call and webcast on September 3, 2026 to discuss its first quarter fiscal 2027 financial and operational results. Speakers on the conference call will include Mark Smith, President and Chief Executive Officer, and Deana McPherson, Executive Vice President and Chief Financial Officer. The conference call may include </w:t>
      </w:r>
    </w:p>
    <w:p>
      <w:pPr>
        <w:pStyle w:val="HorizontalLine"/>
        <w:pBdr>
          <w:bottom w:val="double" w:sz="2" w:space="0" w:color="808080"/>
        </w:pBdr>
        <w:bidi w:val="0"/>
        <w:spacing w:before="0" w:after="283"/>
        <w:jc w:val="left"/>
        <w:rPr/>
      </w:pPr>
      <w:r>
        <w:rPr/>
      </w:r>
    </w:p>
    <w:p>
      <w:pPr>
        <w:pStyle w:val="TextBody"/>
        <w:bidi w:val="0"/>
        <w:jc w:val="left"/>
        <w:rPr>
          <w:rFonts w:ascii="sans-serif" w:hAnsi="sans-serif"/>
          <w:sz w:val="22"/>
        </w:rPr>
      </w:pPr>
      <w:r>
        <w:rPr>
          <w:rFonts w:ascii="sans-serif" w:hAnsi="sans-serif"/>
          <w:color w:val="000000"/>
          <w:sz w:val="22"/>
        </w:rPr>
        <w:t xml:space="preserve">forward-looking statements. The conference call and webcast will begin at 5:00 p.m. Eastern Time (2:00 p.m. Pacific Time). Interested parties in North America are invited to participate by dialing 1-877-704-4453. Interested parties from outside North America are invited to participate by dialing 1-201-389-0920. Participants should dial in at least 10 minutes prior to the start of the call. A live and archived webcast of the event will be available on the company's website at </w:t>
      </w:r>
      <w:r>
        <w:rPr>
          <w:rFonts w:ascii="sans-serif" w:hAnsi="sans-serif"/>
          <w:sz w:val="22"/>
        </w:rPr>
        <w:t>www.smith-wesson.com</w:t>
      </w:r>
      <w:r>
        <w:rPr>
          <w:rFonts w:ascii="sans-serif" w:hAnsi="sans-serif"/>
          <w:color w:val="000000"/>
          <w:sz w:val="22"/>
        </w:rPr>
        <w:t xml:space="preserve"> under the Investor Relations section.</w:t>
      </w:r>
    </w:p>
    <w:p>
      <w:pPr>
        <w:pStyle w:val="TextBody"/>
        <w:bidi w:val="0"/>
        <w:jc w:val="both"/>
        <w:rPr/>
      </w:pPr>
      <w:r>
        <w:rPr/>
        <w:t> </w:t>
      </w:r>
    </w:p>
    <w:p>
      <w:pPr>
        <w:pStyle w:val="TextBody"/>
        <w:bidi w:val="0"/>
        <w:jc w:val="both"/>
        <w:rPr>
          <w:rFonts w:ascii="sans-serif" w:hAnsi="sans-serif"/>
          <w:b/>
          <w:color w:val="000000"/>
          <w:sz w:val="22"/>
          <w:u w:val="single"/>
        </w:rPr>
      </w:pPr>
      <w:r>
        <w:rPr>
          <w:rFonts w:ascii="sans-serif" w:hAnsi="sans-serif"/>
          <w:b/>
          <w:color w:val="000000"/>
          <w:sz w:val="22"/>
          <w:u w:val="single"/>
        </w:rPr>
        <w:t>Reconciliation of U.S. GAAP to Non-GAAP Financial Measures</w:t>
      </w:r>
    </w:p>
    <w:p>
      <w:pPr>
        <w:pStyle w:val="TextBody"/>
        <w:bidi w:val="0"/>
        <w:jc w:val="left"/>
        <w:rPr>
          <w:rFonts w:ascii="sans-serif" w:hAnsi="sans-serif"/>
          <w:color w:val="000000"/>
          <w:sz w:val="22"/>
        </w:rPr>
      </w:pPr>
      <w:r>
        <w:rPr>
          <w:rFonts w:ascii="sans-serif" w:hAnsi="sans-serif"/>
          <w:color w:val="000000"/>
          <w:sz w:val="22"/>
        </w:rPr>
        <w:t>In this press release, certain non-GAAP financial measures, including “non-GAAP gross profit,” “non-GAAP gross margin,” “non-GAAP operating expenses,” “non-GAAP operating income,” “non-GAAP net income,” “non-GAAP net income per share – diluted,” “Adjusted EBITDAS,” “Adjusted EBITDAS Margin,” and “free cash flow” are presented. We use these non-GAAP financial measures to facilitate a comparison of our operating performance on a consistent basis from period to period that, when viewed in combination with our results prepared in accordance with GAAP, provides a more complete understanding of factors and trends affecting our business than does GAAP measures alone. We believe these financial measures assist our board of directors, management, investors, and other users of the financial statements in comparing our results on a consistent basis from period to period because it removes certain non-cash items and other items that we do not consider to be indicative of our core and/or ongoing operations. We believe it is useful for us and the reader to review, as applicable, both (1) GAAP measures that include (i) interest expense, net, (ii) income tax expense/(benefit), (iii) depreciation and amortization, (iv) stock-based compensation expense, (v) relocation expense, and (vi) the tax effect of non-GAAP adjustments; and (2) the non-GAAP measures that exclude such information. We present these non-GAAP measures because we consider them an important supplemental measure of our performance. Our definition of these adjusted financial measures may differ from similarly named measures used by others. We believe these measures facilitate operating performance comparisons from period to period by eliminating potential differences caused by the existence and timing of certain expense items that would not otherwise be apparent on a GAAP basis. These non-GAAP measures have limitations as an analytical tool and should not be considered in isolation or as a substitute for our GAAP measures. The principal limitations of these measures are that they do not reflect our actual expenses and may thus have the effect of inflating our financial measures on a GAAP basis.</w:t>
      </w:r>
    </w:p>
    <w:p>
      <w:pPr>
        <w:pStyle w:val="TextBody"/>
        <w:bidi w:val="0"/>
        <w:jc w:val="left"/>
        <w:rPr/>
      </w:pPr>
      <w:r>
        <w:rPr/>
        <w:t> </w:t>
      </w:r>
    </w:p>
    <w:p>
      <w:pPr>
        <w:pStyle w:val="TextBody"/>
        <w:bidi w:val="0"/>
        <w:jc w:val="both"/>
        <w:rPr>
          <w:rFonts w:ascii="sans-serif" w:hAnsi="sans-serif"/>
          <w:b/>
          <w:color w:val="000000"/>
          <w:sz w:val="22"/>
          <w:u w:val="single"/>
        </w:rPr>
      </w:pPr>
      <w:r>
        <w:rPr>
          <w:rFonts w:ascii="sans-serif" w:hAnsi="sans-serif"/>
          <w:b/>
          <w:color w:val="000000"/>
          <w:sz w:val="22"/>
          <w:u w:val="single"/>
        </w:rPr>
        <w:t>Change in Non-GAAP Financial Measure</w:t>
      </w:r>
    </w:p>
    <w:p>
      <w:pPr>
        <w:pStyle w:val="TextBody"/>
        <w:bidi w:val="0"/>
        <w:jc w:val="left"/>
        <w:rPr>
          <w:rFonts w:ascii="sans-serif" w:hAnsi="sans-serif"/>
          <w:color w:val="000000"/>
          <w:sz w:val="22"/>
        </w:rPr>
      </w:pPr>
      <w:r>
        <w:rPr>
          <w:rFonts w:ascii="sans-serif" w:hAnsi="sans-serif"/>
          <w:color w:val="000000"/>
          <w:sz w:val="22"/>
        </w:rPr>
        <w:t>Prior to fiscal 2026, our calculation of Adjusted EBITDAS included an adjustment for interest expense. Beginning with the fourth quarter of fiscal 2026 presentation for all periods presented herein, we also included an adjustment for interest income such that Adjusted EBITDAS is fully adjusted for the effect of Interest expense, net as presented on the Consolidated Statements of Income. We believe that adjusting for both interest expense and interest income assists users of the financial statements in understanding the results of our core operations and comparing those results on a consistent basis from period to period.</w:t>
      </w:r>
    </w:p>
    <w:p>
      <w:pPr>
        <w:pStyle w:val="TextBody"/>
        <w:bidi w:val="0"/>
        <w:jc w:val="left"/>
        <w:rPr/>
      </w:pPr>
      <w:r>
        <w:rPr/>
        <w:t> </w:t>
      </w:r>
    </w:p>
    <w:p>
      <w:pPr>
        <w:pStyle w:val="TextBody"/>
        <w:bidi w:val="0"/>
        <w:spacing w:before="0" w:after="160"/>
        <w:jc w:val="left"/>
        <w:rPr>
          <w:rFonts w:ascii="sans-serif" w:hAnsi="sans-serif"/>
          <w:color w:val="000000"/>
          <w:sz w:val="22"/>
        </w:rPr>
      </w:pPr>
      <w:r>
        <w:rPr>
          <w:rFonts w:ascii="sans-serif" w:hAnsi="sans-serif"/>
          <w:color w:val="000000"/>
          <w:sz w:val="22"/>
        </w:rPr>
        <w:t>For the three months ended July 31, 2026, this change resulted in a decrease of $547,000 in the amount of Adjusted EBITDAS compared to the amounts that would have been reported using the previous methodology. For the three months ended July 31 2025, the change also resulted in a decrease of $632,000 in the amount of Adjusted EBITDAS compared to the amounts that were previously reported.</w:t>
      </w:r>
    </w:p>
    <w:p>
      <w:pPr>
        <w:pStyle w:val="TextBody"/>
        <w:bidi w:val="0"/>
        <w:jc w:val="left"/>
        <w:rPr/>
      </w:pPr>
      <w:r>
        <w:rPr/>
        <w:t> </w:t>
      </w:r>
    </w:p>
    <w:p>
      <w:pPr>
        <w:pStyle w:val="TextBody"/>
        <w:bidi w:val="0"/>
        <w:jc w:val="left"/>
        <w:rPr>
          <w:rFonts w:ascii="sans-serif" w:hAnsi="sans-serif"/>
          <w:b/>
          <w:color w:val="000000"/>
          <w:sz w:val="22"/>
          <w:u w:val="single"/>
        </w:rPr>
      </w:pPr>
      <w:r>
        <w:rPr>
          <w:rFonts w:ascii="sans-serif" w:hAnsi="sans-serif"/>
          <w:b/>
          <w:color w:val="000000"/>
          <w:sz w:val="22"/>
          <w:u w:val="single"/>
        </w:rPr>
        <w:t>About Smith &amp; Wesson Brands, Inc.</w:t>
      </w:r>
    </w:p>
    <w:p>
      <w:pPr>
        <w:pStyle w:val="TextBody"/>
        <w:bidi w:val="0"/>
        <w:spacing w:before="0" w:after="160"/>
        <w:jc w:val="left"/>
        <w:rPr>
          <w:rFonts w:ascii="sans-serif" w:hAnsi="sans-serif"/>
          <w:sz w:val="22"/>
        </w:rPr>
      </w:pPr>
      <w:r>
        <w:rPr>
          <w:rFonts w:ascii="sans-serif" w:hAnsi="sans-serif"/>
          <w:color w:val="000000"/>
          <w:sz w:val="22"/>
        </w:rPr>
        <w:t xml:space="preserve">Smith &amp; Wesson Brands, Inc. (NASDAQ Global Select: SWBI) is a U.S.-based leader in firearm manufacturing and design, delivering a broad portfolio of quality handgun, long gun, and suppressor products to the global consumer and professional markets under the iconic Smith &amp; Wesson® and Gemtech® brands. Additionally, the company provides manufacturing services such as forging and machining to third parties and offers world-class firearm training programs to Law Enforcement/Military departments and civilians at the Smith &amp; Wesson Academy in Maryville, TN. For more information call (844) 363-5386 or visit </w:t>
      </w:r>
      <w:r>
        <w:rPr>
          <w:rFonts w:ascii="sans-serif" w:hAnsi="sans-serif"/>
          <w:sz w:val="22"/>
        </w:rPr>
        <w:t>www.smith-wesson.com</w:t>
      </w:r>
      <w:r>
        <w:rPr>
          <w:rFonts w:ascii="sans-serif" w:hAnsi="sans-serif"/>
          <w:color w:val="000000"/>
          <w:sz w:val="22"/>
        </w:rPr>
        <w:t>.</w:t>
      </w:r>
    </w:p>
    <w:p>
      <w:pPr>
        <w:pStyle w:val="TextBody"/>
        <w:bidi w:val="0"/>
        <w:jc w:val="left"/>
        <w:rPr>
          <w:rFonts w:ascii="sans-serif" w:hAnsi="sans-serif"/>
          <w:sz w:val="22"/>
        </w:rPr>
      </w:pPr>
      <w:r>
        <w:rPr>
          <w:rFonts w:ascii="sans-serif" w:hAnsi="sans-serif"/>
          <w:b/>
          <w:color w:val="000000"/>
          <w:sz w:val="22"/>
          <w:u w:val="single"/>
        </w:rPr>
        <w:t>Safe Harbor Statement</w:t>
      </w:r>
      <w:r>
        <w:rPr>
          <w:rFonts w:ascii="sans-serif" w:hAnsi="sans-serif"/>
          <w:color w:val="000000"/>
          <w:sz w:val="22"/>
        </w:rPr>
        <w:t xml:space="preserve"> </w:t>
      </w:r>
    </w:p>
    <w:p>
      <w:pPr>
        <w:pStyle w:val="TextBody"/>
        <w:bidi w:val="0"/>
        <w:jc w:val="left"/>
        <w:rPr>
          <w:rFonts w:ascii="sans-serif" w:hAnsi="sans-serif"/>
          <w:color w:val="000000"/>
          <w:sz w:val="22"/>
        </w:rPr>
      </w:pPr>
      <w:r>
        <w:rPr>
          <w:rFonts w:ascii="sans-serif" w:hAnsi="sans-serif"/>
          <w:color w:val="000000"/>
          <w:sz w:val="22"/>
        </w:rPr>
        <w:t xml:space="preserve">Certain statements contained in this press release may be deemed to be forward-looking statements under federal securities laws, and we intend that such forward-looking statements be subject to the safe-harbor created thereby. Such forward-looking statements include, among others, that this continues to be a story about brand strength paired with a purposeful long-term strategy; we expect our second quarter to significantly outperform last year on both the top and bottom lines; we continue to expect a normal seasonal environment and strong demand for our products, resulting in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sales for the second quarter roughly 10% above last year; and for the full year, we continue to expect that our fiscal 2027 revenue will grow approximately 5-7% over fiscal 2026. We caution that these statements are qualified by important risks, uncertainties, and other factors that could cause actual results to differ materially from those reflected by such forward-looking statements. Such factors include, among others, economic, social, political, legislative, and regulatory factors; the impact of tariffs; the potential for increased regulation of firearms and firearm-related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our anticipated growth and growth opportunities; our strategies; our ability to maintain and enhance brand recognition and reputation; our ability to effectively manage and execute the relocation; our ability to introduce new products and the success of new products; the potential for cancellation of orders from our backlog; and other risks detailed from time to time in our reports filed with the Securities and Exchange Commission, including our Annual Report on Form 10-K for the fiscal year ended April 30, 2026.</w:t>
      </w:r>
    </w:p>
    <w:p>
      <w:pPr>
        <w:pStyle w:val="TextBody"/>
        <w:bidi w:val="0"/>
        <w:jc w:val="left"/>
        <w:rPr/>
      </w:pPr>
      <w:r>
        <w:rPr/>
        <w:t> </w:t>
      </w:r>
    </w:p>
    <w:p>
      <w:pPr>
        <w:pStyle w:val="TextBody"/>
        <w:bidi w:val="0"/>
        <w:jc w:val="left"/>
        <w:rPr/>
      </w:pPr>
      <w:r>
        <w:rPr/>
        <w:t> </w:t>
      </w:r>
    </w:p>
    <w:p>
      <w:pPr>
        <w:pStyle w:val="TextBody"/>
        <w:bidi w:val="0"/>
        <w:jc w:val="left"/>
        <w:rPr>
          <w:rFonts w:ascii="sans-serif" w:hAnsi="sans-serif"/>
          <w:sz w:val="22"/>
        </w:rPr>
      </w:pPr>
      <w:r>
        <w:rPr>
          <w:rFonts w:ascii="sans-serif" w:hAnsi="sans-serif"/>
          <w:b/>
          <w:color w:val="000000"/>
          <w:sz w:val="22"/>
        </w:rPr>
        <w:t>Contact:</w:t>
      </w:r>
      <w:r>
        <w:rPr>
          <w:rFonts w:ascii="sans-serif" w:hAnsi="sans-serif"/>
          <w:color w:val="000000"/>
          <w:sz w:val="22"/>
        </w:rPr>
        <w:t xml:space="preserve"> </w:t>
      </w:r>
    </w:p>
    <w:p>
      <w:pPr>
        <w:pStyle w:val="TextBody"/>
        <w:bidi w:val="0"/>
        <w:jc w:val="left"/>
        <w:rPr>
          <w:rFonts w:ascii="sans-serif" w:hAnsi="sans-serif"/>
          <w:color w:val="000000"/>
          <w:sz w:val="22"/>
        </w:rPr>
      </w:pPr>
      <w:r>
        <w:rPr>
          <w:rFonts w:ascii="sans-serif" w:hAnsi="sans-serif"/>
          <w:color w:val="000000"/>
          <w:sz w:val="22"/>
        </w:rPr>
        <w:t>investorrelations@smith-wesson.com</w:t>
      </w:r>
    </w:p>
    <w:p>
      <w:pPr>
        <w:pStyle w:val="TextBody"/>
        <w:bidi w:val="0"/>
        <w:jc w:val="left"/>
        <w:rPr>
          <w:rFonts w:ascii="sans-serif" w:hAnsi="sans-serif"/>
          <w:color w:val="000000"/>
          <w:sz w:val="22"/>
        </w:rPr>
      </w:pPr>
      <w:r>
        <w:rPr>
          <w:rFonts w:ascii="sans-serif" w:hAnsi="sans-serif"/>
          <w:color w:val="000000"/>
          <w:sz w:val="22"/>
        </w:rPr>
        <w:t>(413) 747-3448</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151"/>
        <w:gridCol w:w="146"/>
        <w:gridCol w:w="304"/>
        <w:gridCol w:w="1125"/>
        <w:gridCol w:w="190"/>
        <w:gridCol w:w="190"/>
        <w:gridCol w:w="319"/>
        <w:gridCol w:w="1186"/>
        <w:gridCol w:w="594"/>
      </w:tblGrid>
      <w:tr>
        <w:trPr/>
        <w:tc>
          <w:tcPr>
            <w:tcW w:w="6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 2026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 except par value and share data)</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1"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ASSETS</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18,699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28,190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6,536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5,162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receivable, net of allowances for credit losses of $5 on</w:t>
              <w:br/>
              <w:t>   July 31, 2026 and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29,711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40,014</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180,661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156,250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8,558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7,170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3,328</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4,617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247,493</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241,403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Property, plant, and equipment, net of accumulated depreciation and</w:t>
              <w:br/>
              <w:t>   amortization of $403,821 on July 31, 2026 and $397,668 on April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242,813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238,643</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Intangibles,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1,956</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19,024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19,024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4,347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4,347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7,748</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7,393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523,304</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512,766</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6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LIABILITIES AND STOCKHOLDERS’ EQUITY</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37,393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34,570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 and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17,095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19,146</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payroll and incentives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6,577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15,196</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profit sharing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5,899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5,155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warranty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1,467</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68,431</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75,367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Notes and loans payable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39,185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19,121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Finance lease payable,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31,676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32,163</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10,310</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9,556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149,602</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136,207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Preferred stock, $0.001 par value, 20,000,000 shares authorized, no shares</w:t>
              <w:br/>
              <w:t>   issued or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Common stock, $0.001 par value, 100,000,000 shares authorized,</w:t>
              <w:br/>
              <w:t>   44,839,680 shares issued and outstanding on July 31,</w:t>
              <w:br/>
              <w:t>   2026 and 44,605,993 shares issued and outstanding on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3,194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2,776</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370,463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373,738</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2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373,702</w:t>
            </w:r>
          </w:p>
        </w:tc>
        <w:tc>
          <w:tcPr>
            <w:tcW w:w="19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376,559</w:t>
            </w:r>
          </w:p>
        </w:tc>
        <w:tc>
          <w:tcPr>
            <w:tcW w:w="594"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523,304</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512,766</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8440" w:type="dxa"/>
        <w:jc w:val="left"/>
        <w:tblInd w:w="0" w:type="dxa"/>
        <w:tblLayout w:type="fixed"/>
        <w:tblCellMar>
          <w:top w:w="28" w:type="dxa"/>
          <w:left w:w="28" w:type="dxa"/>
          <w:bottom w:w="28" w:type="dxa"/>
          <w:right w:w="28" w:type="dxa"/>
        </w:tblCellMar>
      </w:tblPr>
      <w:tblGrid>
        <w:gridCol w:w="4831"/>
        <w:gridCol w:w="289"/>
        <w:gridCol w:w="1069"/>
        <w:gridCol w:w="227"/>
        <w:gridCol w:w="199"/>
        <w:gridCol w:w="289"/>
        <w:gridCol w:w="925"/>
        <w:gridCol w:w="611"/>
      </w:tblGrid>
      <w:tr>
        <w:trPr/>
        <w:tc>
          <w:tcPr>
            <w:tcW w:w="483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July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2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1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 except per share data)</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112,587</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85,077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80,317</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32,270</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marketing, and distribution</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15,338</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sale/disposition of assets, net</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28,053</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income/(loss)</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3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Income/(loss) before income taxes</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expense/(benefit)</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income/(loss)</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income/(loss) per share:</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 net income/(loss)</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 net income/(loss)</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outstanding:</w:t>
            </w:r>
          </w:p>
        </w:tc>
        <w:tc>
          <w:tcPr>
            <w:tcW w:w="13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45,476</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496"/>
        <w:gridCol w:w="946"/>
        <w:gridCol w:w="262"/>
        <w:gridCol w:w="918"/>
        <w:gridCol w:w="206"/>
        <w:gridCol w:w="181"/>
        <w:gridCol w:w="262"/>
        <w:gridCol w:w="918"/>
        <w:gridCol w:w="1016"/>
      </w:tblGrid>
      <w:tr>
        <w:trPr/>
        <w:tc>
          <w:tcPr>
            <w:tcW w:w="54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July 31,</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income/(loss)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2,588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(3,411</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Adjustments to reconcile net income/(loss) to net cash used in</w:t>
              <w:br/>
              <w:t>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Depreciation and amortization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7,701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8,436</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Gain on sale/disposition of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Stock-based compensation expense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1,813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1,892</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Non-cash sublease income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(461</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(442</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net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Changes in operating assets and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Accounts receivable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10,303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14,559</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Inventories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(24,411</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(13,257</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Prepaid expenses and other current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(2,781</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Income taxes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1,289</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(817</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Accounts payable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3,033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(6,429</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Accrued payroll and incentives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(8,619</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(1,371</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Accrued profit sharing</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Accrued expenses and deferred revenue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(1,988</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(4,092</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Accrued warranty</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Other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(294</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Other non-current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754</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(199</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9"/>
              </w:rPr>
            </w:pPr>
            <w:r>
              <w:rPr>
                <w:rFonts w:ascii="Times New Roman" w:hAnsi="Times New Roman"/>
                <w:color w:val="000000"/>
                <w:sz w:val="19"/>
              </w:rPr>
              <w:t>Net cash used in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(8,846</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(8,110</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Purchases of marketable securities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(1,456</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(3,168</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sale of marketable securities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Payments to acquire patents and software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sale of property and equipment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Payments to acquire property and equipment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(11,929</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(4,291</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9"/>
              </w:rPr>
            </w:pPr>
            <w:r>
              <w:rPr>
                <w:rFonts w:ascii="Times New Roman" w:hAnsi="Times New Roman"/>
                <w:color w:val="000000"/>
                <w:sz w:val="19"/>
              </w:rPr>
              <w:t>Net cash used in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(13,237</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(7,464</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financing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loans and notes payable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20,000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20,000</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Payments on loans and notes payable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(5,000</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Payments on finance lease obligation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Dividend distribution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(5,961</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(5,855</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 of employee withholding tax related to restricted stock units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(1,395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(792</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9"/>
              </w:rPr>
            </w:pPr>
            <w:r>
              <w:rPr>
                <w:rFonts w:ascii="Times New Roman" w:hAnsi="Times New Roman"/>
                <w:color w:val="000000"/>
                <w:sz w:val="19"/>
              </w:rPr>
              <w:t>Net cash provided by financing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12,592</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8,307</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decrease in cash and cash equivalents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(9,491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(7,267</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beginning of period</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28,190</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25,231</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end of period</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18,699</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17,964</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Supplemental disclosure of cash flow information</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paid for:</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Interest, net of amounts capitalized</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1,288</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FINANCIAL MEASURES TO NON-GAAP FINANCIAL MEASURES</w:t>
      </w:r>
    </w:p>
    <w:p>
      <w:pPr>
        <w:pStyle w:val="TextBody"/>
        <w:bidi w:val="0"/>
        <w:jc w:val="center"/>
        <w:rPr>
          <w:rFonts w:ascii="Times New Roman" w:hAnsi="Times New Roman"/>
          <w:sz w:val="20"/>
        </w:rPr>
      </w:pPr>
      <w:r>
        <w:rPr>
          <w:rFonts w:ascii="Times New Roman" w:hAnsi="Times New Roman"/>
          <w:b/>
          <w:color w:val="000000"/>
          <w:sz w:val="20"/>
        </w:rPr>
        <w:t>(Dollars in thousands, except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8532" w:type="dxa"/>
        <w:jc w:val="left"/>
        <w:tblInd w:w="0" w:type="dxa"/>
        <w:tblLayout w:type="fixed"/>
        <w:tblCellMar>
          <w:top w:w="28" w:type="dxa"/>
          <w:left w:w="28" w:type="dxa"/>
          <w:bottom w:w="28" w:type="dxa"/>
          <w:right w:w="28" w:type="dxa"/>
        </w:tblCellMar>
      </w:tblPr>
      <w:tblGrid>
        <w:gridCol w:w="3481"/>
        <w:gridCol w:w="211"/>
        <w:gridCol w:w="676"/>
        <w:gridCol w:w="146"/>
        <w:gridCol w:w="146"/>
        <w:gridCol w:w="207"/>
        <w:gridCol w:w="663"/>
        <w:gridCol w:w="271"/>
        <w:gridCol w:w="146"/>
        <w:gridCol w:w="211"/>
        <w:gridCol w:w="676"/>
        <w:gridCol w:w="166"/>
        <w:gridCol w:w="146"/>
        <w:gridCol w:w="207"/>
        <w:gridCol w:w="663"/>
        <w:gridCol w:w="516"/>
      </w:tblGrid>
      <w:tr>
        <w:trPr/>
        <w:tc>
          <w:tcPr>
            <w:tcW w:w="3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Sales</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Relocation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operating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Relocation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expenses</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operating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Relocation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income</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Relocation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non-GAAP adjustments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income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 per share - 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Relocation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non-GAAP adjustments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income per share -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NET INCOME/(LOSS) TO NON-GAAP ADJUSTED EBITDAS</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6468" w:type="dxa"/>
        <w:jc w:val="left"/>
        <w:tblInd w:w="0" w:type="dxa"/>
        <w:tblLayout w:type="fixed"/>
        <w:tblCellMar>
          <w:top w:w="28" w:type="dxa"/>
          <w:left w:w="28" w:type="dxa"/>
          <w:bottom w:w="28" w:type="dxa"/>
          <w:right w:w="28" w:type="dxa"/>
        </w:tblCellMar>
      </w:tblPr>
      <w:tblGrid>
        <w:gridCol w:w="3316"/>
        <w:gridCol w:w="146"/>
        <w:gridCol w:w="260"/>
        <w:gridCol w:w="835"/>
        <w:gridCol w:w="276"/>
        <w:gridCol w:w="149"/>
        <w:gridCol w:w="274"/>
        <w:gridCol w:w="821"/>
        <w:gridCol w:w="3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Relocation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Non-GAAP Adjusted EBITDAS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13,765</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Adjusted EBITDAS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NET CASH USED IN OPERATING ACTIVITIES TO FREE CASH FLOW</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6464" w:type="dxa"/>
        <w:jc w:val="left"/>
        <w:tblInd w:w="0" w:type="dxa"/>
        <w:tblLayout w:type="fixed"/>
        <w:tblCellMar>
          <w:top w:w="28" w:type="dxa"/>
          <w:left w:w="28" w:type="dxa"/>
          <w:bottom w:w="28" w:type="dxa"/>
          <w:right w:w="28" w:type="dxa"/>
        </w:tblCellMar>
      </w:tblPr>
      <w:tblGrid>
        <w:gridCol w:w="3751"/>
        <w:gridCol w:w="244"/>
        <w:gridCol w:w="851"/>
        <w:gridCol w:w="166"/>
        <w:gridCol w:w="146"/>
        <w:gridCol w:w="244"/>
        <w:gridCol w:w="851"/>
        <w:gridCol w:w="211"/>
      </w:tblGrid>
      <w:tr>
        <w:trPr/>
        <w:tc>
          <w:tcPr>
            <w:tcW w:w="375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to acquire property and equipment</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3157</Words>
  <Characters>17172</Characters>
  <CharactersWithSpaces>20692</CharactersWithSpaces>
  <Paragraphs>1565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